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SCHEDULE 13D</w:t>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2)</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CLPS Incorporation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G31642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Raymond Ming Hui Lin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 Unit 702, 7th Floor,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Millennium City II, 378 Kwun Tong Road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Kwun Tong, Kowloon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Hong Kong SAR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Tel: +852 37073600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Address and Telephone Number of Person Authorized to Receive Notices and Communications)</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May 6,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which is the subject of this Schedule 13D, and is filing this schedule because of Rule 13d-1(b)(3) or (4), check the following box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8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Note: Schedules filed in paper format shall include a signed original and five copies of the schedule, including all exhibits. See §240.13d-7 for other 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588645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50"/>
        </w:trPr>
        <w:tc>
          <w:tcPr>
            <w:tcW w:w="2060" w:type="dxa"/>
            <w:vAlign w:val="bottom"/>
            <w:tcBorders>
              <w:top w:val="single" w:sz="8" w:color="auto"/>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CUSIP No. G31642</w:t>
            </w:r>
          </w:p>
        </w:tc>
        <w:tc>
          <w:tcPr>
            <w:tcW w:w="7400" w:type="dxa"/>
            <w:vAlign w:val="bottom"/>
            <w:tcBorders>
              <w:right w:val="single" w:sz="8" w:color="auto"/>
            </w:tcBorders>
          </w:tcPr>
          <w:p>
            <w:pPr>
              <w:ind w:left="3520"/>
              <w:spacing w:after="0"/>
              <w:rPr>
                <w:sz w:val="20"/>
                <w:szCs w:val="20"/>
                <w:color w:val="auto"/>
              </w:rPr>
            </w:pPr>
            <w:r>
              <w:rPr>
                <w:rFonts w:ascii="Arial" w:cs="Arial" w:eastAsia="Arial" w:hAnsi="Arial"/>
                <w:sz w:val="18"/>
                <w:szCs w:val="18"/>
                <w:b w:val="1"/>
                <w:bCs w:val="1"/>
                <w:color w:val="auto"/>
              </w:rPr>
              <w:t>13D</w:t>
            </w:r>
          </w:p>
        </w:tc>
        <w:tc>
          <w:tcPr>
            <w:tcW w:w="1780" w:type="dxa"/>
            <w:vAlign w:val="bottom"/>
            <w:tcBorders>
              <w:top w:val="single" w:sz="8" w:color="auto"/>
              <w:bottom w:val="single" w:sz="8" w:color="auto"/>
              <w:right w:val="single" w:sz="8" w:color="auto"/>
            </w:tcBorders>
          </w:tcPr>
          <w:p>
            <w:pPr>
              <w:ind w:left="480"/>
              <w:spacing w:after="0"/>
              <w:rPr>
                <w:sz w:val="20"/>
                <w:szCs w:val="20"/>
                <w:color w:val="auto"/>
              </w:rPr>
            </w:pPr>
            <w:r>
              <w:rPr>
                <w:rFonts w:ascii="Arial" w:cs="Arial" w:eastAsia="Arial" w:hAnsi="Arial"/>
                <w:sz w:val="18"/>
                <w:szCs w:val="18"/>
                <w:color w:val="auto"/>
                <w:w w:val="85"/>
              </w:rPr>
              <w:t>Page 2 of 6 Pages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5606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5606415"/>
                    </a:xfrm>
                    <a:prstGeom prst="rect">
                      <a:avLst/>
                    </a:prstGeom>
                    <a:noFill/>
                  </pic:spPr>
                </pic:pic>
              </a:graphicData>
            </a:graphic>
          </wp:anchor>
        </w:drawing>
      </w:r>
    </w:p>
    <w:p>
      <w:pPr>
        <w:spacing w:after="0" w:line="209" w:lineRule="exact"/>
        <w:rPr>
          <w:sz w:val="20"/>
          <w:szCs w:val="20"/>
          <w:color w:val="auto"/>
        </w:rPr>
      </w:pPr>
    </w:p>
    <w:p>
      <w:pPr>
        <w:ind w:left="980" w:hanging="551"/>
        <w:spacing w:after="0"/>
        <w:tabs>
          <w:tab w:leader="none" w:pos="98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NAME OF REPORTING PERSON</w:t>
      </w:r>
    </w:p>
    <w:p>
      <w:pPr>
        <w:spacing w:after="0" w:line="221"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Qinhui Ltd.</w:t>
      </w:r>
    </w:p>
    <w:p>
      <w:pPr>
        <w:spacing w:after="0" w:line="40" w:lineRule="exact"/>
        <w:rPr>
          <w:sz w:val="20"/>
          <w:szCs w:val="20"/>
          <w:color w:val="auto"/>
        </w:rPr>
      </w:pPr>
    </w:p>
    <w:p>
      <w:pPr>
        <w:ind w:left="980" w:hanging="551"/>
        <w:spacing w:after="0"/>
        <w:tabs>
          <w:tab w:leader="none" w:pos="98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ind w:left="1064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9" w:lineRule="exact"/>
        <w:rPr>
          <w:sz w:val="20"/>
          <w:szCs w:val="20"/>
          <w:color w:val="auto"/>
        </w:rPr>
      </w:pPr>
    </w:p>
    <w:p>
      <w:pPr>
        <w:ind w:left="106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34" w:lineRule="exact"/>
        <w:rPr>
          <w:sz w:val="20"/>
          <w:szCs w:val="20"/>
          <w:color w:val="auto"/>
        </w:rPr>
      </w:pPr>
    </w:p>
    <w:p>
      <w:pPr>
        <w:ind w:left="980" w:hanging="551"/>
        <w:spacing w:after="0"/>
        <w:tabs>
          <w:tab w:leader="none" w:pos="98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45" w:lineRule="exact"/>
        <w:rPr>
          <w:sz w:val="20"/>
          <w:szCs w:val="20"/>
          <w:color w:val="auto"/>
        </w:rPr>
      </w:pPr>
    </w:p>
    <w:p>
      <w:pPr>
        <w:ind w:left="980" w:hanging="551"/>
        <w:spacing w:after="0"/>
        <w:tabs>
          <w:tab w:leader="none" w:pos="98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SOURCE OF FUNDS*</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OO (See Item 3)</w:t>
      </w:r>
    </w:p>
    <w:p>
      <w:pPr>
        <w:spacing w:after="0" w:line="40" w:lineRule="exact"/>
        <w:rPr>
          <w:sz w:val="20"/>
          <w:szCs w:val="20"/>
          <w:color w:val="auto"/>
        </w:rPr>
      </w:pPr>
    </w:p>
    <w:p>
      <w:pPr>
        <w:ind w:left="980" w:hanging="551"/>
        <w:spacing w:after="0"/>
        <w:tabs>
          <w:tab w:leader="none" w:pos="9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CHECK BOX IF DISCLOSURE OF LEGAL PROCEEDINGS IS REQUIRED PURSUANT TO ITEMS 2(d) OR 2(e)</w:t>
      </w:r>
    </w:p>
    <w:p>
      <w:pPr>
        <w:spacing w:after="0" w:line="18" w:lineRule="exact"/>
        <w:rPr>
          <w:sz w:val="20"/>
          <w:szCs w:val="20"/>
          <w:color w:val="auto"/>
        </w:rPr>
      </w:pPr>
    </w:p>
    <w:p>
      <w:pPr>
        <w:ind w:left="10940"/>
        <w:spacing w:after="0" w:line="181" w:lineRule="exact"/>
        <w:rPr>
          <w:sz w:val="20"/>
          <w:szCs w:val="20"/>
          <w:color w:val="auto"/>
        </w:rPr>
      </w:pPr>
      <w:r>
        <w:rPr>
          <w:rFonts w:ascii="MS PGothic" w:cs="MS PGothic" w:eastAsia="MS PGothic" w:hAnsi="MS PGothic"/>
          <w:sz w:val="18"/>
          <w:szCs w:val="18"/>
          <w:color w:val="auto"/>
        </w:rPr>
        <w:t>☐</w:t>
      </w:r>
    </w:p>
    <w:p>
      <w:pPr>
        <w:spacing w:after="0" w:line="61" w:lineRule="exact"/>
        <w:rPr>
          <w:sz w:val="20"/>
          <w:szCs w:val="20"/>
          <w:color w:val="auto"/>
        </w:rPr>
      </w:pPr>
    </w:p>
    <w:p>
      <w:pPr>
        <w:ind w:left="980" w:hanging="551"/>
        <w:spacing w:after="0"/>
        <w:tabs>
          <w:tab w:leader="none" w:pos="98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14"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British Virgin Islands</w:t>
      </w:r>
    </w:p>
    <w:p>
      <w:pPr>
        <w:spacing w:after="0" w:line="36" w:lineRule="exact"/>
        <w:rPr>
          <w:sz w:val="20"/>
          <w:szCs w:val="20"/>
          <w:color w:val="auto"/>
        </w:rPr>
      </w:pPr>
    </w:p>
    <w:tbl>
      <w:tblPr>
        <w:tblLayout w:type="fixed"/>
        <w:tblInd w:w="520" w:type="dxa"/>
        <w:tblCellMar>
          <w:top w:w="0" w:type="dxa"/>
          <w:left w:w="0" w:type="dxa"/>
          <w:bottom w:w="0" w:type="dxa"/>
          <w:right w:w="0" w:type="dxa"/>
        </w:tblCellMar>
      </w:tblPr>
      <w:tr>
        <w:trPr>
          <w:trHeight w:val="234"/>
        </w:trPr>
        <w:tc>
          <w:tcPr>
            <w:tcW w:w="1740" w:type="dxa"/>
            <w:vAlign w:val="bottom"/>
          </w:tcPr>
          <w:p>
            <w:pPr>
              <w:spacing w:after="0"/>
              <w:rPr>
                <w:sz w:val="20"/>
                <w:szCs w:val="20"/>
                <w:color w:val="auto"/>
              </w:rPr>
            </w:pPr>
          </w:p>
        </w:tc>
        <w:tc>
          <w:tcPr>
            <w:tcW w:w="760" w:type="dxa"/>
            <w:vAlign w:val="bottom"/>
          </w:tcPr>
          <w:p>
            <w:pPr>
              <w:jc w:val="center"/>
              <w:ind w:left="70"/>
              <w:spacing w:after="0"/>
              <w:rPr>
                <w:sz w:val="20"/>
                <w:szCs w:val="20"/>
                <w:color w:val="auto"/>
              </w:rPr>
            </w:pPr>
            <w:r>
              <w:rPr>
                <w:rFonts w:ascii="Arial" w:cs="Arial" w:eastAsia="Arial" w:hAnsi="Arial"/>
                <w:sz w:val="18"/>
                <w:szCs w:val="18"/>
                <w:b w:val="1"/>
                <w:bCs w:val="1"/>
                <w:color w:val="auto"/>
                <w:w w:val="79"/>
              </w:rPr>
              <w:t>7</w:t>
            </w:r>
          </w:p>
        </w:tc>
        <w:tc>
          <w:tcPr>
            <w:tcW w:w="8220" w:type="dxa"/>
            <w:vAlign w:val="bottom"/>
          </w:tcPr>
          <w:p>
            <w:pPr>
              <w:ind w:left="2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39"/>
        </w:trPr>
        <w:tc>
          <w:tcPr>
            <w:tcW w:w="1740" w:type="dxa"/>
            <w:vAlign w:val="bottom"/>
            <w:vMerge w:val="restart"/>
          </w:tcPr>
          <w:p>
            <w:pPr>
              <w:jc w:val="center"/>
              <w:ind w:right="390"/>
              <w:spacing w:after="0"/>
              <w:rPr>
                <w:sz w:val="20"/>
                <w:szCs w:val="20"/>
                <w:color w:val="auto"/>
              </w:rPr>
            </w:pPr>
            <w:r>
              <w:rPr>
                <w:rFonts w:ascii="Arial" w:cs="Arial" w:eastAsia="Arial" w:hAnsi="Arial"/>
                <w:sz w:val="18"/>
                <w:szCs w:val="18"/>
                <w:color w:val="auto"/>
                <w:w w:val="98"/>
              </w:rPr>
              <w:t>NUMBER OF</w:t>
            </w:r>
          </w:p>
        </w:tc>
        <w:tc>
          <w:tcPr>
            <w:tcW w:w="760" w:type="dxa"/>
            <w:vAlign w:val="bottom"/>
            <w:tcBorders>
              <w:bottom w:val="single" w:sz="8" w:color="auto"/>
            </w:tcBorders>
          </w:tcPr>
          <w:p>
            <w:pPr>
              <w:spacing w:after="0"/>
              <w:rPr>
                <w:sz w:val="24"/>
                <w:szCs w:val="24"/>
                <w:color w:val="auto"/>
              </w:rPr>
            </w:pPr>
          </w:p>
        </w:tc>
        <w:tc>
          <w:tcPr>
            <w:tcW w:w="822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07"/>
        </w:trPr>
        <w:tc>
          <w:tcPr>
            <w:tcW w:w="1740" w:type="dxa"/>
            <w:vAlign w:val="bottom"/>
            <w:vMerge w:val="continue"/>
          </w:tcPr>
          <w:p>
            <w:pPr>
              <w:spacing w:after="0"/>
              <w:rPr>
                <w:sz w:val="9"/>
                <w:szCs w:val="9"/>
                <w:color w:val="auto"/>
              </w:rPr>
            </w:pPr>
          </w:p>
        </w:tc>
        <w:tc>
          <w:tcPr>
            <w:tcW w:w="760" w:type="dxa"/>
            <w:vAlign w:val="bottom"/>
            <w:vMerge w:val="restart"/>
          </w:tcPr>
          <w:p>
            <w:pPr>
              <w:jc w:val="center"/>
              <w:ind w:left="70"/>
              <w:spacing w:after="0"/>
              <w:rPr>
                <w:sz w:val="20"/>
                <w:szCs w:val="20"/>
                <w:color w:val="auto"/>
              </w:rPr>
            </w:pPr>
            <w:r>
              <w:rPr>
                <w:rFonts w:ascii="Arial" w:cs="Arial" w:eastAsia="Arial" w:hAnsi="Arial"/>
                <w:sz w:val="18"/>
                <w:szCs w:val="18"/>
                <w:b w:val="1"/>
                <w:bCs w:val="1"/>
                <w:color w:val="auto"/>
                <w:w w:val="79"/>
              </w:rPr>
              <w:t>8</w:t>
            </w:r>
          </w:p>
        </w:tc>
        <w:tc>
          <w:tcPr>
            <w:tcW w:w="8220" w:type="dxa"/>
            <w:vAlign w:val="bottom"/>
            <w:vMerge w:val="restart"/>
          </w:tcPr>
          <w:p>
            <w:pPr>
              <w:ind w:left="2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27"/>
        </w:trPr>
        <w:tc>
          <w:tcPr>
            <w:tcW w:w="1740" w:type="dxa"/>
            <w:vAlign w:val="bottom"/>
            <w:vMerge w:val="restart"/>
          </w:tcPr>
          <w:p>
            <w:pPr>
              <w:jc w:val="center"/>
              <w:ind w:right="390"/>
              <w:spacing w:after="0"/>
              <w:rPr>
                <w:sz w:val="20"/>
                <w:szCs w:val="20"/>
                <w:color w:val="auto"/>
              </w:rPr>
            </w:pPr>
            <w:r>
              <w:rPr>
                <w:rFonts w:ascii="Arial" w:cs="Arial" w:eastAsia="Arial" w:hAnsi="Arial"/>
                <w:sz w:val="18"/>
                <w:szCs w:val="18"/>
                <w:color w:val="auto"/>
                <w:w w:val="94"/>
              </w:rPr>
              <w:t>SHARES</w:t>
            </w:r>
          </w:p>
        </w:tc>
        <w:tc>
          <w:tcPr>
            <w:tcW w:w="760" w:type="dxa"/>
            <w:vAlign w:val="bottom"/>
            <w:vMerge w:val="continue"/>
          </w:tcPr>
          <w:p>
            <w:pPr>
              <w:spacing w:after="0"/>
              <w:rPr>
                <w:sz w:val="11"/>
                <w:szCs w:val="11"/>
                <w:color w:val="auto"/>
              </w:rPr>
            </w:pPr>
          </w:p>
        </w:tc>
        <w:tc>
          <w:tcPr>
            <w:tcW w:w="8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17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8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740" w:type="dxa"/>
            <w:vAlign w:val="bottom"/>
          </w:tcPr>
          <w:p>
            <w:pPr>
              <w:jc w:val="center"/>
              <w:ind w:right="390"/>
              <w:spacing w:after="0"/>
              <w:rPr>
                <w:sz w:val="20"/>
                <w:szCs w:val="20"/>
                <w:color w:val="auto"/>
              </w:rPr>
            </w:pPr>
            <w:r>
              <w:rPr>
                <w:rFonts w:ascii="Arial" w:cs="Arial" w:eastAsia="Arial" w:hAnsi="Arial"/>
                <w:sz w:val="18"/>
                <w:szCs w:val="18"/>
                <w:color w:val="auto"/>
                <w:w w:val="99"/>
              </w:rPr>
              <w:t>BENEFICIALLY</w:t>
            </w:r>
          </w:p>
        </w:tc>
        <w:tc>
          <w:tcPr>
            <w:tcW w:w="760" w:type="dxa"/>
            <w:vAlign w:val="bottom"/>
          </w:tcPr>
          <w:p>
            <w:pPr>
              <w:spacing w:after="0"/>
              <w:rPr>
                <w:sz w:val="18"/>
                <w:szCs w:val="18"/>
                <w:color w:val="auto"/>
              </w:rPr>
            </w:pPr>
          </w:p>
        </w:tc>
        <w:tc>
          <w:tcPr>
            <w:tcW w:w="822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4,999,996 common shares (See Item 5)</w:t>
            </w:r>
          </w:p>
        </w:tc>
        <w:tc>
          <w:tcPr>
            <w:tcW w:w="0" w:type="dxa"/>
            <w:vAlign w:val="bottom"/>
          </w:tcPr>
          <w:p>
            <w:pPr>
              <w:spacing w:after="0"/>
              <w:rPr>
                <w:sz w:val="1"/>
                <w:szCs w:val="1"/>
                <w:color w:val="auto"/>
              </w:rPr>
            </w:pPr>
          </w:p>
        </w:tc>
      </w:tr>
      <w:tr>
        <w:trPr>
          <w:trHeight w:val="116"/>
        </w:trPr>
        <w:tc>
          <w:tcPr>
            <w:tcW w:w="1740" w:type="dxa"/>
            <w:vAlign w:val="bottom"/>
            <w:vMerge w:val="restart"/>
          </w:tcPr>
          <w:p>
            <w:pPr>
              <w:jc w:val="center"/>
              <w:ind w:right="390"/>
              <w:spacing w:after="0"/>
              <w:rPr>
                <w:sz w:val="20"/>
                <w:szCs w:val="20"/>
                <w:color w:val="auto"/>
              </w:rPr>
            </w:pPr>
            <w:r>
              <w:rPr>
                <w:rFonts w:ascii="Arial" w:cs="Arial" w:eastAsia="Arial" w:hAnsi="Arial"/>
                <w:sz w:val="18"/>
                <w:szCs w:val="18"/>
                <w:color w:val="auto"/>
                <w:w w:val="99"/>
              </w:rPr>
              <w:t>OWNED BY</w:t>
            </w:r>
          </w:p>
        </w:tc>
        <w:tc>
          <w:tcPr>
            <w:tcW w:w="760" w:type="dxa"/>
            <w:vAlign w:val="bottom"/>
            <w:tcBorders>
              <w:bottom w:val="single" w:sz="8" w:color="auto"/>
            </w:tcBorders>
          </w:tcPr>
          <w:p>
            <w:pPr>
              <w:spacing w:after="0"/>
              <w:rPr>
                <w:sz w:val="10"/>
                <w:szCs w:val="10"/>
                <w:color w:val="auto"/>
              </w:rPr>
            </w:pPr>
          </w:p>
        </w:tc>
        <w:tc>
          <w:tcPr>
            <w:tcW w:w="82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740" w:type="dxa"/>
            <w:vAlign w:val="bottom"/>
            <w:vMerge w:val="continue"/>
          </w:tcPr>
          <w:p>
            <w:pPr>
              <w:spacing w:after="0"/>
              <w:rPr>
                <w:sz w:val="6"/>
                <w:szCs w:val="6"/>
                <w:color w:val="auto"/>
              </w:rPr>
            </w:pPr>
          </w:p>
        </w:tc>
        <w:tc>
          <w:tcPr>
            <w:tcW w:w="760" w:type="dxa"/>
            <w:vAlign w:val="bottom"/>
            <w:vMerge w:val="restart"/>
          </w:tcPr>
          <w:p>
            <w:pPr>
              <w:jc w:val="center"/>
              <w:ind w:left="70"/>
              <w:spacing w:after="0"/>
              <w:rPr>
                <w:sz w:val="20"/>
                <w:szCs w:val="20"/>
                <w:color w:val="auto"/>
              </w:rPr>
            </w:pPr>
            <w:r>
              <w:rPr>
                <w:rFonts w:ascii="Arial" w:cs="Arial" w:eastAsia="Arial" w:hAnsi="Arial"/>
                <w:sz w:val="18"/>
                <w:szCs w:val="18"/>
                <w:b w:val="1"/>
                <w:bCs w:val="1"/>
                <w:color w:val="auto"/>
                <w:w w:val="79"/>
              </w:rPr>
              <w:t>9</w:t>
            </w:r>
          </w:p>
        </w:tc>
        <w:tc>
          <w:tcPr>
            <w:tcW w:w="8220" w:type="dxa"/>
            <w:vAlign w:val="bottom"/>
            <w:vMerge w:val="restart"/>
          </w:tcPr>
          <w:p>
            <w:pPr>
              <w:ind w:left="2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4"/>
        </w:trPr>
        <w:tc>
          <w:tcPr>
            <w:tcW w:w="1740" w:type="dxa"/>
            <w:vAlign w:val="bottom"/>
            <w:vMerge w:val="restart"/>
          </w:tcPr>
          <w:p>
            <w:pPr>
              <w:jc w:val="center"/>
              <w:ind w:right="390"/>
              <w:spacing w:after="0"/>
              <w:rPr>
                <w:sz w:val="20"/>
                <w:szCs w:val="20"/>
                <w:color w:val="auto"/>
              </w:rPr>
            </w:pPr>
            <w:r>
              <w:rPr>
                <w:rFonts w:ascii="Arial" w:cs="Arial" w:eastAsia="Arial" w:hAnsi="Arial"/>
                <w:sz w:val="18"/>
                <w:szCs w:val="18"/>
                <w:color w:val="auto"/>
                <w:w w:val="99"/>
              </w:rPr>
              <w:t>EACH</w:t>
            </w:r>
          </w:p>
        </w:tc>
        <w:tc>
          <w:tcPr>
            <w:tcW w:w="760" w:type="dxa"/>
            <w:vAlign w:val="bottom"/>
            <w:vMerge w:val="continue"/>
          </w:tcPr>
          <w:p>
            <w:pPr>
              <w:spacing w:after="0"/>
              <w:rPr>
                <w:sz w:val="13"/>
                <w:szCs w:val="13"/>
                <w:color w:val="auto"/>
              </w:rPr>
            </w:pPr>
          </w:p>
        </w:tc>
        <w:tc>
          <w:tcPr>
            <w:tcW w:w="82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2"/>
        </w:trPr>
        <w:tc>
          <w:tcPr>
            <w:tcW w:w="174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8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740" w:type="dxa"/>
            <w:vAlign w:val="bottom"/>
          </w:tcPr>
          <w:p>
            <w:pPr>
              <w:jc w:val="center"/>
              <w:ind w:right="410"/>
              <w:spacing w:after="0"/>
              <w:rPr>
                <w:sz w:val="20"/>
                <w:szCs w:val="20"/>
                <w:color w:val="auto"/>
              </w:rPr>
            </w:pPr>
            <w:r>
              <w:rPr>
                <w:rFonts w:ascii="Arial" w:cs="Arial" w:eastAsia="Arial" w:hAnsi="Arial"/>
                <w:sz w:val="18"/>
                <w:szCs w:val="18"/>
                <w:color w:val="auto"/>
                <w:w w:val="93"/>
              </w:rPr>
              <w:t>REPORTING</w:t>
            </w:r>
          </w:p>
        </w:tc>
        <w:tc>
          <w:tcPr>
            <w:tcW w:w="760" w:type="dxa"/>
            <w:vAlign w:val="bottom"/>
          </w:tcPr>
          <w:p>
            <w:pPr>
              <w:spacing w:after="0"/>
              <w:rPr>
                <w:sz w:val="18"/>
                <w:szCs w:val="18"/>
                <w:color w:val="auto"/>
              </w:rPr>
            </w:pPr>
          </w:p>
        </w:tc>
        <w:tc>
          <w:tcPr>
            <w:tcW w:w="822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43"/>
        </w:trPr>
        <w:tc>
          <w:tcPr>
            <w:tcW w:w="1740" w:type="dxa"/>
            <w:vAlign w:val="bottom"/>
            <w:vMerge w:val="restart"/>
          </w:tcPr>
          <w:p>
            <w:pPr>
              <w:jc w:val="center"/>
              <w:ind w:right="390"/>
              <w:spacing w:after="0"/>
              <w:rPr>
                <w:sz w:val="20"/>
                <w:szCs w:val="20"/>
                <w:color w:val="auto"/>
              </w:rPr>
            </w:pPr>
            <w:r>
              <w:rPr>
                <w:rFonts w:ascii="Arial" w:cs="Arial" w:eastAsia="Arial" w:hAnsi="Arial"/>
                <w:sz w:val="18"/>
                <w:szCs w:val="18"/>
                <w:color w:val="auto"/>
                <w:w w:val="96"/>
              </w:rPr>
              <w:t>PERSON WITH</w:t>
            </w:r>
          </w:p>
        </w:tc>
        <w:tc>
          <w:tcPr>
            <w:tcW w:w="760" w:type="dxa"/>
            <w:vAlign w:val="bottom"/>
            <w:tcBorders>
              <w:bottom w:val="single" w:sz="8" w:color="auto"/>
            </w:tcBorders>
          </w:tcPr>
          <w:p>
            <w:pPr>
              <w:spacing w:after="0"/>
              <w:rPr>
                <w:sz w:val="12"/>
                <w:szCs w:val="12"/>
                <w:color w:val="auto"/>
              </w:rPr>
            </w:pPr>
          </w:p>
        </w:tc>
        <w:tc>
          <w:tcPr>
            <w:tcW w:w="82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740" w:type="dxa"/>
            <w:vAlign w:val="bottom"/>
            <w:vMerge w:val="continue"/>
          </w:tcPr>
          <w:p>
            <w:pPr>
              <w:spacing w:after="0"/>
              <w:rPr>
                <w:sz w:val="5"/>
                <w:szCs w:val="5"/>
                <w:color w:val="auto"/>
              </w:rPr>
            </w:pPr>
          </w:p>
        </w:tc>
        <w:tc>
          <w:tcPr>
            <w:tcW w:w="760" w:type="dxa"/>
            <w:vAlign w:val="bottom"/>
            <w:vMerge w:val="restart"/>
          </w:tcPr>
          <w:p>
            <w:pPr>
              <w:jc w:val="center"/>
              <w:ind w:left="90"/>
              <w:spacing w:after="0"/>
              <w:rPr>
                <w:sz w:val="20"/>
                <w:szCs w:val="20"/>
                <w:color w:val="auto"/>
              </w:rPr>
            </w:pPr>
            <w:r>
              <w:rPr>
                <w:rFonts w:ascii="Arial" w:cs="Arial" w:eastAsia="Arial" w:hAnsi="Arial"/>
                <w:sz w:val="18"/>
                <w:szCs w:val="18"/>
                <w:b w:val="1"/>
                <w:bCs w:val="1"/>
                <w:color w:val="auto"/>
                <w:w w:val="89"/>
              </w:rPr>
              <w:t>10</w:t>
            </w:r>
          </w:p>
        </w:tc>
        <w:tc>
          <w:tcPr>
            <w:tcW w:w="8220" w:type="dxa"/>
            <w:vAlign w:val="bottom"/>
            <w:vMerge w:val="restart"/>
          </w:tcPr>
          <w:p>
            <w:pPr>
              <w:ind w:left="2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67"/>
        </w:trPr>
        <w:tc>
          <w:tcPr>
            <w:tcW w:w="17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8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4,999,996 common shares (See Item 5)</w:t>
      </w:r>
    </w:p>
    <w:p>
      <w:pPr>
        <w:spacing w:after="0" w:line="40" w:lineRule="exact"/>
        <w:rPr>
          <w:sz w:val="20"/>
          <w:szCs w:val="20"/>
          <w:color w:val="auto"/>
        </w:rPr>
      </w:pPr>
    </w:p>
    <w:p>
      <w:pPr>
        <w:ind w:left="980" w:hanging="591"/>
        <w:spacing w:after="0"/>
        <w:tabs>
          <w:tab w:leader="none" w:pos="98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21"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4,999,996 (See Item 5)</w:t>
      </w:r>
    </w:p>
    <w:p>
      <w:pPr>
        <w:spacing w:after="0" w:line="40" w:lineRule="exact"/>
        <w:rPr>
          <w:sz w:val="20"/>
          <w:szCs w:val="20"/>
          <w:color w:val="auto"/>
        </w:rPr>
      </w:pPr>
    </w:p>
    <w:p>
      <w:pPr>
        <w:ind w:left="980" w:hanging="596"/>
        <w:spacing w:after="0"/>
        <w:tabs>
          <w:tab w:leader="none" w:pos="98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CHECK BOX IF THE AGGREGATE AMOUNT IN ROW (11) EXCLUDES CERTAIN SHARES: Not Applicable*</w:t>
      </w:r>
    </w:p>
    <w:p>
      <w:pPr>
        <w:spacing w:after="0" w:line="18" w:lineRule="exact"/>
        <w:rPr>
          <w:sz w:val="20"/>
          <w:szCs w:val="20"/>
          <w:color w:val="auto"/>
        </w:rPr>
      </w:pPr>
    </w:p>
    <w:p>
      <w:pPr>
        <w:jc w:val="right"/>
        <w:ind w:right="120"/>
        <w:spacing w:after="0" w:line="181" w:lineRule="exact"/>
        <w:rPr>
          <w:sz w:val="20"/>
          <w:szCs w:val="20"/>
          <w:color w:val="auto"/>
        </w:rPr>
      </w:pPr>
      <w:r>
        <w:rPr>
          <w:rFonts w:ascii="MS PGothic" w:cs="MS PGothic" w:eastAsia="MS PGothic" w:hAnsi="MS PGothic"/>
          <w:sz w:val="18"/>
          <w:szCs w:val="18"/>
          <w:color w:val="auto"/>
        </w:rPr>
        <w:t>☐</w:t>
      </w:r>
    </w:p>
    <w:p>
      <w:pPr>
        <w:spacing w:after="0" w:line="61" w:lineRule="exact"/>
        <w:rPr>
          <w:sz w:val="20"/>
          <w:szCs w:val="20"/>
          <w:color w:val="auto"/>
        </w:rPr>
      </w:pPr>
    </w:p>
    <w:p>
      <w:pPr>
        <w:ind w:left="980" w:hanging="596"/>
        <w:spacing w:after="0"/>
        <w:tabs>
          <w:tab w:leader="none" w:pos="98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(11)</w:t>
      </w:r>
    </w:p>
    <w:p>
      <w:pPr>
        <w:spacing w:after="0" w:line="214"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31.41% of the Company’s outstanding common shares</w:t>
      </w:r>
    </w:p>
    <w:p>
      <w:pPr>
        <w:spacing w:after="0" w:line="40" w:lineRule="exact"/>
        <w:rPr>
          <w:sz w:val="20"/>
          <w:szCs w:val="20"/>
          <w:color w:val="auto"/>
        </w:rPr>
      </w:pPr>
    </w:p>
    <w:p>
      <w:pPr>
        <w:ind w:left="980" w:hanging="596"/>
        <w:spacing w:after="0"/>
        <w:tabs>
          <w:tab w:leader="none" w:pos="98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TYPE OF REPORTING PERSON*</w:t>
      </w:r>
    </w:p>
    <w:p>
      <w:pPr>
        <w:spacing w:after="0" w:line="221" w:lineRule="exact"/>
        <w:rPr>
          <w:rFonts w:ascii="Arial" w:cs="Arial" w:eastAsia="Arial" w:hAnsi="Arial"/>
          <w:sz w:val="18"/>
          <w:szCs w:val="18"/>
          <w:b w:val="1"/>
          <w:bCs w:val="1"/>
          <w:color w:val="auto"/>
        </w:rPr>
      </w:pPr>
    </w:p>
    <w:p>
      <w:pPr>
        <w:ind w:left="13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2" w:name="page3"/>
    <w:bookmarkEnd w:id="2"/>
    <w:p>
      <w:pPr>
        <w:spacing w:after="0" w:line="1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3030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03020" cy="17145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CUSIP No. G31642</w:t>
      </w:r>
    </w:p>
    <w:p>
      <w:pPr>
        <w:spacing w:after="0" w:line="20" w:lineRule="exact"/>
        <w:rPr>
          <w:sz w:val="20"/>
          <w:szCs w:val="20"/>
          <w:color w:val="auto"/>
        </w:rPr>
      </w:pPr>
      <w:r>
        <w:rPr>
          <w:sz w:val="20"/>
          <w:szCs w:val="20"/>
          <w:color w:val="auto"/>
        </w:rPr>
        <w:br w:type="column"/>
      </w:r>
    </w:p>
    <w:p>
      <w:pPr>
        <w:jc w:val="center"/>
        <w:ind w:right="3320"/>
        <w:spacing w:after="0"/>
        <w:rPr>
          <w:sz w:val="20"/>
          <w:szCs w:val="20"/>
          <w:color w:val="auto"/>
        </w:rPr>
      </w:pPr>
      <w:r>
        <w:rPr>
          <w:rFonts w:ascii="Arial" w:cs="Arial" w:eastAsia="Arial" w:hAnsi="Arial"/>
          <w:sz w:val="17"/>
          <w:szCs w:val="17"/>
          <w:b w:val="1"/>
          <w:bCs w:val="1"/>
          <w:color w:val="auto"/>
        </w:rPr>
        <w:t>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187325</wp:posOffset>
            </wp:positionV>
            <wp:extent cx="7132320" cy="5606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5606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Page 3 of 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-116840</wp:posOffset>
            </wp:positionV>
            <wp:extent cx="1148715"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48715" cy="171450"/>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4720" w:space="720"/>
            <w:col w:w="3640" w:space="720"/>
            <w:col w:w="1300"/>
          </w:cols>
          <w:pgMar w:left="460" w:top="918" w:right="339" w:bottom="1440" w:gutter="0" w:footer="0" w:header="0"/>
        </w:sectPr>
      </w:pPr>
    </w:p>
    <w:p>
      <w:pPr>
        <w:spacing w:after="0" w:line="102" w:lineRule="exact"/>
        <w:rPr>
          <w:sz w:val="20"/>
          <w:szCs w:val="20"/>
          <w:color w:val="auto"/>
        </w:rPr>
      </w:pPr>
    </w:p>
    <w:p>
      <w:pPr>
        <w:ind w:left="840" w:hanging="551"/>
        <w:spacing w:after="0"/>
        <w:tabs>
          <w:tab w:leader="none" w:pos="84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NAME OF REPORTING PERSON</w:t>
      </w:r>
    </w:p>
    <w:p>
      <w:pPr>
        <w:spacing w:after="0" w:line="221" w:lineRule="exact"/>
        <w:rPr>
          <w:sz w:val="20"/>
          <w:szCs w:val="20"/>
          <w:color w:val="auto"/>
        </w:rPr>
      </w:pPr>
    </w:p>
    <w:p>
      <w:pPr>
        <w:ind w:left="1160"/>
        <w:spacing w:after="0"/>
        <w:rPr>
          <w:sz w:val="20"/>
          <w:szCs w:val="20"/>
          <w:color w:val="auto"/>
        </w:rPr>
      </w:pPr>
      <w:r>
        <w:rPr>
          <w:rFonts w:ascii="Arial" w:cs="Arial" w:eastAsia="Arial" w:hAnsi="Arial"/>
          <w:sz w:val="18"/>
          <w:szCs w:val="18"/>
          <w:b w:val="1"/>
          <w:bCs w:val="1"/>
          <w:color w:val="auto"/>
        </w:rPr>
        <w:t>Raymond Ming Hui Lin</w:t>
      </w:r>
    </w:p>
    <w:p>
      <w:pPr>
        <w:spacing w:after="0" w:line="40" w:lineRule="exact"/>
        <w:rPr>
          <w:sz w:val="20"/>
          <w:szCs w:val="20"/>
          <w:color w:val="auto"/>
        </w:rPr>
      </w:pPr>
    </w:p>
    <w:p>
      <w:pPr>
        <w:ind w:left="840" w:hanging="551"/>
        <w:spacing w:after="0"/>
        <w:tabs>
          <w:tab w:leader="none" w:pos="84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ind w:left="105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9" w:lineRule="exact"/>
        <w:rPr>
          <w:sz w:val="20"/>
          <w:szCs w:val="20"/>
          <w:color w:val="auto"/>
        </w:rPr>
      </w:pPr>
    </w:p>
    <w:p>
      <w:pPr>
        <w:ind w:left="105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34" w:lineRule="exact"/>
        <w:rPr>
          <w:sz w:val="20"/>
          <w:szCs w:val="20"/>
          <w:color w:val="auto"/>
        </w:rPr>
      </w:pPr>
    </w:p>
    <w:p>
      <w:pPr>
        <w:ind w:left="840" w:hanging="551"/>
        <w:spacing w:after="0"/>
        <w:tabs>
          <w:tab w:leader="none" w:pos="84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45" w:lineRule="exact"/>
        <w:rPr>
          <w:sz w:val="20"/>
          <w:szCs w:val="20"/>
          <w:color w:val="auto"/>
        </w:rPr>
      </w:pPr>
    </w:p>
    <w:p>
      <w:pPr>
        <w:ind w:left="840" w:hanging="551"/>
        <w:spacing w:after="0"/>
        <w:tabs>
          <w:tab w:leader="none" w:pos="84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SOURCE OF FUNDS*</w:t>
      </w:r>
    </w:p>
    <w:p>
      <w:pPr>
        <w:spacing w:after="0" w:line="221" w:lineRule="exact"/>
        <w:rPr>
          <w:sz w:val="20"/>
          <w:szCs w:val="20"/>
          <w:color w:val="auto"/>
        </w:rPr>
      </w:pPr>
    </w:p>
    <w:p>
      <w:pPr>
        <w:ind w:left="1160"/>
        <w:spacing w:after="0"/>
        <w:rPr>
          <w:sz w:val="20"/>
          <w:szCs w:val="20"/>
          <w:color w:val="auto"/>
        </w:rPr>
      </w:pPr>
      <w:r>
        <w:rPr>
          <w:rFonts w:ascii="Arial" w:cs="Arial" w:eastAsia="Arial" w:hAnsi="Arial"/>
          <w:sz w:val="18"/>
          <w:szCs w:val="18"/>
          <w:b w:val="1"/>
          <w:bCs w:val="1"/>
          <w:color w:val="auto"/>
        </w:rPr>
        <w:t>PF/OO</w:t>
      </w:r>
    </w:p>
    <w:p>
      <w:pPr>
        <w:spacing w:after="0" w:line="40" w:lineRule="exact"/>
        <w:rPr>
          <w:sz w:val="20"/>
          <w:szCs w:val="20"/>
          <w:color w:val="auto"/>
        </w:rPr>
      </w:pPr>
    </w:p>
    <w:p>
      <w:pPr>
        <w:ind w:left="840" w:hanging="551"/>
        <w:spacing w:after="0"/>
        <w:tabs>
          <w:tab w:leader="none" w:pos="84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CHECK BOX IF DISCLOSURE OF LEGAL PROCEEDINGS IS REQUIRED PURSUANT TO ITEMS 2(d) OR 2(e)</w:t>
      </w:r>
    </w:p>
    <w:p>
      <w:pPr>
        <w:spacing w:after="0" w:line="18" w:lineRule="exact"/>
        <w:rPr>
          <w:sz w:val="20"/>
          <w:szCs w:val="20"/>
          <w:color w:val="auto"/>
        </w:rPr>
      </w:pPr>
    </w:p>
    <w:p>
      <w:pPr>
        <w:ind w:left="10800"/>
        <w:spacing w:after="0" w:line="181" w:lineRule="exact"/>
        <w:rPr>
          <w:sz w:val="20"/>
          <w:szCs w:val="20"/>
          <w:color w:val="auto"/>
        </w:rPr>
      </w:pPr>
      <w:r>
        <w:rPr>
          <w:rFonts w:ascii="MS PGothic" w:cs="MS PGothic" w:eastAsia="MS PGothic" w:hAnsi="MS PGothic"/>
          <w:sz w:val="18"/>
          <w:szCs w:val="18"/>
          <w:color w:val="auto"/>
        </w:rPr>
        <w:t>☐</w:t>
      </w:r>
    </w:p>
    <w:p>
      <w:pPr>
        <w:spacing w:after="0" w:line="61" w:lineRule="exact"/>
        <w:rPr>
          <w:sz w:val="20"/>
          <w:szCs w:val="20"/>
          <w:color w:val="auto"/>
        </w:rPr>
      </w:pPr>
    </w:p>
    <w:p>
      <w:pPr>
        <w:ind w:left="840" w:hanging="551"/>
        <w:spacing w:after="0"/>
        <w:tabs>
          <w:tab w:leader="none" w:pos="84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14" w:lineRule="exact"/>
        <w:rPr>
          <w:sz w:val="20"/>
          <w:szCs w:val="20"/>
          <w:color w:val="auto"/>
        </w:rPr>
      </w:pPr>
    </w:p>
    <w:p>
      <w:pPr>
        <w:ind w:left="1160"/>
        <w:spacing w:after="0"/>
        <w:rPr>
          <w:sz w:val="20"/>
          <w:szCs w:val="20"/>
          <w:color w:val="auto"/>
        </w:rPr>
      </w:pPr>
      <w:r>
        <w:rPr>
          <w:rFonts w:ascii="Arial" w:cs="Arial" w:eastAsia="Arial" w:hAnsi="Arial"/>
          <w:sz w:val="18"/>
          <w:szCs w:val="18"/>
          <w:b w:val="1"/>
          <w:bCs w:val="1"/>
          <w:color w:val="auto"/>
        </w:rPr>
        <w:t>Hong Kong Special Administrative Region of the People’s Republic of China</w:t>
      </w:r>
    </w:p>
    <w:p>
      <w:pPr>
        <w:spacing w:after="0" w:line="40" w:lineRule="exact"/>
        <w:rPr>
          <w:sz w:val="20"/>
          <w:szCs w:val="20"/>
          <w:color w:val="auto"/>
        </w:rPr>
      </w:pPr>
    </w:p>
    <w:p>
      <w:pPr>
        <w:ind w:left="3080" w:hanging="543"/>
        <w:spacing w:after="0"/>
        <w:tabs>
          <w:tab w:leader="none" w:pos="308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SOLE VOTING POWER</w:t>
      </w:r>
    </w:p>
    <w:p>
      <w:pPr>
        <w:spacing w:after="0" w:line="221" w:lineRule="exact"/>
        <w:rPr>
          <w:sz w:val="20"/>
          <w:szCs w:val="20"/>
          <w:color w:val="auto"/>
        </w:rPr>
      </w:pPr>
    </w:p>
    <w:tbl>
      <w:tblPr>
        <w:tblLayout w:type="fixed"/>
        <w:tblInd w:w="380" w:type="dxa"/>
        <w:tblCellMar>
          <w:top w:w="0" w:type="dxa"/>
          <w:left w:w="0" w:type="dxa"/>
          <w:bottom w:w="0" w:type="dxa"/>
          <w:right w:w="0" w:type="dxa"/>
        </w:tblCellMar>
      </w:tblPr>
      <w:tr>
        <w:trPr>
          <w:trHeight w:val="241"/>
        </w:trPr>
        <w:tc>
          <w:tcPr>
            <w:tcW w:w="1740" w:type="dxa"/>
            <w:vAlign w:val="bottom"/>
            <w:vMerge w:val="restart"/>
          </w:tcPr>
          <w:p>
            <w:pPr>
              <w:jc w:val="center"/>
              <w:ind w:right="390"/>
              <w:spacing w:after="0"/>
              <w:rPr>
                <w:sz w:val="20"/>
                <w:szCs w:val="20"/>
                <w:color w:val="auto"/>
              </w:rPr>
            </w:pPr>
            <w:r>
              <w:rPr>
                <w:rFonts w:ascii="Arial" w:cs="Arial" w:eastAsia="Arial" w:hAnsi="Arial"/>
                <w:sz w:val="18"/>
                <w:szCs w:val="18"/>
                <w:color w:val="auto"/>
                <w:w w:val="98"/>
              </w:rPr>
              <w:t>NUMBER OF</w:t>
            </w:r>
          </w:p>
        </w:tc>
        <w:tc>
          <w:tcPr>
            <w:tcW w:w="760" w:type="dxa"/>
            <w:vAlign w:val="bottom"/>
            <w:tcBorders>
              <w:bottom w:val="single" w:sz="8" w:color="auto"/>
            </w:tcBorders>
          </w:tcPr>
          <w:p>
            <w:pPr>
              <w:spacing w:after="0"/>
              <w:rPr>
                <w:sz w:val="20"/>
                <w:szCs w:val="20"/>
                <w:color w:val="auto"/>
              </w:rPr>
            </w:pPr>
          </w:p>
        </w:tc>
        <w:tc>
          <w:tcPr>
            <w:tcW w:w="822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5,671,986 common shares</w:t>
            </w:r>
          </w:p>
        </w:tc>
        <w:tc>
          <w:tcPr>
            <w:tcW w:w="0" w:type="dxa"/>
            <w:vAlign w:val="bottom"/>
          </w:tcPr>
          <w:p>
            <w:pPr>
              <w:spacing w:after="0"/>
              <w:rPr>
                <w:sz w:val="1"/>
                <w:szCs w:val="1"/>
                <w:color w:val="auto"/>
              </w:rPr>
            </w:pPr>
          </w:p>
        </w:tc>
      </w:tr>
      <w:tr>
        <w:trPr>
          <w:trHeight w:val="107"/>
        </w:trPr>
        <w:tc>
          <w:tcPr>
            <w:tcW w:w="1740" w:type="dxa"/>
            <w:vAlign w:val="bottom"/>
            <w:vMerge w:val="continue"/>
          </w:tcPr>
          <w:p>
            <w:pPr>
              <w:spacing w:after="0"/>
              <w:rPr>
                <w:sz w:val="9"/>
                <w:szCs w:val="9"/>
                <w:color w:val="auto"/>
              </w:rPr>
            </w:pPr>
          </w:p>
        </w:tc>
        <w:tc>
          <w:tcPr>
            <w:tcW w:w="760" w:type="dxa"/>
            <w:vAlign w:val="bottom"/>
            <w:vMerge w:val="restart"/>
          </w:tcPr>
          <w:p>
            <w:pPr>
              <w:jc w:val="center"/>
              <w:ind w:left="70"/>
              <w:spacing w:after="0"/>
              <w:rPr>
                <w:sz w:val="20"/>
                <w:szCs w:val="20"/>
                <w:color w:val="auto"/>
              </w:rPr>
            </w:pPr>
            <w:r>
              <w:rPr>
                <w:rFonts w:ascii="Arial" w:cs="Arial" w:eastAsia="Arial" w:hAnsi="Arial"/>
                <w:sz w:val="18"/>
                <w:szCs w:val="18"/>
                <w:b w:val="1"/>
                <w:bCs w:val="1"/>
                <w:color w:val="auto"/>
                <w:w w:val="79"/>
              </w:rPr>
              <w:t>8</w:t>
            </w:r>
          </w:p>
        </w:tc>
        <w:tc>
          <w:tcPr>
            <w:tcW w:w="8220" w:type="dxa"/>
            <w:vAlign w:val="bottom"/>
            <w:vMerge w:val="restart"/>
          </w:tcPr>
          <w:p>
            <w:pPr>
              <w:ind w:left="2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27"/>
        </w:trPr>
        <w:tc>
          <w:tcPr>
            <w:tcW w:w="1740" w:type="dxa"/>
            <w:vAlign w:val="bottom"/>
            <w:vMerge w:val="restart"/>
          </w:tcPr>
          <w:p>
            <w:pPr>
              <w:jc w:val="center"/>
              <w:ind w:right="390"/>
              <w:spacing w:after="0"/>
              <w:rPr>
                <w:sz w:val="20"/>
                <w:szCs w:val="20"/>
                <w:color w:val="auto"/>
              </w:rPr>
            </w:pPr>
            <w:r>
              <w:rPr>
                <w:rFonts w:ascii="Arial" w:cs="Arial" w:eastAsia="Arial" w:hAnsi="Arial"/>
                <w:sz w:val="18"/>
                <w:szCs w:val="18"/>
                <w:color w:val="auto"/>
                <w:w w:val="94"/>
              </w:rPr>
              <w:t>SHARES</w:t>
            </w:r>
          </w:p>
        </w:tc>
        <w:tc>
          <w:tcPr>
            <w:tcW w:w="760" w:type="dxa"/>
            <w:vAlign w:val="bottom"/>
            <w:vMerge w:val="continue"/>
          </w:tcPr>
          <w:p>
            <w:pPr>
              <w:spacing w:after="0"/>
              <w:rPr>
                <w:sz w:val="11"/>
                <w:szCs w:val="11"/>
                <w:color w:val="auto"/>
              </w:rPr>
            </w:pPr>
          </w:p>
        </w:tc>
        <w:tc>
          <w:tcPr>
            <w:tcW w:w="8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17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8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740" w:type="dxa"/>
            <w:vAlign w:val="bottom"/>
          </w:tcPr>
          <w:p>
            <w:pPr>
              <w:jc w:val="center"/>
              <w:ind w:right="390"/>
              <w:spacing w:after="0"/>
              <w:rPr>
                <w:sz w:val="20"/>
                <w:szCs w:val="20"/>
                <w:color w:val="auto"/>
              </w:rPr>
            </w:pPr>
            <w:r>
              <w:rPr>
                <w:rFonts w:ascii="Arial" w:cs="Arial" w:eastAsia="Arial" w:hAnsi="Arial"/>
                <w:sz w:val="18"/>
                <w:szCs w:val="18"/>
                <w:color w:val="auto"/>
                <w:w w:val="99"/>
              </w:rPr>
              <w:t>BENEFICIALLY</w:t>
            </w:r>
          </w:p>
        </w:tc>
        <w:tc>
          <w:tcPr>
            <w:tcW w:w="760" w:type="dxa"/>
            <w:vAlign w:val="bottom"/>
          </w:tcPr>
          <w:p>
            <w:pPr>
              <w:spacing w:after="0"/>
              <w:rPr>
                <w:sz w:val="18"/>
                <w:szCs w:val="18"/>
                <w:color w:val="auto"/>
              </w:rPr>
            </w:pPr>
          </w:p>
        </w:tc>
        <w:tc>
          <w:tcPr>
            <w:tcW w:w="822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16"/>
        </w:trPr>
        <w:tc>
          <w:tcPr>
            <w:tcW w:w="1740" w:type="dxa"/>
            <w:vAlign w:val="bottom"/>
            <w:vMerge w:val="restart"/>
          </w:tcPr>
          <w:p>
            <w:pPr>
              <w:jc w:val="center"/>
              <w:ind w:right="390"/>
              <w:spacing w:after="0"/>
              <w:rPr>
                <w:sz w:val="20"/>
                <w:szCs w:val="20"/>
                <w:color w:val="auto"/>
              </w:rPr>
            </w:pPr>
            <w:r>
              <w:rPr>
                <w:rFonts w:ascii="Arial" w:cs="Arial" w:eastAsia="Arial" w:hAnsi="Arial"/>
                <w:sz w:val="18"/>
                <w:szCs w:val="18"/>
                <w:color w:val="auto"/>
                <w:w w:val="99"/>
              </w:rPr>
              <w:t>OWNED BY</w:t>
            </w:r>
          </w:p>
        </w:tc>
        <w:tc>
          <w:tcPr>
            <w:tcW w:w="760" w:type="dxa"/>
            <w:vAlign w:val="bottom"/>
            <w:tcBorders>
              <w:bottom w:val="single" w:sz="8" w:color="auto"/>
            </w:tcBorders>
          </w:tcPr>
          <w:p>
            <w:pPr>
              <w:spacing w:after="0"/>
              <w:rPr>
                <w:sz w:val="10"/>
                <w:szCs w:val="10"/>
                <w:color w:val="auto"/>
              </w:rPr>
            </w:pPr>
          </w:p>
        </w:tc>
        <w:tc>
          <w:tcPr>
            <w:tcW w:w="82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740" w:type="dxa"/>
            <w:vAlign w:val="bottom"/>
            <w:vMerge w:val="continue"/>
          </w:tcPr>
          <w:p>
            <w:pPr>
              <w:spacing w:after="0"/>
              <w:rPr>
                <w:sz w:val="6"/>
                <w:szCs w:val="6"/>
                <w:color w:val="auto"/>
              </w:rPr>
            </w:pPr>
          </w:p>
        </w:tc>
        <w:tc>
          <w:tcPr>
            <w:tcW w:w="760" w:type="dxa"/>
            <w:vAlign w:val="bottom"/>
            <w:vMerge w:val="restart"/>
          </w:tcPr>
          <w:p>
            <w:pPr>
              <w:jc w:val="center"/>
              <w:ind w:left="70"/>
              <w:spacing w:after="0"/>
              <w:rPr>
                <w:sz w:val="20"/>
                <w:szCs w:val="20"/>
                <w:color w:val="auto"/>
              </w:rPr>
            </w:pPr>
            <w:r>
              <w:rPr>
                <w:rFonts w:ascii="Arial" w:cs="Arial" w:eastAsia="Arial" w:hAnsi="Arial"/>
                <w:sz w:val="18"/>
                <w:szCs w:val="18"/>
                <w:b w:val="1"/>
                <w:bCs w:val="1"/>
                <w:color w:val="auto"/>
                <w:w w:val="79"/>
              </w:rPr>
              <w:t>9</w:t>
            </w:r>
          </w:p>
        </w:tc>
        <w:tc>
          <w:tcPr>
            <w:tcW w:w="8220" w:type="dxa"/>
            <w:vAlign w:val="bottom"/>
            <w:vMerge w:val="restart"/>
          </w:tcPr>
          <w:p>
            <w:pPr>
              <w:ind w:left="2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4"/>
        </w:trPr>
        <w:tc>
          <w:tcPr>
            <w:tcW w:w="1740" w:type="dxa"/>
            <w:vAlign w:val="bottom"/>
            <w:vMerge w:val="restart"/>
          </w:tcPr>
          <w:p>
            <w:pPr>
              <w:jc w:val="center"/>
              <w:ind w:right="390"/>
              <w:spacing w:after="0"/>
              <w:rPr>
                <w:sz w:val="20"/>
                <w:szCs w:val="20"/>
                <w:color w:val="auto"/>
              </w:rPr>
            </w:pPr>
            <w:r>
              <w:rPr>
                <w:rFonts w:ascii="Arial" w:cs="Arial" w:eastAsia="Arial" w:hAnsi="Arial"/>
                <w:sz w:val="18"/>
                <w:szCs w:val="18"/>
                <w:color w:val="auto"/>
                <w:w w:val="99"/>
              </w:rPr>
              <w:t>EACH</w:t>
            </w:r>
          </w:p>
        </w:tc>
        <w:tc>
          <w:tcPr>
            <w:tcW w:w="760" w:type="dxa"/>
            <w:vAlign w:val="bottom"/>
            <w:vMerge w:val="continue"/>
          </w:tcPr>
          <w:p>
            <w:pPr>
              <w:spacing w:after="0"/>
              <w:rPr>
                <w:sz w:val="13"/>
                <w:szCs w:val="13"/>
                <w:color w:val="auto"/>
              </w:rPr>
            </w:pPr>
          </w:p>
        </w:tc>
        <w:tc>
          <w:tcPr>
            <w:tcW w:w="82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2"/>
        </w:trPr>
        <w:tc>
          <w:tcPr>
            <w:tcW w:w="174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8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740" w:type="dxa"/>
            <w:vAlign w:val="bottom"/>
          </w:tcPr>
          <w:p>
            <w:pPr>
              <w:jc w:val="center"/>
              <w:ind w:right="410"/>
              <w:spacing w:after="0"/>
              <w:rPr>
                <w:sz w:val="20"/>
                <w:szCs w:val="20"/>
                <w:color w:val="auto"/>
              </w:rPr>
            </w:pPr>
            <w:r>
              <w:rPr>
                <w:rFonts w:ascii="Arial" w:cs="Arial" w:eastAsia="Arial" w:hAnsi="Arial"/>
                <w:sz w:val="18"/>
                <w:szCs w:val="18"/>
                <w:color w:val="auto"/>
                <w:w w:val="93"/>
              </w:rPr>
              <w:t>REPORTING</w:t>
            </w:r>
          </w:p>
        </w:tc>
        <w:tc>
          <w:tcPr>
            <w:tcW w:w="760" w:type="dxa"/>
            <w:vAlign w:val="bottom"/>
          </w:tcPr>
          <w:p>
            <w:pPr>
              <w:spacing w:after="0"/>
              <w:rPr>
                <w:sz w:val="18"/>
                <w:szCs w:val="18"/>
                <w:color w:val="auto"/>
              </w:rPr>
            </w:pPr>
          </w:p>
        </w:tc>
        <w:tc>
          <w:tcPr>
            <w:tcW w:w="822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5,671,986 common shares</w:t>
            </w:r>
          </w:p>
        </w:tc>
        <w:tc>
          <w:tcPr>
            <w:tcW w:w="0" w:type="dxa"/>
            <w:vAlign w:val="bottom"/>
          </w:tcPr>
          <w:p>
            <w:pPr>
              <w:spacing w:after="0"/>
              <w:rPr>
                <w:sz w:val="1"/>
                <w:szCs w:val="1"/>
                <w:color w:val="auto"/>
              </w:rPr>
            </w:pPr>
          </w:p>
        </w:tc>
      </w:tr>
      <w:tr>
        <w:trPr>
          <w:trHeight w:val="143"/>
        </w:trPr>
        <w:tc>
          <w:tcPr>
            <w:tcW w:w="1740" w:type="dxa"/>
            <w:vAlign w:val="bottom"/>
            <w:vMerge w:val="restart"/>
          </w:tcPr>
          <w:p>
            <w:pPr>
              <w:jc w:val="center"/>
              <w:ind w:right="390"/>
              <w:spacing w:after="0"/>
              <w:rPr>
                <w:sz w:val="20"/>
                <w:szCs w:val="20"/>
                <w:color w:val="auto"/>
              </w:rPr>
            </w:pPr>
            <w:r>
              <w:rPr>
                <w:rFonts w:ascii="Arial" w:cs="Arial" w:eastAsia="Arial" w:hAnsi="Arial"/>
                <w:sz w:val="18"/>
                <w:szCs w:val="18"/>
                <w:color w:val="auto"/>
                <w:w w:val="96"/>
              </w:rPr>
              <w:t>PERSON WITH</w:t>
            </w:r>
          </w:p>
        </w:tc>
        <w:tc>
          <w:tcPr>
            <w:tcW w:w="760" w:type="dxa"/>
            <w:vAlign w:val="bottom"/>
            <w:tcBorders>
              <w:bottom w:val="single" w:sz="8" w:color="auto"/>
            </w:tcBorders>
          </w:tcPr>
          <w:p>
            <w:pPr>
              <w:spacing w:after="0"/>
              <w:rPr>
                <w:sz w:val="12"/>
                <w:szCs w:val="12"/>
                <w:color w:val="auto"/>
              </w:rPr>
            </w:pPr>
          </w:p>
        </w:tc>
        <w:tc>
          <w:tcPr>
            <w:tcW w:w="82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740" w:type="dxa"/>
            <w:vAlign w:val="bottom"/>
            <w:vMerge w:val="continue"/>
          </w:tcPr>
          <w:p>
            <w:pPr>
              <w:spacing w:after="0"/>
              <w:rPr>
                <w:sz w:val="5"/>
                <w:szCs w:val="5"/>
                <w:color w:val="auto"/>
              </w:rPr>
            </w:pPr>
          </w:p>
        </w:tc>
        <w:tc>
          <w:tcPr>
            <w:tcW w:w="760" w:type="dxa"/>
            <w:vAlign w:val="bottom"/>
            <w:vMerge w:val="restart"/>
          </w:tcPr>
          <w:p>
            <w:pPr>
              <w:jc w:val="center"/>
              <w:ind w:left="90"/>
              <w:spacing w:after="0"/>
              <w:rPr>
                <w:sz w:val="20"/>
                <w:szCs w:val="20"/>
                <w:color w:val="auto"/>
              </w:rPr>
            </w:pPr>
            <w:r>
              <w:rPr>
                <w:rFonts w:ascii="Arial" w:cs="Arial" w:eastAsia="Arial" w:hAnsi="Arial"/>
                <w:sz w:val="18"/>
                <w:szCs w:val="18"/>
                <w:b w:val="1"/>
                <w:bCs w:val="1"/>
                <w:color w:val="auto"/>
                <w:w w:val="89"/>
              </w:rPr>
              <w:t>10</w:t>
            </w:r>
          </w:p>
        </w:tc>
        <w:tc>
          <w:tcPr>
            <w:tcW w:w="8220" w:type="dxa"/>
            <w:vAlign w:val="bottom"/>
            <w:vMerge w:val="restart"/>
          </w:tcPr>
          <w:p>
            <w:pPr>
              <w:ind w:left="2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67"/>
        </w:trPr>
        <w:tc>
          <w:tcPr>
            <w:tcW w:w="17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8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0</w:t>
      </w:r>
    </w:p>
    <w:p>
      <w:pPr>
        <w:spacing w:after="0" w:line="40" w:lineRule="exact"/>
        <w:rPr>
          <w:sz w:val="20"/>
          <w:szCs w:val="20"/>
          <w:color w:val="auto"/>
        </w:rPr>
      </w:pPr>
    </w:p>
    <w:p>
      <w:pPr>
        <w:ind w:left="840" w:hanging="591"/>
        <w:spacing w:after="0"/>
        <w:tabs>
          <w:tab w:leader="none" w:pos="84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21" w:lineRule="exact"/>
        <w:rPr>
          <w:sz w:val="20"/>
          <w:szCs w:val="20"/>
          <w:color w:val="auto"/>
        </w:rPr>
      </w:pPr>
    </w:p>
    <w:p>
      <w:pPr>
        <w:ind w:left="1160"/>
        <w:spacing w:after="0"/>
        <w:rPr>
          <w:sz w:val="20"/>
          <w:szCs w:val="20"/>
          <w:color w:val="auto"/>
        </w:rPr>
      </w:pPr>
      <w:r>
        <w:rPr>
          <w:rFonts w:ascii="Arial" w:cs="Arial" w:eastAsia="Arial" w:hAnsi="Arial"/>
          <w:sz w:val="18"/>
          <w:szCs w:val="18"/>
          <w:b w:val="1"/>
          <w:bCs w:val="1"/>
          <w:color w:val="auto"/>
        </w:rPr>
        <w:t>5,671,986 common shares</w:t>
      </w:r>
    </w:p>
    <w:p>
      <w:pPr>
        <w:spacing w:after="0" w:line="40" w:lineRule="exact"/>
        <w:rPr>
          <w:sz w:val="20"/>
          <w:szCs w:val="20"/>
          <w:color w:val="auto"/>
        </w:rPr>
      </w:pPr>
    </w:p>
    <w:p>
      <w:pPr>
        <w:ind w:left="840" w:hanging="596"/>
        <w:spacing w:after="0"/>
        <w:tabs>
          <w:tab w:leader="none" w:pos="84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CHECK BOX IF THE AGGREGATE AMOUNT IN ROW (11) EXCLUDES CERTAIN SHARES: Not applicable*</w:t>
      </w:r>
    </w:p>
    <w:p>
      <w:pPr>
        <w:spacing w:after="0" w:line="18" w:lineRule="exact"/>
        <w:rPr>
          <w:sz w:val="20"/>
          <w:szCs w:val="20"/>
          <w:color w:val="auto"/>
        </w:rPr>
      </w:pPr>
    </w:p>
    <w:p>
      <w:pPr>
        <w:jc w:val="right"/>
        <w:ind w:right="120"/>
        <w:spacing w:after="0" w:line="181" w:lineRule="exact"/>
        <w:rPr>
          <w:sz w:val="20"/>
          <w:szCs w:val="20"/>
          <w:color w:val="auto"/>
        </w:rPr>
      </w:pPr>
      <w:r>
        <w:rPr>
          <w:rFonts w:ascii="MS PGothic" w:cs="MS PGothic" w:eastAsia="MS PGothic" w:hAnsi="MS PGothic"/>
          <w:sz w:val="18"/>
          <w:szCs w:val="18"/>
          <w:color w:val="auto"/>
        </w:rPr>
        <w:t>☐</w:t>
      </w:r>
    </w:p>
    <w:p>
      <w:pPr>
        <w:spacing w:after="0" w:line="61" w:lineRule="exact"/>
        <w:rPr>
          <w:sz w:val="20"/>
          <w:szCs w:val="20"/>
          <w:color w:val="auto"/>
        </w:rPr>
      </w:pPr>
    </w:p>
    <w:p>
      <w:pPr>
        <w:ind w:left="840" w:hanging="596"/>
        <w:spacing w:after="0"/>
        <w:tabs>
          <w:tab w:leader="none" w:pos="84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(11)</w:t>
      </w:r>
    </w:p>
    <w:p>
      <w:pPr>
        <w:spacing w:after="0" w:line="214" w:lineRule="exact"/>
        <w:rPr>
          <w:sz w:val="20"/>
          <w:szCs w:val="20"/>
          <w:color w:val="auto"/>
        </w:rPr>
      </w:pPr>
    </w:p>
    <w:p>
      <w:pPr>
        <w:ind w:left="1160"/>
        <w:spacing w:after="0"/>
        <w:rPr>
          <w:sz w:val="20"/>
          <w:szCs w:val="20"/>
          <w:color w:val="auto"/>
        </w:rPr>
      </w:pPr>
      <w:r>
        <w:rPr>
          <w:rFonts w:ascii="Arial" w:cs="Arial" w:eastAsia="Arial" w:hAnsi="Arial"/>
          <w:sz w:val="18"/>
          <w:szCs w:val="18"/>
          <w:b w:val="1"/>
          <w:bCs w:val="1"/>
          <w:color w:val="auto"/>
        </w:rPr>
        <w:t>35.63% of the Company’s outstanding common shares</w:t>
      </w:r>
    </w:p>
    <w:p>
      <w:pPr>
        <w:spacing w:after="0" w:line="40" w:lineRule="exact"/>
        <w:rPr>
          <w:sz w:val="20"/>
          <w:szCs w:val="20"/>
          <w:color w:val="auto"/>
        </w:rPr>
      </w:pPr>
    </w:p>
    <w:p>
      <w:pPr>
        <w:ind w:left="840" w:hanging="596"/>
        <w:spacing w:after="0"/>
        <w:tabs>
          <w:tab w:leader="none" w:pos="84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TYPE OF REPORTING PERSON*</w:t>
      </w:r>
    </w:p>
    <w:p>
      <w:pPr>
        <w:spacing w:after="0" w:line="221"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462915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460" w:top="918" w:right="339" w:bottom="1440" w:gutter="0" w:footer="0" w:header="0"/>
          <w:type w:val="continuous"/>
        </w:sectPr>
      </w:pPr>
    </w:p>
    <w:bookmarkStart w:id="3" w:name="page4"/>
    <w:bookmarkEnd w:id="3"/>
    <w:p>
      <w:pPr>
        <w:spacing w:after="0" w:line="1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3030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03020" cy="171450"/>
                    </a:xfrm>
                    <a:prstGeom prst="rect">
                      <a:avLst/>
                    </a:prstGeom>
                    <a:noFill/>
                  </pic:spPr>
                </pic:pic>
              </a:graphicData>
            </a:graphic>
          </wp:anchor>
        </w:drawing>
      </w:r>
    </w:p>
    <w:p>
      <w:pPr>
        <w:ind w:left="140"/>
        <w:spacing w:after="0"/>
        <w:rPr>
          <w:sz w:val="20"/>
          <w:szCs w:val="20"/>
          <w:color w:val="auto"/>
        </w:rPr>
      </w:pPr>
      <w:r>
        <w:rPr>
          <w:rFonts w:ascii="Arial" w:cs="Arial" w:eastAsia="Arial" w:hAnsi="Arial"/>
          <w:sz w:val="16"/>
          <w:szCs w:val="16"/>
          <w:color w:val="auto"/>
        </w:rPr>
        <w:t>CUSIP No. G31642</w:t>
      </w:r>
    </w:p>
    <w:p>
      <w:pPr>
        <w:spacing w:after="0" w:line="20" w:lineRule="exact"/>
        <w:rPr>
          <w:sz w:val="20"/>
          <w:szCs w:val="20"/>
          <w:color w:val="auto"/>
        </w:rPr>
      </w:pPr>
      <w:r>
        <w:rPr>
          <w:sz w:val="20"/>
          <w:szCs w:val="20"/>
          <w:color w:val="auto"/>
        </w:rPr>
        <w:br w:type="column"/>
      </w:r>
    </w:p>
    <w:p>
      <w:pPr>
        <w:jc w:val="center"/>
        <w:ind w:right="2400"/>
        <w:spacing w:after="0"/>
        <w:rPr>
          <w:sz w:val="20"/>
          <w:szCs w:val="20"/>
          <w:color w:val="auto"/>
        </w:rPr>
      </w:pPr>
      <w:r>
        <w:rPr>
          <w:rFonts w:ascii="Arial" w:cs="Arial" w:eastAsia="Arial" w:hAnsi="Arial"/>
          <w:sz w:val="18"/>
          <w:szCs w:val="18"/>
          <w:b w:val="1"/>
          <w:bCs w:val="1"/>
          <w:color w:val="auto"/>
        </w:rPr>
        <w:t>13D</w:t>
      </w:r>
    </w:p>
    <w:p>
      <w:pPr>
        <w:spacing w:after="0" w:line="266" w:lineRule="exact"/>
        <w:rPr>
          <w:sz w:val="20"/>
          <w:szCs w:val="20"/>
          <w:color w:val="auto"/>
        </w:rPr>
      </w:pPr>
    </w:p>
    <w:p>
      <w:pPr>
        <w:jc w:val="center"/>
        <w:ind w:right="2640"/>
        <w:spacing w:after="0"/>
        <w:rPr>
          <w:sz w:val="20"/>
          <w:szCs w:val="20"/>
          <w:color w:val="auto"/>
        </w:rPr>
      </w:pPr>
      <w:r>
        <w:rPr>
          <w:rFonts w:ascii="Arial" w:cs="Arial" w:eastAsia="Arial" w:hAnsi="Arial"/>
          <w:sz w:val="18"/>
          <w:szCs w:val="18"/>
          <w:b w:val="1"/>
          <w:bCs w:val="1"/>
          <w:color w:val="auto"/>
        </w:rPr>
        <w:t>EXPLANATORY NOTE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Page 4 of 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-116840</wp:posOffset>
            </wp:positionV>
            <wp:extent cx="1148715"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48715" cy="171450"/>
                    </a:xfrm>
                    <a:prstGeom prst="rect">
                      <a:avLst/>
                    </a:prstGeom>
                    <a:noFill/>
                  </pic:spPr>
                </pic:pic>
              </a:graphicData>
            </a:graphic>
          </wp:anchor>
        </w:drawing>
      </w:r>
    </w:p>
    <w:p>
      <w:pPr>
        <w:spacing w:after="0" w:line="689" w:lineRule="exact"/>
        <w:rPr>
          <w:sz w:val="20"/>
          <w:szCs w:val="20"/>
          <w:color w:val="auto"/>
        </w:rPr>
      </w:pPr>
    </w:p>
    <w:p>
      <w:pPr>
        <w:sectPr>
          <w:pgSz w:w="11900" w:h="16838" w:orient="portrait"/>
          <w:cols w:equalWidth="0" w:num="3">
            <w:col w:w="3940" w:space="720"/>
            <w:col w:w="4560" w:space="720"/>
            <w:col w:w="1300"/>
          </w:cols>
          <w:pgMar w:left="320" w:top="918" w:right="339" w:bottom="1440" w:gutter="0" w:footer="0" w:header="0"/>
        </w:sectPr>
      </w:pPr>
    </w:p>
    <w:p>
      <w:pPr>
        <w:spacing w:after="0" w:line="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This Amendment No. 2 to Schedule 13D amends the Amendment No. 1 to Schedule 13D filed on January 23, 2020 (the “Original 13D”). This Amendment and the Original 13D are hereby referred to as the “Schedule 13D”.</w:t>
      </w:r>
    </w:p>
    <w:p>
      <w:pPr>
        <w:spacing w:after="0" w:line="170"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Except as specifically amended below, all other provisions of the Schedule 13D remain in effect. Capitalized terms used and not defined in this Amendment are used as defined in the Original 13D. This Amendment is being filed to reflect the acquisition by Mr. Raymond Ming Hui Lin, a Reporting Person, of 250,000 common shares of the Company pursuant to a grant under the Company’s 2020 Equity Incentive Plan.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Security and Issuer.</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title and class of equity securities to which this Schedule 13D relates is the common shares, par value $0.0001 per share (“Common Shares”), of CLPS Incorporation, a Cayman Islands corporation (the “Company”). The Company’s principal executive office is located at Unit 702, 7th Floor, Millennium City II, 378 Kwun Tong Road, Kwun Tong, Kowloon, Hong Kong SAR.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Identity and Background.</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(a)-(c) This report is being filed by Qinhui Ltd. and Raymond Ming Hui Lin (together, the “Reporting Persons”). Raymond Ming Hui Lin is the Chief Executive Officer and a director of the Company. This business address is Unit 702, 7th Floor, Millennium City II, 378 Kwun Tong Road, Kwun Tong, Kowloon, Hong Kong SAR.</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Qinhui Ltd. is a holding company formed under the laws of the British Virgin Islands. The principal business of Qinhui Ltd. is managing Raymond Ming Hui Lin’s personal assets and investments. Qinhui Ltd.’s mailing address is c/o Ogier Global (BVI) Ltd., Ritter House, Wickham’s Cay II, Road Town, Tortola, VG 1110, British Virgin Islands. Raymond Ming Hui Lin has the sole control of Qinhui Ltd.</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 Neither Raymond Ming Hui Lin nor Qinhui Ltd. has, during the last five years, (i) been convicted in a criminal proceeding (excluding traffic violations or similar misdemeanors) or (ii) been a party to a civil proceeding of a judicial or administrative body of competent jurisdiction and as a result of such proceeding was or is subject to a judgment, decree or final order enjoining future violations of, or prohibiting activities subject to, federal or state securities laws or finding any violation of such laws.</w:t>
      </w:r>
    </w:p>
    <w:p>
      <w:pPr>
        <w:spacing w:after="0" w:line="187" w:lineRule="exact"/>
        <w:rPr>
          <w:sz w:val="20"/>
          <w:szCs w:val="20"/>
          <w:color w:val="auto"/>
        </w:rPr>
      </w:pPr>
    </w:p>
    <w:p>
      <w:pPr>
        <w:ind w:firstLine="8"/>
        <w:spacing w:after="0" w:line="277" w:lineRule="auto"/>
        <w:tabs>
          <w:tab w:leader="none" w:pos="239" w:val="left"/>
        </w:tabs>
        <w:numPr>
          <w:ilvl w:val="0"/>
          <w:numId w:val="22"/>
        </w:numPr>
        <w:rPr>
          <w:rFonts w:ascii="Arial" w:cs="Arial" w:eastAsia="Arial" w:hAnsi="Arial"/>
          <w:sz w:val="18"/>
          <w:szCs w:val="18"/>
          <w:color w:val="auto"/>
        </w:rPr>
      </w:pPr>
      <w:r>
        <w:rPr>
          <w:rFonts w:ascii="Arial" w:cs="Arial" w:eastAsia="Arial" w:hAnsi="Arial"/>
          <w:sz w:val="18"/>
          <w:szCs w:val="18"/>
          <w:color w:val="auto"/>
        </w:rPr>
        <w:t>Raymond Ming Hui Lin is a citizen of Hong Kong Special Administrative Region of the People’s Republic of China. Qinhui Ltd. is a British Virgin Islands corporation.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Source and Amount of Funds and Other Consideration.</w:t>
      </w:r>
    </w:p>
    <w:p>
      <w:pPr>
        <w:spacing w:after="0" w:line="229" w:lineRule="exact"/>
        <w:rPr>
          <w:sz w:val="20"/>
          <w:szCs w:val="20"/>
          <w:color w:val="auto"/>
        </w:rPr>
      </w:pPr>
    </w:p>
    <w:p>
      <w:pPr>
        <w:ind w:right="340" w:firstLine="648"/>
        <w:spacing w:after="0" w:line="308" w:lineRule="auto"/>
        <w:rPr>
          <w:sz w:val="20"/>
          <w:szCs w:val="20"/>
          <w:color w:val="auto"/>
        </w:rPr>
      </w:pPr>
      <w:r>
        <w:rPr>
          <w:rFonts w:ascii="Arial" w:cs="Arial" w:eastAsia="Arial" w:hAnsi="Arial"/>
          <w:sz w:val="17"/>
          <w:szCs w:val="17"/>
          <w:color w:val="auto"/>
        </w:rPr>
        <w:t>On May 6, 2020, the Board of Directors of the Company authorized the award of 250,000 restricted shares (the “Shares”) to Mr. Lin under the Company’s 2020 Equity Incentive Plan, which vested on May 6, 2020. Mr. Lin did not pay any additional consideration for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type w:val="continuous"/>
        </w:sectPr>
      </w:pPr>
    </w:p>
    <w:bookmarkStart w:id="4" w:name="page5"/>
    <w:bookmarkEnd w:id="4"/>
    <w:tbl>
      <w:tblPr>
        <w:tblLayout w:type="fixed"/>
        <w:tblInd w:w="10" w:type="dxa"/>
        <w:tblCellMar>
          <w:top w:w="0" w:type="dxa"/>
          <w:left w:w="0" w:type="dxa"/>
          <w:bottom w:w="0" w:type="dxa"/>
          <w:right w:w="0" w:type="dxa"/>
        </w:tblCellMar>
      </w:tblPr>
      <w:tr>
        <w:trPr>
          <w:trHeight w:val="250"/>
        </w:trPr>
        <w:tc>
          <w:tcPr>
            <w:tcW w:w="2060" w:type="dxa"/>
            <w:vAlign w:val="bottom"/>
            <w:tcBorders>
              <w:top w:val="single" w:sz="8" w:color="auto"/>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CUSIP No. G31642</w:t>
            </w:r>
          </w:p>
        </w:tc>
        <w:tc>
          <w:tcPr>
            <w:tcW w:w="3840" w:type="dxa"/>
            <w:vAlign w:val="bottom"/>
          </w:tcPr>
          <w:p>
            <w:pPr>
              <w:ind w:left="3520"/>
              <w:spacing w:after="0"/>
              <w:rPr>
                <w:sz w:val="20"/>
                <w:szCs w:val="20"/>
                <w:color w:val="auto"/>
              </w:rPr>
            </w:pPr>
            <w:r>
              <w:rPr>
                <w:rFonts w:ascii="Arial" w:cs="Arial" w:eastAsia="Arial" w:hAnsi="Arial"/>
                <w:sz w:val="18"/>
                <w:szCs w:val="18"/>
                <w:b w:val="1"/>
                <w:bCs w:val="1"/>
                <w:color w:val="auto"/>
                <w:w w:val="90"/>
              </w:rPr>
              <w:t>13D</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Page 5 of 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-116840</wp:posOffset>
            </wp:positionV>
            <wp:extent cx="1148715"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48715" cy="171450"/>
                    </a:xfrm>
                    <a:prstGeom prst="rect">
                      <a:avLst/>
                    </a:prstGeom>
                    <a:noFill/>
                  </pic:spPr>
                </pic:pic>
              </a:graphicData>
            </a:graphic>
          </wp:anchor>
        </w:drawing>
      </w:r>
    </w:p>
    <w:p>
      <w:pPr>
        <w:spacing w:after="0" w:line="689" w:lineRule="exact"/>
        <w:rPr>
          <w:sz w:val="20"/>
          <w:szCs w:val="20"/>
          <w:color w:val="auto"/>
        </w:rPr>
      </w:pPr>
    </w:p>
    <w:p>
      <w:pPr>
        <w:sectPr>
          <w:pgSz w:w="11900" w:h="16838" w:orient="portrait"/>
          <w:cols w:equalWidth="0" w:num="2">
            <w:col w:w="9220" w:space="720"/>
            <w:col w:w="1300"/>
          </w:cols>
          <w:pgMar w:left="320" w:top="903" w:right="339" w:bottom="1440" w:gutter="0" w:footer="0" w:header="0"/>
        </w:sectPr>
      </w:pPr>
    </w:p>
    <w:p>
      <w:pPr>
        <w:spacing w:after="0" w:line="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Mr. Lin was awarded the Shares under the Company’s 2020 Equity Incentive Plan stated above. Mr. Lin is currently the Chief Executive Officer and a director of the Company and therefore will continue to participate in and receive awards under the Company’s incentive programs for as long as he is an employee of the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 The calculations in this Item are based upon 15,917,330 common shares issued and outstanding as of May 6, 2020. The foregoing calculation is made pursuant to Rule l3d-3 promulgated under the Securities Act of 1933, as amended to date.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Amount of</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Shared Power to</w:t>
            </w: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Sole Power to</w:t>
            </w: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0"/>
              </w:rPr>
              <w:t>Shared Power to</w:t>
            </w: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Securities</w:t>
            </w:r>
          </w:p>
        </w:tc>
        <w:tc>
          <w:tcPr>
            <w:tcW w:w="13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7"/>
              </w:rPr>
              <w:t>Percentage of</w:t>
            </w: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Sole Power to Vote</w:t>
            </w: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Vote or Direct the</w:t>
            </w: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Dispose or to Direct</w:t>
            </w: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88"/>
              </w:rPr>
              <w:t>Dispose or to Direct</w:t>
            </w:r>
          </w:p>
        </w:tc>
      </w:tr>
      <w:tr>
        <w:trPr>
          <w:trHeight w:val="241"/>
        </w:trPr>
        <w:tc>
          <w:tcPr>
            <w:tcW w:w="1600" w:type="dxa"/>
            <w:vAlign w:val="bottom"/>
            <w:gridSpan w:val="2"/>
          </w:tcPr>
          <w:p>
            <w:pPr>
              <w:spacing w:after="0"/>
              <w:rPr>
                <w:sz w:val="20"/>
                <w:szCs w:val="20"/>
                <w:color w:val="auto"/>
              </w:rPr>
            </w:pPr>
            <w:r>
              <w:rPr>
                <w:rFonts w:ascii="Arial" w:cs="Arial" w:eastAsia="Arial" w:hAnsi="Arial"/>
                <w:sz w:val="18"/>
                <w:szCs w:val="18"/>
                <w:b w:val="1"/>
                <w:bCs w:val="1"/>
                <w:color w:val="auto"/>
              </w:rPr>
              <w:t>Reporting Person</w:t>
            </w: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Beneficially Owned</w:t>
            </w:r>
          </w:p>
        </w:tc>
        <w:tc>
          <w:tcPr>
            <w:tcW w:w="138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Class</w:t>
            </w: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or Direct the Vote</w:t>
            </w: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Vote</w:t>
            </w: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the Disposition</w:t>
            </w: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87"/>
              </w:rPr>
              <w:t>the Disposition</w:t>
            </w:r>
          </w:p>
        </w:tc>
      </w:tr>
      <w:tr>
        <w:trPr>
          <w:trHeight w:val="202"/>
        </w:trPr>
        <w:tc>
          <w:tcPr>
            <w:tcW w:w="148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95"/>
              </w:rPr>
              <w:t>Raymond Ming Hui</w:t>
            </w:r>
          </w:p>
        </w:tc>
        <w:tc>
          <w:tcPr>
            <w:tcW w:w="12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5,671,986 common</w:t>
            </w:r>
          </w:p>
        </w:tc>
        <w:tc>
          <w:tcPr>
            <w:tcW w:w="1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5,671,986 common</w:t>
            </w:r>
          </w:p>
        </w:tc>
        <w:tc>
          <w:tcPr>
            <w:tcW w:w="100" w:type="dxa"/>
            <w:vAlign w:val="bottom"/>
            <w:tcBorders>
              <w:top w:val="single" w:sz="8" w:color="CCEEFF"/>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5,671,986 common</w:t>
            </w:r>
          </w:p>
        </w:tc>
        <w:tc>
          <w:tcPr>
            <w:tcW w:w="12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r>
      <w:tr>
        <w:trPr>
          <w:trHeight w:val="230"/>
        </w:trPr>
        <w:tc>
          <w:tcPr>
            <w:tcW w:w="16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Lin</w:t>
            </w:r>
          </w:p>
        </w:tc>
        <w:tc>
          <w:tcPr>
            <w:tcW w:w="16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shares*</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35.63%</w:t>
            </w: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1"/>
              </w:rPr>
              <w:t>shares</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1"/>
              </w:rPr>
              <w:t>shares</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02"/>
        </w:trPr>
        <w:tc>
          <w:tcPr>
            <w:tcW w:w="1600" w:type="dxa"/>
            <w:vAlign w:val="bottom"/>
            <w:gridSpan w:val="2"/>
          </w:tcPr>
          <w:p>
            <w:pPr>
              <w:spacing w:after="0" w:line="201" w:lineRule="exact"/>
              <w:rPr>
                <w:sz w:val="20"/>
                <w:szCs w:val="20"/>
                <w:color w:val="auto"/>
              </w:rPr>
            </w:pPr>
            <w:r>
              <w:rPr>
                <w:rFonts w:ascii="Arial" w:cs="Arial" w:eastAsia="Arial" w:hAnsi="Arial"/>
                <w:sz w:val="18"/>
                <w:szCs w:val="18"/>
                <w:color w:val="auto"/>
              </w:rPr>
              <w:t>Qinhui Ltd.</w:t>
            </w:r>
          </w:p>
        </w:tc>
        <w:tc>
          <w:tcPr>
            <w:tcW w:w="168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0"/>
              </w:rPr>
              <w:t>4,999,996 common</w:t>
            </w: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89"/>
              </w:rPr>
              <w:t>4,999,996 common</w:t>
            </w: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jc w:val="center"/>
              <w:spacing w:after="0" w:line="201" w:lineRule="exact"/>
              <w:rPr>
                <w:sz w:val="20"/>
                <w:szCs w:val="20"/>
                <w:color w:val="auto"/>
              </w:rPr>
            </w:pPr>
            <w:r>
              <w:rPr>
                <w:rFonts w:ascii="Arial" w:cs="Arial" w:eastAsia="Arial" w:hAnsi="Arial"/>
                <w:sz w:val="18"/>
                <w:szCs w:val="18"/>
                <w:color w:val="auto"/>
                <w:w w:val="90"/>
              </w:rPr>
              <w:t>4,999,996 common</w:t>
            </w:r>
          </w:p>
        </w:tc>
      </w:tr>
      <w:tr>
        <w:trPr>
          <w:trHeight w:val="230"/>
        </w:trPr>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color w:val="auto"/>
                <w:w w:val="81"/>
              </w:rPr>
              <w:t>shares</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31.41%</w:t>
            </w:r>
          </w:p>
        </w:tc>
        <w:tc>
          <w:tcPr>
            <w:tcW w:w="15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shares</w:t>
            </w:r>
          </w:p>
        </w:tc>
        <w:tc>
          <w:tcPr>
            <w:tcW w:w="15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1"/>
              </w:rPr>
              <w:t>shares</w:t>
            </w:r>
          </w:p>
        </w:tc>
      </w:tr>
    </w:tbl>
    <w:p>
      <w:pPr>
        <w:spacing w:after="0" w:line="202" w:lineRule="exact"/>
        <w:rPr>
          <w:sz w:val="20"/>
          <w:szCs w:val="20"/>
          <w:color w:val="auto"/>
        </w:rPr>
      </w:pPr>
    </w:p>
    <w:p>
      <w:pPr>
        <w:ind w:left="420" w:hanging="318"/>
        <w:spacing w:after="0"/>
        <w:tabs>
          <w:tab w:leader="none" w:pos="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the vested portion of the restricted stock granted dated as of May 6, 2020.</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Because Mr. Lin controls all of the voting and disposition interests of Qinhui Ltd. with respect to the securities, he may be deemed to have indirect beneficial ownership of the common shares directly beneficially owned by Qinhui Ltd. Neither Raymond Ming Hui Lin nor Qinhui Ltd. has effected any transactions in the securities of the Company in the past sixty days. The Reporting Persons affirm that no other person has the right to receive or the power to direct the receipt of dividends from, or the proceeds from the sale of, the common shares beneficially owned by the Reporting Persons reported herein.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(e) 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Contracts, Arrangements, Understandings or Relationships with Respect to Securities of the Issuer.</w:t>
      </w:r>
    </w:p>
    <w:p>
      <w:pPr>
        <w:spacing w:after="0" w:line="229" w:lineRule="exact"/>
        <w:rPr>
          <w:sz w:val="20"/>
          <w:szCs w:val="20"/>
          <w:color w:val="auto"/>
        </w:rPr>
      </w:pPr>
    </w:p>
    <w:p>
      <w:pPr>
        <w:ind w:right="160" w:firstLine="648"/>
        <w:spacing w:after="0" w:line="301" w:lineRule="auto"/>
        <w:rPr>
          <w:sz w:val="20"/>
          <w:szCs w:val="20"/>
          <w:color w:val="auto"/>
        </w:rPr>
      </w:pPr>
      <w:r>
        <w:rPr>
          <w:rFonts w:ascii="Arial" w:cs="Arial" w:eastAsia="Arial" w:hAnsi="Arial"/>
          <w:sz w:val="16"/>
          <w:szCs w:val="16"/>
          <w:color w:val="auto"/>
        </w:rPr>
        <w:t>Other than as described above, there are no contracts, arrangements, understandings or relationships (legal or otherwise) between the Reporting Persons and any other person with respect to any securities of the Company, including, but not limited to, the transfer or voting of any of the securities, finder’s fees, joint ventures, loan or option arrangements, puts or calls, guarantees of profits, division of profits or loss, or the giving or withholding of proxies or any pledge or contingency, the occurrence of which would give another person voting or investment power over the securities of the Company.</w:t>
      </w:r>
    </w:p>
    <w:p>
      <w:pPr>
        <w:spacing w:after="0" w:line="15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Item 7. Materials to be Filed as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type w:val="continuous"/>
        </w:sectPr>
      </w:pPr>
    </w:p>
    <w:bookmarkStart w:id="5" w:name="page6"/>
    <w:bookmarkEnd w:id="5"/>
    <w:p>
      <w:pPr>
        <w:spacing w:after="0" w:line="1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3030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03020" cy="171450"/>
                    </a:xfrm>
                    <a:prstGeom prst="rect">
                      <a:avLst/>
                    </a:prstGeom>
                    <a:noFill/>
                  </pic:spPr>
                </pic:pic>
              </a:graphicData>
            </a:graphic>
          </wp:anchor>
        </w:drawing>
      </w:r>
    </w:p>
    <w:p>
      <w:pPr>
        <w:ind w:left="140"/>
        <w:spacing w:after="0"/>
        <w:rPr>
          <w:sz w:val="20"/>
          <w:szCs w:val="20"/>
          <w:color w:val="auto"/>
        </w:rPr>
      </w:pPr>
      <w:r>
        <w:rPr>
          <w:rFonts w:ascii="Arial" w:cs="Arial" w:eastAsia="Arial" w:hAnsi="Arial"/>
          <w:sz w:val="16"/>
          <w:szCs w:val="16"/>
          <w:color w:val="auto"/>
        </w:rPr>
        <w:t>CUSIP No. G31642</w:t>
      </w:r>
    </w:p>
    <w:p>
      <w:pPr>
        <w:spacing w:after="0" w:line="20" w:lineRule="exact"/>
        <w:rPr>
          <w:sz w:val="20"/>
          <w:szCs w:val="20"/>
          <w:color w:val="auto"/>
        </w:rPr>
      </w:pPr>
      <w:r>
        <w:rPr>
          <w:sz w:val="20"/>
          <w:szCs w:val="20"/>
          <w:color w:val="auto"/>
        </w:rPr>
        <w:br w:type="column"/>
      </w:r>
    </w:p>
    <w:p>
      <w:pPr>
        <w:jc w:val="center"/>
        <w:ind w:right="2780"/>
        <w:spacing w:after="0"/>
        <w:rPr>
          <w:sz w:val="20"/>
          <w:szCs w:val="20"/>
          <w:color w:val="auto"/>
        </w:rPr>
      </w:pPr>
      <w:r>
        <w:rPr>
          <w:rFonts w:ascii="Arial" w:cs="Arial" w:eastAsia="Arial" w:hAnsi="Arial"/>
          <w:sz w:val="18"/>
          <w:szCs w:val="18"/>
          <w:b w:val="1"/>
          <w:bCs w:val="1"/>
          <w:color w:val="auto"/>
        </w:rPr>
        <w:t>13D</w:t>
      </w:r>
    </w:p>
    <w:p>
      <w:pPr>
        <w:spacing w:after="0" w:line="266" w:lineRule="exact"/>
        <w:rPr>
          <w:sz w:val="20"/>
          <w:szCs w:val="20"/>
          <w:color w:val="auto"/>
        </w:rPr>
      </w:pPr>
    </w:p>
    <w:p>
      <w:pPr>
        <w:jc w:val="center"/>
        <w:ind w:right="3020"/>
        <w:spacing w:after="0"/>
        <w:rPr>
          <w:sz w:val="20"/>
          <w:szCs w:val="20"/>
          <w:color w:val="auto"/>
        </w:rPr>
      </w:pPr>
      <w:r>
        <w:rPr>
          <w:rFonts w:ascii="Arial" w:cs="Arial" w:eastAsia="Arial" w:hAnsi="Arial"/>
          <w:sz w:val="17"/>
          <w:szCs w:val="17"/>
          <w:b w:val="1"/>
          <w:bCs w:val="1"/>
          <w:color w:val="auto"/>
        </w:rPr>
        <w:t>SIGNATURES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Page 6 of 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-116840</wp:posOffset>
            </wp:positionV>
            <wp:extent cx="1148715"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148715" cy="171450"/>
                    </a:xfrm>
                    <a:prstGeom prst="rect">
                      <a:avLst/>
                    </a:prstGeom>
                    <a:noFill/>
                  </pic:spPr>
                </pic:pic>
              </a:graphicData>
            </a:graphic>
          </wp:anchor>
        </w:drawing>
      </w:r>
    </w:p>
    <w:p>
      <w:pPr>
        <w:spacing w:after="0" w:line="677" w:lineRule="exact"/>
        <w:rPr>
          <w:sz w:val="20"/>
          <w:szCs w:val="20"/>
          <w:color w:val="auto"/>
        </w:rPr>
      </w:pPr>
    </w:p>
    <w:p>
      <w:pPr>
        <w:sectPr>
          <w:pgSz w:w="11900" w:h="16838" w:orient="portrait"/>
          <w:cols w:equalWidth="0" w:num="3">
            <w:col w:w="4320" w:space="720"/>
            <w:col w:w="4180" w:space="720"/>
            <w:col w:w="1300"/>
          </w:cols>
          <w:pgMar w:left="320" w:top="918" w:right="339" w:bottom="1440" w:gutter="0" w:footer="0" w:header="0"/>
        </w:sectPr>
      </w:pPr>
    </w:p>
    <w:p>
      <w:pPr>
        <w:spacing w:after="0" w:line="4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After reasonable inquiry and to the best of my knowledge and belief, the undersigned certify that the information set forth in this Schedule 13D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June 12, 2020</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Raymond Ming Hui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Raymond Ming Hui Lin</w:t>
      </w:r>
    </w:p>
    <w:p>
      <w:pPr>
        <w:spacing w:after="0" w:line="221"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Qinhui Ltd.</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Raymond Ming Hui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Raymond Ming Hui Lin</w:t>
      </w:r>
    </w:p>
    <w:p>
      <w:pPr>
        <w:spacing w:after="0" w:line="23"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Sole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1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1"/>
      <w:numFmt w:val="bullet"/>
      <w:start w:val="1"/>
    </w:lvl>
  </w:abstractNum>
  <w:abstractNum w:abstractNumId="1">
    <w:nsid w:val="140E0F76"/>
    <w:multiLevelType w:val="hybridMultilevel"/>
    <w:lvl w:ilvl="0">
      <w:lvlJc w:val="left"/>
      <w:lvlText w:val="2"/>
      <w:numFmt w:val="bullet"/>
      <w:start w:val="1"/>
    </w:lvl>
  </w:abstractNum>
  <w:abstractNum w:abstractNumId="2">
    <w:nsid w:val="3352255A"/>
    <w:multiLevelType w:val="hybridMultilevel"/>
    <w:lvl w:ilvl="0">
      <w:lvlJc w:val="left"/>
      <w:lvlText w:val="3"/>
      <w:numFmt w:val="bullet"/>
      <w:start w:val="1"/>
    </w:lvl>
  </w:abstractNum>
  <w:abstractNum w:abstractNumId="3">
    <w:nsid w:val="109CF92E"/>
    <w:multiLevelType w:val="hybridMultilevel"/>
    <w:lvl w:ilvl="0">
      <w:lvlJc w:val="left"/>
      <w:lvlText w:val="4"/>
      <w:numFmt w:val="bullet"/>
      <w:start w:val="1"/>
    </w:lvl>
  </w:abstractNum>
  <w:abstractNum w:abstractNumId="4">
    <w:nsid w:val="DED7263"/>
    <w:multiLevelType w:val="hybridMultilevel"/>
    <w:lvl w:ilvl="0">
      <w:lvlJc w:val="left"/>
      <w:lvlText w:val="5"/>
      <w:numFmt w:val="bullet"/>
      <w:start w:val="1"/>
    </w:lvl>
  </w:abstractNum>
  <w:abstractNum w:abstractNumId="5">
    <w:nsid w:val="7FDCC233"/>
    <w:multiLevelType w:val="hybridMultilevel"/>
    <w:lvl w:ilvl="0">
      <w:lvlJc w:val="left"/>
      <w:lvlText w:val="6"/>
      <w:numFmt w:val="bullet"/>
      <w:start w:val="1"/>
    </w:lvl>
  </w:abstractNum>
  <w:abstractNum w:abstractNumId="6">
    <w:nsid w:val="1BEFD79F"/>
    <w:multiLevelType w:val="hybridMultilevel"/>
    <w:lvl w:ilvl="0">
      <w:lvlJc w:val="left"/>
      <w:lvlText w:val="%1"/>
      <w:numFmt w:val="decimal"/>
      <w:start w:val="11"/>
    </w:lvl>
  </w:abstractNum>
  <w:abstractNum w:abstractNumId="7">
    <w:nsid w:val="41A7C4C9"/>
    <w:multiLevelType w:val="hybridMultilevel"/>
    <w:lvl w:ilvl="0">
      <w:lvlJc w:val="left"/>
      <w:lvlText w:val="%1"/>
      <w:numFmt w:val="decimal"/>
      <w:start w:val="12"/>
    </w:lvl>
  </w:abstractNum>
  <w:abstractNum w:abstractNumId="8">
    <w:nsid w:val="6B68079A"/>
    <w:multiLevelType w:val="hybridMultilevel"/>
    <w:lvl w:ilvl="0">
      <w:lvlJc w:val="left"/>
      <w:lvlText w:val="%1"/>
      <w:numFmt w:val="decimal"/>
      <w:start w:val="13"/>
    </w:lvl>
  </w:abstractNum>
  <w:abstractNum w:abstractNumId="9">
    <w:nsid w:val="4E6AFB66"/>
    <w:multiLevelType w:val="hybridMultilevel"/>
    <w:lvl w:ilvl="0">
      <w:lvlJc w:val="left"/>
      <w:lvlText w:val="%1"/>
      <w:numFmt w:val="decimal"/>
      <w:start w:val="14"/>
    </w:lvl>
  </w:abstractNum>
  <w:abstractNum w:abstractNumId="10">
    <w:nsid w:val="25E45D32"/>
    <w:multiLevelType w:val="hybridMultilevel"/>
    <w:lvl w:ilvl="0">
      <w:lvlJc w:val="left"/>
      <w:lvlText w:val="1"/>
      <w:numFmt w:val="bullet"/>
      <w:start w:val="1"/>
    </w:lvl>
  </w:abstractNum>
  <w:abstractNum w:abstractNumId="11">
    <w:nsid w:val="519B500D"/>
    <w:multiLevelType w:val="hybridMultilevel"/>
    <w:lvl w:ilvl="0">
      <w:lvlJc w:val="left"/>
      <w:lvlText w:val="2"/>
      <w:numFmt w:val="bullet"/>
      <w:start w:val="1"/>
    </w:lvl>
  </w:abstractNum>
  <w:abstractNum w:abstractNumId="12">
    <w:nsid w:val="431BD7B7"/>
    <w:multiLevelType w:val="hybridMultilevel"/>
    <w:lvl w:ilvl="0">
      <w:lvlJc w:val="left"/>
      <w:lvlText w:val="3"/>
      <w:numFmt w:val="bullet"/>
      <w:start w:val="1"/>
    </w:lvl>
  </w:abstractNum>
  <w:abstractNum w:abstractNumId="13">
    <w:nsid w:val="3F2DBA31"/>
    <w:multiLevelType w:val="hybridMultilevel"/>
    <w:lvl w:ilvl="0">
      <w:lvlJc w:val="left"/>
      <w:lvlText w:val="4"/>
      <w:numFmt w:val="bullet"/>
      <w:start w:val="1"/>
    </w:lvl>
  </w:abstractNum>
  <w:abstractNum w:abstractNumId="14">
    <w:nsid w:val="7C83E458"/>
    <w:multiLevelType w:val="hybridMultilevel"/>
    <w:lvl w:ilvl="0">
      <w:lvlJc w:val="left"/>
      <w:lvlText w:val="5"/>
      <w:numFmt w:val="bullet"/>
      <w:start w:val="1"/>
    </w:lvl>
  </w:abstractNum>
  <w:abstractNum w:abstractNumId="15">
    <w:nsid w:val="257130A3"/>
    <w:multiLevelType w:val="hybridMultilevel"/>
    <w:lvl w:ilvl="0">
      <w:lvlJc w:val="left"/>
      <w:lvlText w:val="6"/>
      <w:numFmt w:val="bullet"/>
      <w:start w:val="1"/>
    </w:lvl>
  </w:abstractNum>
  <w:abstractNum w:abstractNumId="16">
    <w:nsid w:val="62BBD95A"/>
    <w:multiLevelType w:val="hybridMultilevel"/>
    <w:lvl w:ilvl="0">
      <w:lvlJc w:val="left"/>
      <w:lvlText w:val="7"/>
      <w:numFmt w:val="bullet"/>
      <w:start w:val="1"/>
    </w:lvl>
  </w:abstractNum>
  <w:abstractNum w:abstractNumId="17">
    <w:nsid w:val="436C6125"/>
    <w:multiLevelType w:val="hybridMultilevel"/>
    <w:lvl w:ilvl="0">
      <w:lvlJc w:val="left"/>
      <w:lvlText w:val="%1"/>
      <w:numFmt w:val="decimal"/>
      <w:start w:val="11"/>
    </w:lvl>
  </w:abstractNum>
  <w:abstractNum w:abstractNumId="18">
    <w:nsid w:val="628C895D"/>
    <w:multiLevelType w:val="hybridMultilevel"/>
    <w:lvl w:ilvl="0">
      <w:lvlJc w:val="left"/>
      <w:lvlText w:val="%1"/>
      <w:numFmt w:val="decimal"/>
      <w:start w:val="12"/>
    </w:lvl>
  </w:abstractNum>
  <w:abstractNum w:abstractNumId="19">
    <w:nsid w:val="333AB105"/>
    <w:multiLevelType w:val="hybridMultilevel"/>
    <w:lvl w:ilvl="0">
      <w:lvlJc w:val="left"/>
      <w:lvlText w:val="%1"/>
      <w:numFmt w:val="decimal"/>
      <w:start w:val="13"/>
    </w:lvl>
  </w:abstractNum>
  <w:abstractNum w:abstractNumId="20">
    <w:nsid w:val="721DA317"/>
    <w:multiLevelType w:val="hybridMultilevel"/>
    <w:lvl w:ilvl="0">
      <w:lvlJc w:val="left"/>
      <w:lvlText w:val="%1"/>
      <w:numFmt w:val="decimal"/>
      <w:start w:val="14"/>
    </w:lvl>
  </w:abstractNum>
  <w:abstractNum w:abstractNumId="21">
    <w:nsid w:val="2443A858"/>
    <w:multiLevelType w:val="hybridMultilevel"/>
    <w:lvl w:ilvl="0">
      <w:lvlJc w:val="left"/>
      <w:lvlText w:val="(%1)"/>
      <w:numFmt w:val="lowerLetter"/>
      <w:start w:val="6"/>
    </w:lvl>
  </w:abstractNum>
  <w:abstractNum w:abstractNumId="22">
    <w:nsid w:val="2D1D5AE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2020-06-12T07:31:54Z</dcterms:created>
  <dcterms:modified xsi:type="dcterms:W3CDTF">2020-06-12T07:31:54Z</dcterms:modified>
</cp:coreProperties>
</file>