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20"/>
        <w:spacing w:after="0"/>
        <w:rPr>
          <w:sz w:val="20"/>
          <w:szCs w:val="20"/>
          <w:color w:val="auto"/>
        </w:rPr>
      </w:pPr>
      <w:r>
        <w:rPr>
          <w:rFonts w:ascii="Arial" w:cs="Arial" w:eastAsia="Arial" w:hAnsi="Arial"/>
          <w:sz w:val="16"/>
          <w:szCs w:val="16"/>
          <w:b w:val="1"/>
          <w:bCs w:val="1"/>
          <w:color w:val="auto"/>
        </w:rPr>
        <w:t>Registration No. 333-271860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jc w:val="center"/>
        <w:spacing w:after="0"/>
        <w:rPr>
          <w:sz w:val="20"/>
          <w:szCs w:val="20"/>
          <w:color w:val="auto"/>
        </w:rPr>
      </w:pPr>
      <w:r>
        <w:rPr>
          <w:rFonts w:ascii="Arial" w:cs="Arial" w:eastAsia="Arial" w:hAnsi="Arial"/>
          <w:sz w:val="22"/>
          <w:szCs w:val="22"/>
          <w:b w:val="1"/>
          <w:bCs w:val="1"/>
          <w:color w:val="auto"/>
        </w:rPr>
        <w:t>FORM S-8</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(Including registration of shares for resale by means of a reoffer prospectus)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CLPS Incorporation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6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b w:val="1"/>
                <w:bCs w:val="1"/>
                <w:color w:val="auto"/>
                <w:w w:val="90"/>
              </w:rPr>
              <w:t>Cayman Islands</w:t>
            </w:r>
          </w:p>
        </w:tc>
        <w:tc>
          <w:tcPr>
            <w:tcW w:w="16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3860" w:type="dxa"/>
            <w:vAlign w:val="bottom"/>
          </w:tcPr>
          <w:p>
            <w:pPr>
              <w:jc w:val="center"/>
              <w:ind w:left="15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860" w:type="dxa"/>
            <w:vAlign w:val="bottom"/>
          </w:tcPr>
          <w:p>
            <w:pPr>
              <w:jc w:val="center"/>
              <w:ind w:left="1570"/>
              <w:spacing w:after="0"/>
              <w:rPr>
                <w:sz w:val="20"/>
                <w:szCs w:val="20"/>
                <w:color w:val="auto"/>
              </w:rPr>
            </w:pPr>
            <w:r>
              <w:rPr>
                <w:rFonts w:ascii="Arial" w:cs="Arial" w:eastAsia="Arial" w:hAnsi="Arial"/>
                <w:sz w:val="18"/>
                <w:szCs w:val="18"/>
                <w:color w:val="auto"/>
                <w:w w:val="92"/>
              </w:rPr>
              <w:t>incorporation or organization)</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3860" w:type="dxa"/>
            <w:vAlign w:val="bottom"/>
          </w:tcPr>
          <w:p>
            <w:pPr>
              <w:spacing w:after="0"/>
              <w:rPr>
                <w:sz w:val="24"/>
                <w:szCs w:val="24"/>
                <w:color w:val="auto"/>
              </w:rPr>
            </w:pPr>
          </w:p>
        </w:tc>
        <w:tc>
          <w:tcPr>
            <w:tcW w:w="7380" w:type="dxa"/>
            <w:vAlign w:val="bottom"/>
            <w:gridSpan w:val="3"/>
          </w:tcPr>
          <w:p>
            <w:pPr>
              <w:jc w:val="center"/>
              <w:ind w:right="3770"/>
              <w:spacing w:after="0"/>
              <w:rPr>
                <w:sz w:val="20"/>
                <w:szCs w:val="20"/>
                <w:color w:val="auto"/>
              </w:rPr>
            </w:pPr>
            <w:r>
              <w:rPr>
                <w:rFonts w:ascii="Arial" w:cs="Arial" w:eastAsia="Arial" w:hAnsi="Arial"/>
                <w:sz w:val="18"/>
                <w:szCs w:val="18"/>
                <w:b w:val="1"/>
                <w:bCs w:val="1"/>
                <w:color w:val="auto"/>
                <w:w w:val="93"/>
              </w:rPr>
              <w:t>c/o Unit 1000, 10</w:t>
            </w:r>
            <w:r>
              <w:rPr>
                <w:rFonts w:ascii="Arial" w:cs="Arial" w:eastAsia="Arial" w:hAnsi="Arial"/>
                <w:sz w:val="29"/>
                <w:szCs w:val="29"/>
                <w:b w:val="1"/>
                <w:bCs w:val="1"/>
                <w:color w:val="auto"/>
                <w:w w:val="93"/>
                <w:vertAlign w:val="superscript"/>
              </w:rPr>
              <w:t>th</w:t>
            </w:r>
            <w:r>
              <w:rPr>
                <w:rFonts w:ascii="Arial" w:cs="Arial" w:eastAsia="Arial" w:hAnsi="Arial"/>
                <w:sz w:val="18"/>
                <w:szCs w:val="18"/>
                <w:b w:val="1"/>
                <w:bCs w:val="1"/>
                <w:color w:val="auto"/>
                <w:w w:val="93"/>
              </w:rPr>
              <w:t xml:space="preserve"> Floor, Millennium City III</w:t>
            </w:r>
          </w:p>
        </w:tc>
      </w:tr>
      <w:tr>
        <w:trPr>
          <w:trHeight w:val="216"/>
        </w:trPr>
        <w:tc>
          <w:tcPr>
            <w:tcW w:w="3860" w:type="dxa"/>
            <w:vAlign w:val="bottom"/>
          </w:tcPr>
          <w:p>
            <w:pPr>
              <w:spacing w:after="0"/>
              <w:rPr>
                <w:sz w:val="18"/>
                <w:szCs w:val="18"/>
                <w:color w:val="auto"/>
              </w:rPr>
            </w:pPr>
          </w:p>
        </w:tc>
        <w:tc>
          <w:tcPr>
            <w:tcW w:w="7380" w:type="dxa"/>
            <w:vAlign w:val="bottom"/>
            <w:gridSpan w:val="3"/>
          </w:tcPr>
          <w:p>
            <w:pPr>
              <w:jc w:val="center"/>
              <w:ind w:right="3770"/>
              <w:spacing w:after="0"/>
              <w:rPr>
                <w:sz w:val="20"/>
                <w:szCs w:val="20"/>
                <w:color w:val="auto"/>
              </w:rPr>
            </w:pPr>
            <w:r>
              <w:rPr>
                <w:rFonts w:ascii="Arial" w:cs="Arial" w:eastAsia="Arial" w:hAnsi="Arial"/>
                <w:sz w:val="18"/>
                <w:szCs w:val="18"/>
                <w:b w:val="1"/>
                <w:bCs w:val="1"/>
                <w:color w:val="auto"/>
                <w:w w:val="91"/>
              </w:rPr>
              <w:t>370 Kwun Tong Road, Kwun Tong, Kowloon</w:t>
            </w:r>
          </w:p>
        </w:tc>
      </w:tr>
      <w:tr>
        <w:trPr>
          <w:trHeight w:val="220"/>
        </w:trPr>
        <w:tc>
          <w:tcPr>
            <w:tcW w:w="3860" w:type="dxa"/>
            <w:vAlign w:val="bottom"/>
          </w:tcPr>
          <w:p>
            <w:pPr>
              <w:spacing w:after="0"/>
              <w:rPr>
                <w:sz w:val="19"/>
                <w:szCs w:val="19"/>
                <w:color w:val="auto"/>
              </w:rPr>
            </w:pPr>
          </w:p>
        </w:tc>
        <w:tc>
          <w:tcPr>
            <w:tcW w:w="7380" w:type="dxa"/>
            <w:vAlign w:val="bottom"/>
            <w:gridSpan w:val="3"/>
          </w:tcPr>
          <w:p>
            <w:pPr>
              <w:jc w:val="center"/>
              <w:ind w:right="3770"/>
              <w:spacing w:after="0"/>
              <w:rPr>
                <w:sz w:val="20"/>
                <w:szCs w:val="20"/>
                <w:color w:val="auto"/>
              </w:rPr>
            </w:pPr>
            <w:r>
              <w:rPr>
                <w:rFonts w:ascii="Arial" w:cs="Arial" w:eastAsia="Arial" w:hAnsi="Arial"/>
                <w:sz w:val="18"/>
                <w:szCs w:val="18"/>
                <w:b w:val="1"/>
                <w:bCs w:val="1"/>
                <w:color w:val="auto"/>
                <w:w w:val="91"/>
              </w:rPr>
              <w:t>Hong Kong SAR</w:t>
            </w:r>
          </w:p>
        </w:tc>
      </w:tr>
      <w:tr>
        <w:trPr>
          <w:trHeight w:val="230"/>
        </w:trPr>
        <w:tc>
          <w:tcPr>
            <w:tcW w:w="3860" w:type="dxa"/>
            <w:vAlign w:val="bottom"/>
          </w:tcPr>
          <w:p>
            <w:pPr>
              <w:spacing w:after="0"/>
              <w:rPr>
                <w:sz w:val="20"/>
                <w:szCs w:val="20"/>
                <w:color w:val="auto"/>
              </w:rPr>
            </w:pPr>
          </w:p>
        </w:tc>
        <w:tc>
          <w:tcPr>
            <w:tcW w:w="7380" w:type="dxa"/>
            <w:vAlign w:val="bottom"/>
            <w:gridSpan w:val="3"/>
          </w:tcPr>
          <w:p>
            <w:pPr>
              <w:jc w:val="center"/>
              <w:ind w:right="3750"/>
              <w:spacing w:after="0"/>
              <w:rPr>
                <w:sz w:val="20"/>
                <w:szCs w:val="20"/>
                <w:color w:val="auto"/>
              </w:rPr>
            </w:pPr>
            <w:r>
              <w:rPr>
                <w:rFonts w:ascii="Arial" w:cs="Arial" w:eastAsia="Arial" w:hAnsi="Arial"/>
                <w:sz w:val="18"/>
                <w:szCs w:val="18"/>
                <w:color w:val="auto"/>
                <w:w w:val="92"/>
              </w:rPr>
              <w:t>(Address of principal executive office)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 2023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“2023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jc w:val="center"/>
        <w:spacing w:after="0" w:line="205" w:lineRule="auto"/>
        <w:rPr>
          <w:sz w:val="20"/>
          <w:szCs w:val="20"/>
          <w:color w:val="auto"/>
        </w:rPr>
      </w:pPr>
      <w:r>
        <w:rPr>
          <w:rFonts w:ascii="Arial" w:cs="Arial" w:eastAsia="Arial" w:hAnsi="Arial"/>
          <w:sz w:val="18"/>
          <w:szCs w:val="18"/>
          <w:b w:val="1"/>
          <w:bCs w:val="1"/>
          <w:color w:val="auto"/>
        </w:rPr>
        <w:t>c/o Unit 1000,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III</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Tahra Wright,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(212) 407-4000</w:t>
      </w:r>
    </w:p>
    <w:p>
      <w:pPr>
        <w:spacing w:after="0" w:line="21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2" w:lineRule="exact"/>
        <w:rPr>
          <w:sz w:val="24"/>
          <w:szCs w:val="24"/>
          <w:color w:val="auto"/>
        </w:rPr>
      </w:pPr>
    </w:p>
    <w:p>
      <w:pPr>
        <w:sectPr>
          <w:pgSz w:w="11900" w:h="16838" w:orient="portrait"/>
          <w:cols w:equalWidth="0" w:num="3">
            <w:col w:w="4360" w:space="720"/>
            <w:col w:w="1960" w:space="80"/>
            <w:col w:w="4120"/>
          </w:cols>
          <w:pgMar w:left="320" w:top="229" w:right="3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Amendment No. 1 to the previously filed Registration Statement on Form S-8 is being filed by the Registrant in accordance with the requirements of Form S-8 under the Securities Act in order to add a reoffer prospectus prepared in accordance with the requirements of Part I of Form S-8 under the Securities Act with respect up to 20,000,000 shares issuable under the 2023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relates to two separate prospectuses.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10(a) Prospectus</w:t>
      </w:r>
      <w:r>
        <w:rPr>
          <w:rFonts w:ascii="Arial" w:cs="Arial" w:eastAsia="Arial" w:hAnsi="Arial"/>
          <w:sz w:val="17"/>
          <w:szCs w:val="17"/>
          <w:color w:val="auto"/>
        </w:rPr>
        <w:t>: Items 1 and 2, from this page, and the documents incorporated by reference pursuant to Part II, Item 3 of this prospectus, constitute a prospectus that meets the requirements of Section 10(a) of the Securities Act of 1933, as amended (the “Securities Act”).</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Reoffer Prospectus</w:t>
      </w:r>
      <w:r>
        <w:rPr>
          <w:rFonts w:ascii="Arial" w:cs="Arial" w:eastAsia="Arial" w:hAnsi="Arial"/>
          <w:sz w:val="17"/>
          <w:szCs w:val="17"/>
          <w:color w:val="auto"/>
        </w:rPr>
        <w:t>: The material that follows Item 2, up to but not including Part II of this Registration Statement, of which the reoffer prospectus is a part, constitutes a “reoffer prospectus,” prepared in accordance with the requirements of Part I of Form S-8 under the Securities Act. Pursuant to Instruction C of Form S-8, the reoffer prospectus may be used for reoffers or resales of shares which are deemed to be “control securities” or “restricted securities” under the Securities Act that have been acquired by the selling stockholders named in the reoffer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jc w:val="both"/>
        <w:ind w:left="34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recipients of the grants under the 2023 Plan adopted by the Board of Directors of the Company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REOFFER PROSPECTUS</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20,000,000 Shares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reoffer prospectus relates to the sale of up to 20,000,000 shares that may be offered and resold from time to time by the selling stockholders identified in this prospectus for their own account. It is anticipated that the selling stockholders will offer shares for sale at prevailing prices on The NASDAQ Global Market on the date of sale. We will receive no part of the proceeds from sales made under this reoffer prospectus. The selling stockholders will bear all sales commissions and similar expenses. Any other expenses incurred by us in connection with the registration and offering and not borne by the selling stockholders will be borne by us.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shares have been or will be issued pursuant to awards granted under the CLPS Incorporation 2023 Equity Incentive Plan (the “2023 Plan”). This reoffer prospectus has been prepared for the purposes of registering the shares under the Securities Act of 1933, as amended (the “Securities Act”) to allow for future sales by the selling stockholders on a continuous or delayed basis to the public without restriction.</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selling stockholders and any brokers executing selling orders on its behalf may be deemed to be “underwriters” within the meaning of the Securities Act, in which event commissions received by such brokers may be deemed to be underwriting commissions under the Securities Act.</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shares are quoted on The NASDAQ Global Market under the symbol “CLPS”. The last reported sale price of our shares on The NASDAQ Global Market on November 14, 2023 was $1.04 per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shares involves risks. See “Risk Factors” on page 2 of this reoffer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gridSpan w:val="4"/>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17"/>
                <w:szCs w:val="17"/>
                <w:color w:val="auto"/>
              </w:rPr>
            </w:pPr>
          </w:p>
        </w:tc>
      </w:tr>
      <w:tr>
        <w:trPr>
          <w:trHeight w:val="473"/>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CCEEFF"/>
            </w:tcBorders>
          </w:tcPr>
          <w:p>
            <w:pPr>
              <w:spacing w:after="0"/>
              <w:rPr>
                <w:sz w:val="24"/>
                <w:szCs w:val="24"/>
                <w:color w:val="auto"/>
              </w:rPr>
            </w:pPr>
          </w:p>
        </w:tc>
        <w:tc>
          <w:tcPr>
            <w:tcW w:w="480" w:type="dxa"/>
            <w:vAlign w:val="bottom"/>
            <w:tcBorders>
              <w:top w:val="single" w:sz="8" w:color="auto"/>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6"/>
            <w:shd w:val="clear" w:color="auto" w:fill="CCEEFF"/>
          </w:tcPr>
          <w:p>
            <w:pPr>
              <w:spacing w:after="0" w:line="142" w:lineRule="exact"/>
              <w:rPr>
                <w:sz w:val="20"/>
                <w:szCs w:val="20"/>
                <w:color w:val="auto"/>
              </w:rPr>
            </w:pPr>
            <w:r>
              <w:rPr>
                <w:rFonts w:ascii="Arial" w:cs="Arial" w:eastAsia="Arial" w:hAnsi="Arial"/>
                <w:sz w:val="16"/>
                <w:szCs w:val="16"/>
                <w:color w:val="0000EE"/>
                <w:w w:val="99"/>
              </w:rPr>
              <w:t>Prospectus Summary</w:t>
            </w:r>
          </w:p>
        </w:tc>
        <w:tc>
          <w:tcPr>
            <w:tcW w:w="870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240" w:type="dxa"/>
            <w:vAlign w:val="bottom"/>
            <w:gridSpan w:val="13"/>
          </w:tcPr>
          <w:p>
            <w:pPr>
              <w:spacing w:after="0" w:line="176" w:lineRule="exact"/>
              <w:rPr>
                <w:sz w:val="20"/>
                <w:szCs w:val="20"/>
                <w:color w:val="auto"/>
              </w:rPr>
            </w:pPr>
            <w:r>
              <w:rPr>
                <w:rFonts w:ascii="Arial" w:cs="Arial" w:eastAsia="Arial" w:hAnsi="Arial"/>
                <w:sz w:val="18"/>
                <w:szCs w:val="18"/>
                <w:color w:val="0000EE"/>
              </w:rPr>
              <w:t>Risk Factors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Cautionary Note Regarding Forward Looking Statements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175"/>
        </w:trPr>
        <w:tc>
          <w:tcPr>
            <w:tcW w:w="4140" w:type="dxa"/>
            <w:vAlign w:val="bottom"/>
            <w:tcBorders>
              <w:top w:val="single" w:sz="8" w:color="0000EE"/>
            </w:tcBorders>
            <w:gridSpan w:val="9"/>
          </w:tcPr>
          <w:p>
            <w:pPr>
              <w:spacing w:after="0" w:line="176" w:lineRule="exact"/>
              <w:rPr>
                <w:sz w:val="20"/>
                <w:szCs w:val="20"/>
                <w:color w:val="auto"/>
              </w:rPr>
            </w:pPr>
            <w:r>
              <w:rPr>
                <w:rFonts w:ascii="Arial" w:cs="Arial" w:eastAsia="Arial" w:hAnsi="Arial"/>
                <w:sz w:val="18"/>
                <w:szCs w:val="18"/>
                <w:color w:val="0000EE"/>
              </w:rPr>
              <w:t>Use of Proceeds</w:t>
            </w:r>
          </w:p>
        </w:tc>
        <w:tc>
          <w:tcPr>
            <w:tcW w:w="610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2"/>
              </w:rPr>
              <w:t>Selling Stockholder</w:t>
            </w:r>
          </w:p>
        </w:tc>
        <w:tc>
          <w:tcPr>
            <w:tcW w:w="880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176"/>
        </w:trPr>
        <w:tc>
          <w:tcPr>
            <w:tcW w:w="10240" w:type="dxa"/>
            <w:vAlign w:val="bottom"/>
            <w:gridSpan w:val="13"/>
          </w:tcPr>
          <w:p>
            <w:pPr>
              <w:spacing w:after="0" w:line="176" w:lineRule="exact"/>
              <w:rPr>
                <w:sz w:val="20"/>
                <w:szCs w:val="20"/>
                <w:color w:val="auto"/>
              </w:rPr>
            </w:pPr>
            <w:r>
              <w:rPr>
                <w:rFonts w:ascii="Arial" w:cs="Arial" w:eastAsia="Arial" w:hAnsi="Arial"/>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Legal Matters</w:t>
            </w:r>
          </w:p>
        </w:tc>
        <w:tc>
          <w:tcPr>
            <w:tcW w:w="92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10240" w:type="dxa"/>
            <w:vAlign w:val="bottom"/>
            <w:gridSpan w:val="13"/>
          </w:tcPr>
          <w:p>
            <w:pPr>
              <w:spacing w:after="0" w:line="176" w:lineRule="exact"/>
              <w:rPr>
                <w:sz w:val="20"/>
                <w:szCs w:val="20"/>
                <w:color w:val="auto"/>
              </w:rPr>
            </w:pPr>
            <w:r>
              <w:rPr>
                <w:rFonts w:ascii="Arial" w:cs="Arial" w:eastAsia="Arial" w:hAnsi="Arial"/>
                <w:sz w:val="18"/>
                <w:szCs w:val="18"/>
                <w:color w:val="0000EE"/>
              </w:rPr>
              <w:t>Experts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3"/>
          </w:tcPr>
          <w:p>
            <w:pPr>
              <w:spacing w:after="0" w:line="176" w:lineRule="exact"/>
              <w:rPr>
                <w:sz w:val="20"/>
                <w:szCs w:val="20"/>
                <w:color w:val="auto"/>
              </w:rPr>
            </w:pPr>
            <w:r>
              <w:rPr>
                <w:rFonts w:ascii="Arial" w:cs="Arial" w:eastAsia="Arial" w:hAnsi="Arial"/>
                <w:sz w:val="18"/>
                <w:szCs w:val="18"/>
                <w:color w:val="0000EE"/>
              </w:rPr>
              <w:t>Disclosure of Commission Position on Indemnification For Securities Act Liabilities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Available Information Available to You</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NO PERSON HAS BEEN AUTHORIZED TO GIVE ANY INFORMATION OR TO MAKE ANY REPRESENTATIONS, OTHER THAN THOSE CONTAINED IN THIS PROSPECTUS, IN CONNECTION WITH THE OFFERING MADE HEREBY, AND, IF GIVEN OR MADE, SUCH INFORMATION OR REPRESENTATION MUST NOT BE RELIED UPON AS HAVING BEEN AUTHORIZED BY THE COMPANY OR ANY OTHER PERSON. NEITHER THE DELIVERY OF THIS PROSPECTUS NOR ANY SALE MADE HEREUNDER SHALL UNDER ANY CIRCUMSTANCES CREATE ANY IMPLICATION THAT THERE HAS BEEN NO CHANGE IN THE AFFAIRS OF THE COMPANY SINCE THE DATE HEREOF. THIS PROSPECTUS DOES NOT CONSTITUTE AN OFFER TO SELL OR A SOLICITATION OF AN OFFER TO BUY ANY SECURITIES OFFERED HEREBY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summary highlights information contained elsewhere in this prospectus. You should read the entire prospectus carefully, including the section entitled “Risk Factors” before deciding to invest in our shares. In this prospectus, unless otherwise noted, the “Company,” “we,” “us,” “our company” and “our” refer to CLPS Inc. (together with its subsidiaries and affiliated entities, except as the context indicates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10 years, we have served as an IT solutions provider to a growing network of clients in the global financial industry, including large financial institutions in the US, Europe, Australia and Hong Kong and their PRC-based IT centers.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CLPS Incorporation was incorporated under the laws of the Cayman Islands on May 11, 2017.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are fully committed of providing digital transformation services with focus on financial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Our principal executive office is located at Unit 1000,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Millennium City III, 370 Kwun Tong Road, Kwun Tong, Kowloon, Hong Kong SAR. Our telephone number is +852 37073600. Our website is as follows www.clpsglobal.com. </w:t>
      </w:r>
      <w:r>
        <w:rPr>
          <w:rFonts w:ascii="Arial" w:cs="Arial" w:eastAsia="Arial" w:hAnsi="Arial"/>
          <w:sz w:val="18"/>
          <w:szCs w:val="18"/>
          <w:b w:val="1"/>
          <w:bCs w:val="1"/>
          <w:color w:val="auto"/>
        </w:rPr>
        <w:t>The information on our website is not part of this</w:t>
      </w:r>
      <w:r>
        <w:rPr>
          <w:rFonts w:ascii="Arial" w:cs="Arial" w:eastAsia="Arial" w:hAnsi="Arial"/>
          <w:sz w:val="18"/>
          <w:szCs w:val="18"/>
          <w:color w:val="auto"/>
        </w:rPr>
        <w:t xml:space="preserve"> </w:t>
      </w:r>
      <w:r>
        <w:rPr>
          <w:rFonts w:ascii="Arial" w:cs="Arial" w:eastAsia="Arial" w:hAnsi="Arial"/>
          <w:sz w:val="18"/>
          <w:szCs w:val="18"/>
          <w:b w:val="1"/>
          <w:bCs w:val="1"/>
          <w:color w:val="auto"/>
        </w:rPr>
        <w:t>filing.</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our website our annual and current reports, including amendments to such reports, as soon as reasonably practicable after we electronically file such material with, or furnish such material to, the SEC. Information contained on our website is not incorporated by reference into this prospectus supplement or the accompanying prospectus, and you should not consider information contained on our website as part of this prospectus supplement or the accompanying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This Offering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offering relates to the resale by the selling stockholders of up to 20,000,000 shares. The selling stockholders have acquired or will acquire such shares pursuant to grants made pursuant to the 2023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Investing in our shares involves a high degree of risk</w:t>
      </w:r>
      <w:r>
        <w:rPr>
          <w:rFonts w:ascii="Arial" w:cs="Arial" w:eastAsia="Arial" w:hAnsi="Arial"/>
          <w:sz w:val="18"/>
          <w:szCs w:val="18"/>
          <w:color w:val="auto"/>
        </w:rPr>
        <w:t>. Before making an investment decision, you should consider carefully the risks, uncertainties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factors described in our most recent Annual Report on Form 20-F, as supplemented and updated by subsequent reports that we have filed or will file with the SEC, which are incorporated by reference into this prospectus. Our business, affairs, prospects, assets, financial condition, results of operations and cash flows could be materially and adversely affected by these risks. For more information about our SEC filings, please see “Additional Information Available to You.”</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27A of the Securities Act and Section 21E of the Securities Exchange Act of 1934, as amended (the “Exchange Act”), and we intend that such forward-looking statements be subject to the safe harbors created thereby.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“continue,” “should,” “estimate,” “expect,” “intend,” “may,” “plan,” “project,” “will,” and similar expressions are intended to identify forward-looking statements, although not all forward-looking statements contain these identifying words.</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and incorporated by reference in this prospectus that we believe could cause actual results or events to differ materially from the forward-looking statements that we make. See the section entitled “Risk Factors” herein for more information. You should consider these factors and other cautionary statements made in this prospectus and in the documents we incorporate by reference as being applicable to all related forward-looking statements wherever they appear in the prospectus and in the documents incorporated by reference. We do not assume any obligation to update any forward-looking statements, except as may be required under applicable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receive any proceeds from the sale of shares offered by the selling stockholders.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prospectus relates to the offering by the selling stockholders of up to 20,000,000 shares. These shares have been or will be granted to the selling stockholders under the 2023 Plan.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table sets forth, based on information provided to us by the selling stockholders or known to us, the name of the selling stockholders, the nature of any position, office or other material relationship, if any, which the selling stockholders has had, within the past three years, with us or with any of our predecessors or affiliates, and the number of shares beneficially owned by the selling stockholder before this offering. The number of shares owned are those beneficially owned, as determined under the rules of the SEC, and the information is not necessarily indicative of beneficial ownership for any other purpose. Under these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The selling stockholders are not a broker-dealer or an affiliate of a broker-dealer.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We have assumed all shares reflected on the table will be sold from time to time in the offering covered by this prospectus. Because the selling stockholders may offer all or any portions of the shares listed in the table below, no estimate can be given as to the amount of those shares covered by this prospectus that will be held by the selling stockholders upon the termination of the offering. As of November 14, 2023, the Company had 25,603,422 shares outstanding.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of Shares</w:t>
            </w: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Owned</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Owned</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7"/>
              </w:rPr>
              <w:t>Before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After</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After</w:t>
            </w:r>
          </w:p>
        </w:tc>
      </w:tr>
      <w:tr>
        <w:trPr>
          <w:trHeight w:val="24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Selling Stockholder/Office Held</w:t>
            </w:r>
          </w:p>
        </w:tc>
        <w:tc>
          <w:tcPr>
            <w:tcW w:w="18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Offering (1)</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Offering (1)</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5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Chairman</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5,592,950(2)(6)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5,667,950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Raymond Ming Hui Lin, CEO and Director</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7,075,873(3)(5)(6)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530,000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7,605,873</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29.71</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 Li, COO</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669,863(4)(5)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819,863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Rui Yang, CFO</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440,710(7)(5)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262,000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702,710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bl>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(1). Beneficial ownership is determined in accordance with the rules of the SEC and includes voting or investment power with respect to the common shares or the power to receive the economic benefit of the common shares.</w:t>
      </w:r>
    </w:p>
    <w:p>
      <w:pPr>
        <w:spacing w:after="0" w:line="170" w:lineRule="exact"/>
        <w:rPr>
          <w:sz w:val="20"/>
          <w:szCs w:val="20"/>
          <w:color w:val="auto"/>
        </w:rPr>
      </w:pPr>
    </w:p>
    <w:p>
      <w:pPr>
        <w:jc w:val="both"/>
        <w:ind w:left="340" w:hanging="323"/>
        <w:spacing w:after="0" w:line="286" w:lineRule="auto"/>
        <w:rPr>
          <w:sz w:val="20"/>
          <w:szCs w:val="20"/>
          <w:color w:val="auto"/>
        </w:rPr>
      </w:pPr>
      <w:r>
        <w:rPr>
          <w:rFonts w:ascii="Arial" w:cs="Arial" w:eastAsia="Arial" w:hAnsi="Arial"/>
          <w:sz w:val="16"/>
          <w:szCs w:val="16"/>
          <w:color w:val="auto"/>
        </w:rPr>
        <w:t>(2). 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50,000 common shares and vest immediately on the grant date of award. Represents vested portion of the restricted stock granted dated as of January 31, 2022. The total grant of 270,000 common shares and vest immediately on the grant date of award. From September 24, 2021 to September 24, 2022, a total of 220,823 shares were disposed of in various occasions, resulting in the net increased holding of 49,177 shares. Represents vested portion of the restricted stock granted dated as of November 14, 2022. The total grant of 50,000 common shares vests in whole immediately on the grant date of award. Represents vested portion of the restricted stock granted dated as of August 16, 2023. The total grant of 75,000 common shares vests in whole immediately on the grant date of award.</w:t>
      </w:r>
    </w:p>
    <w:p>
      <w:pPr>
        <w:spacing w:after="0" w:line="171" w:lineRule="exact"/>
        <w:rPr>
          <w:sz w:val="20"/>
          <w:szCs w:val="20"/>
          <w:color w:val="auto"/>
        </w:rPr>
      </w:pPr>
    </w:p>
    <w:p>
      <w:pPr>
        <w:jc w:val="both"/>
        <w:ind w:left="340" w:hanging="323"/>
        <w:spacing w:after="0" w:line="268" w:lineRule="auto"/>
        <w:rPr>
          <w:sz w:val="20"/>
          <w:szCs w:val="20"/>
          <w:color w:val="auto"/>
        </w:rPr>
      </w:pPr>
      <w:r>
        <w:rPr>
          <w:rFonts w:ascii="Arial" w:cs="Arial" w:eastAsia="Arial" w:hAnsi="Arial"/>
          <w:sz w:val="17"/>
          <w:szCs w:val="17"/>
          <w:color w:val="auto"/>
        </w:rPr>
        <w:t>(3). 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 Represents vested portion of the restricted stock granted dated as of January 31, 2022. The total grant of 517,000 common shares and vest immediately on the grant date of award. From September 24, 2021 to September 24, 2022, a total of 100,211 shares were disposed of in various occasions, resulting in the net increased holding of 716,789 shares. Represents vested portion of the restricted stock granted dated as of November 14, 2022. The total grant of 325,000 common shares vests in whole immediately on the grant date of award. Represents vested portion of the restricted stock granted dated as of August 16, 2023. The total grant of 530,000 common shares vests in whole immediately on the grant date of award.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340" w:hanging="323"/>
        <w:spacing w:after="0" w:line="267" w:lineRule="auto"/>
        <w:rPr>
          <w:sz w:val="20"/>
          <w:szCs w:val="20"/>
          <w:color w:val="auto"/>
        </w:rPr>
      </w:pPr>
      <w:r>
        <w:rPr>
          <w:rFonts w:ascii="Arial" w:cs="Arial" w:eastAsia="Arial" w:hAnsi="Arial"/>
          <w:sz w:val="17"/>
          <w:szCs w:val="17"/>
          <w:color w:val="auto"/>
        </w:rPr>
        <w:t>(4). The total grant of 12,000 common shares vests in one year after the date of award. Represents vested portion of the restricted stock granted dated as of May 6, 2020. The total grant of 100,000 common shares vests in whole immediately on the grant date of award. Represents vested portion of the restricted stock granted dated as of June, 24, 2020. The total grant of 12,000 common shares vested in whole on June 11, 2021.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12,000 common shares vested in whole on June 11, 2022.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150,000 common shares and vest on May 23, 2022. Represents vested portion of the restricted stock granted dated as of August 23, 2021. The total grant of 76,000 common shares and 10,000 vest on June 11, 2022. Represents vested portion of the restricted stock granted dated as of January 31, 2022. The total grant of 150,000 common shares vests in whole immediately on the grant date of award. From September 24, 2021 to September 24, 2022, a total of 22,671 shares were disposed of in various occasions, resulting in the net increased holding of 299,329 shares. Represents vested portion of the restricted stock granted dated as of August 23, 2021. The total grant of 76,000 common shares and 22,000 vest on June 11, 2022. Represents vested portion of the restricted stock granted dated as of November 14, 2022. The total grant of 100,000 common shares vests in whole immediately on the grant date of award. Represents vested portion of the restricted stock granted dated as of August 16, 2023. The total grant of 150,000 common shares vests in whole immediately on the grant date of award. From September 24, 2022 to September 24, 2023, a total of 12,725 shares were acquired from the market.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(5).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 Director.</w:t>
      </w:r>
    </w:p>
    <w:p>
      <w:pPr>
        <w:spacing w:after="0" w:line="225" w:lineRule="exact"/>
        <w:rPr>
          <w:sz w:val="20"/>
          <w:szCs w:val="20"/>
          <w:color w:val="auto"/>
        </w:rPr>
      </w:pPr>
    </w:p>
    <w:p>
      <w:pPr>
        <w:jc w:val="both"/>
        <w:ind w:left="340" w:hanging="323"/>
        <w:spacing w:after="0" w:line="285" w:lineRule="auto"/>
        <w:rPr>
          <w:sz w:val="20"/>
          <w:szCs w:val="20"/>
          <w:color w:val="auto"/>
        </w:rPr>
      </w:pPr>
      <w:r>
        <w:rPr>
          <w:rFonts w:ascii="Arial" w:cs="Arial" w:eastAsia="Arial" w:hAnsi="Arial"/>
          <w:sz w:val="16"/>
          <w:szCs w:val="16"/>
          <w:color w:val="auto"/>
        </w:rPr>
        <w:t>(7). Represents 17,793 shares, which she purchased prior to the Company’s IPO, and the vested portion of the restricted stock granted dated as of May 6, 2020. The total grant of 50,000 common shares vests in whole immediately on the grant date of award. Represents vested portion of the restricted stock granted dated as of June, 24, 2020. The total grant of 12,000 common shares vested in whole on November 1, 2020. Represents vested portion of the restricted stock granted dated as of November 6, 2020. The total grant of 50,000 common shares and 30% vests immediately on the grant date of award, the rest 70% vests on May 6, 2021. Represents vested portion of the restricted stock granted dated as of May 7, 2021. The total grant of 20,000 common shares vests in whole immediately on the grant date of award. The total grant of 12,000 common shares vested in whole on November 1, 2021. Represents vested portion of the restricted stock granted dated as of August 23, 2021. The total grant of 100,000 common shares and vest on May 23, 2022. Represents vested portion of the restricted stock granted dated as of January 31, 2022. The total grant of 100,000 common shares and vest immediately on the grant date of award. From September 24, 2021 to September 24, 2022, a total of 31,120 shares were disposed of in various occasions, resulting in the net increased holding of 180,880 shares. Represents vested portion of the restricted stock granted dated as of August 23, 2021. The total grant of 48,000 common shares and 12,000 vest on November 1, 2022. Represents vested portion of the restricted stock granted dated as of November 14, 2022. The total grant of 150,000 common shares vests in whole immediately on the grant date of award. Represents vested portion of the restricted stock granted dated as of August 16, 2023. The total grant of 250,000 common shares vests in whole immediately on the grant date of award. From September 24, 2022 to September 24, 2023, a total of 28,738 shares were disposed of in various occasions, resulting in the net increased holding of 383,262 shares. Represents vested portion of the restricted stock granted on August 23, 2021. The total grant of 48,000 common shares and 12,000 vested on November 1,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Sales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selling stockholders may offer and sell the shares covered by this prospectus at various times. The selling stockholders will act independently of our company in making decisions with respect to the timing, manner and size of each sale. To our knowledge, the selling stockholders have no agreement or understanding, directly or indirectly, with any person to resell the shares covered by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sales price offered by the selling stockholders to the public may be:</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price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price related to such prevailing market price;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price as the selling stockholders determine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shares may be sold by means of one or more of the following methods:</w:t>
      </w:r>
    </w:p>
    <w:p>
      <w:pPr>
        <w:spacing w:after="0" w:line="225"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 trade in which the broker-dealer so engaged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that broker-dealer for its account pursuant to this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in which the broker solicits purchasers;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options, swaps or derivatives;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transactions to cover 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privately negotiated transactions;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 combination of any of the above methods.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selling stockholders may sell their shares directly to purchasers or may use brokers, dealers, underwriters or agents to sell shares. Brokers or dealers engaged by the selling stockholders may arrange for other brokers or dealers to participate. Brokers or dealers may receive commissions, discounts or concessions from the selling stockholders or, if any such broker-dealer acts as agent for the purchaser of shares, from the purchaser in amounts to be negotiated immediately prior to the sale. The compensation received by brokers or dealers may, but is not expected to, exceed that which is customary for the types of transactions involved. Broker-dealers may agree with a selling stockholder to sell a specified number of shares of shares at a stipulated price per common share, and, to the extent the broker-dealer is unable to do so acting as agent for a selling stockholder, to purchase as principal any unsold shares of shares at the price required to fulfill the broker-dealer commitment to the selling stockholders. Broker-dealers who acquire shares as principal may thereafter resell the shares from time to time in transactions, which may involve block transactions and sales to and through other broker-dealers, including transactions of the nature described above, on The NASDAQ Stock Market or otherwise at prices and on terms then prevailing at the time of sale, at prices then related to the then-current market price or in negotiated transactions. In connection with resales of the shares, broker-dealers may pay to or receive from the purchasers of shares commissions as described above. If the selling stockholders enter into arrangements with brokers or dealers, as described above, we are obligated to file a post-effective amendment to this registration statement disclosing such arrangements, including the names of any broker-dealers acting as underwriters.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86" w:lineRule="auto"/>
        <w:rPr>
          <w:sz w:val="20"/>
          <w:szCs w:val="20"/>
          <w:color w:val="auto"/>
        </w:rPr>
      </w:pPr>
      <w:r>
        <w:rPr>
          <w:rFonts w:ascii="Arial" w:cs="Arial" w:eastAsia="Arial" w:hAnsi="Arial"/>
          <w:sz w:val="17"/>
          <w:szCs w:val="17"/>
          <w:color w:val="auto"/>
        </w:rPr>
        <w:t>The selling stockholders and any broker-dealers or agents that participate with the selling stockholder in the sale of the shares may be deemed to be “underwriters” within the meaning of the Securities Act. In that event, any commissions received by broker-dealers or agents and any profit on the resale of the shares purchased by them may be deemed to be underwriting commissions or discounts under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Pursuant to Rule 144</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shares covered by this prospectus which qualify for sale pursuant to Rule 144 under the Securities Act may be sold under Rule 144 rather than pursuant to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selling stockholders must comply with the requirements of the Securities Act and the Exchange Act in the offer and sale of the shares. In particular we will advise the selling stockholders that the anti-manipulation rules of Regulation M under the Exchange Act may apply to sales of shares in the market and to the activities of the selling stockholders and their affiliates. Regulation M under the Exchange Act prohibits, with certain exceptions, participants in a distribution from bidding for, or purchasing for an account in which the participant has a beneficial interest, any of the securities that are the subject of the distribution. Accordingly, during such times as selling stockholders may be deemed to be engaged in a distribution of the shares, and therefore be considered to be an underwriter, the selling stockholders must comply with applicable law and, among other things:</w:t>
      </w:r>
    </w:p>
    <w:p>
      <w:pPr>
        <w:spacing w:after="0" w:line="16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engage in any stabilization activities in connection with our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cover short sales by purchasing shares while the distribution is taking place;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we will make copies of this prospectus available to the selling stockholders for the purpose of satisfying the prospectus delivery requirements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Securities Laws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securities laws of some states, the shares may be sold in such states only through registered or licensed brokers or dealers. In addition, in some states the shares may not be sold unless the shares have been registered or qualified for sale in the state or an exemption from registration or qualification is available and is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bearing all costs relating to the registration of the shares. The selling stockholders, however, will pay any commissions or other fees payable to brokers or dealers in connection with any sale of the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validity of the shares and certain legal matters relating to the offering as to Cayman Islands law will be passed upon for us by Ogier.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CLPS Incorporation as of June 30 of 2021, 2022 and 2023, and for each of the three years in the period ended June 30, 2023, appearing in CLPS Incorporation’s Annual Report (Form 20-F) for the year ended June 30, 2023,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3">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001-38505) for the fiscal year ended June 30, 2023;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shares set forth in our registration statement on Form F-1 (File No. 333-223956) filed with the SEC on </w:t>
      </w:r>
      <w:hyperlink r:id="rId24">
        <w:r>
          <w:rPr>
            <w:rFonts w:ascii="Arial" w:cs="Arial" w:eastAsia="Arial" w:hAnsi="Arial"/>
            <w:sz w:val="18"/>
            <w:szCs w:val="18"/>
            <w:u w:val="single" w:color="auto"/>
            <w:color w:val="0000EE"/>
          </w:rPr>
          <w:t>March 27, 2018</w:t>
        </w:r>
      </w:hyperlink>
      <w:r>
        <w:rPr>
          <w:rFonts w:ascii="Arial" w:cs="Arial" w:eastAsia="Arial" w:hAnsi="Arial"/>
          <w:sz w:val="18"/>
          <w:szCs w:val="18"/>
          <w:color w:val="auto"/>
        </w:rPr>
        <w:t xml:space="preserve"> and declared effective on May 23, 2018, and our Form 8-A filed with the SEC on </w:t>
      </w:r>
      <w:hyperlink r:id="rId25">
        <w:r>
          <w:rPr>
            <w:rFonts w:ascii="Arial" w:cs="Arial" w:eastAsia="Arial" w:hAnsi="Arial"/>
            <w:sz w:val="18"/>
            <w:szCs w:val="18"/>
            <w:u w:val="single" w:color="auto"/>
            <w:color w:val="0000EE"/>
          </w:rPr>
          <w:t>May 22, 2018</w:t>
        </w:r>
      </w:hyperlink>
      <w:r>
        <w:rPr>
          <w:rFonts w:ascii="Arial" w:cs="Arial" w:eastAsia="Arial" w:hAnsi="Arial"/>
          <w:sz w:val="18"/>
          <w:szCs w:val="18"/>
          <w:color w:val="auto"/>
        </w:rPr>
        <w:t>, including any amendment or report filed for the purpose of updating that description.</w:t>
      </w:r>
    </w:p>
    <w:p>
      <w:pPr>
        <w:spacing w:after="0" w:line="184"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1" w:lineRule="exact"/>
        <w:rPr>
          <w:rFonts w:ascii="Arial" w:cs="Arial" w:eastAsia="Arial" w:hAnsi="Arial"/>
          <w:sz w:val="18"/>
          <w:szCs w:val="18"/>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57" w:lineRule="exact"/>
        <w:rPr>
          <w:rFonts w:ascii="Arial" w:cs="Arial" w:eastAsia="Arial" w:hAnsi="Arial"/>
          <w:sz w:val="18"/>
          <w:szCs w:val="18"/>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w:t>
      </w:r>
    </w:p>
    <w:p>
      <w:pPr>
        <w:jc w:val="both"/>
        <w:spacing w:after="0" w:line="209" w:lineRule="auto"/>
        <w:rPr>
          <w:sz w:val="20"/>
          <w:szCs w:val="20"/>
          <w:color w:val="auto"/>
        </w:rPr>
      </w:pPr>
      <w:r>
        <w:rPr>
          <w:rFonts w:ascii="Arial" w:cs="Arial" w:eastAsia="Arial" w:hAnsi="Arial"/>
          <w:sz w:val="18"/>
          <w:szCs w:val="18"/>
          <w:color w:val="auto"/>
        </w:rPr>
        <w:t>incorporated by reference into those documents. Requests should be directed to our principal executive office, Unit 1000,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Millennium City III, 370 Kwun Tong Road, Kwun Tong, Kowloon, Hong Kong SAR.</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Companies Act (Revised) of the Cayman Islands (the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 AVAILABLE TO YOU</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prospectus is part of a Registration Statement on Form S-8 that we filed with the SEC. Certain information in the Registration Statement has been omitted from this prospectus in accordance with the rules of the SEC. We file annual reports and other information with the SEC. You can inspect and copy the Registration Statement as well as other information we have filed with the SEC at the public reference room maintained by the SEC at 100 F Street N.E. Washington, D.C. 20549. You can obtain copies from the public reference room at the same address. 20549, upon payment of certain fees. You can call the SEC at 1-800-732-0330 for further information about the public reference room. We are also required to file electronic versions of these documents with the SEC, which may be accessed through the SEC’s World Wide Web site at http://www.sec.gov. No dealer, salesperson or other person is authorized to give any information or to make any representations other than those contained in this prospectus, and, if given or made, such information or representations must not be relied upon as having been authorized by us. This prospectus does not constitute an offer to buy any security other than the securities offered by this prospectus, or an offer to sell or a solicitation of an offer to buy any securities by any person in any jurisdiction where such offer or solicitation is not authorized or is unlawful. Neither delivery of this prospectus nor any sale hereunder shall, under any circumstances, create any implication that there has been no change in the affairs of our company since the date 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3">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001-38505) for the fiscal year ended June 30, 2023;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shares set forth in our registration statement on Form F-1 (File No. 333-223956) filed with the SEC on </w:t>
      </w:r>
      <w:hyperlink r:id="rId24">
        <w:r>
          <w:rPr>
            <w:rFonts w:ascii="Arial" w:cs="Arial" w:eastAsia="Arial" w:hAnsi="Arial"/>
            <w:sz w:val="18"/>
            <w:szCs w:val="18"/>
            <w:u w:val="single" w:color="auto"/>
            <w:color w:val="0000EE"/>
          </w:rPr>
          <w:t>March 27, 2018</w:t>
        </w:r>
      </w:hyperlink>
      <w:r>
        <w:rPr>
          <w:rFonts w:ascii="Arial" w:cs="Arial" w:eastAsia="Arial" w:hAnsi="Arial"/>
          <w:sz w:val="18"/>
          <w:szCs w:val="18"/>
          <w:color w:val="auto"/>
        </w:rPr>
        <w:t xml:space="preserve"> and declared effective on May 23, 2018, and our Form 8-A filed with the SEC on </w:t>
      </w:r>
      <w:hyperlink r:id="rId25">
        <w:r>
          <w:rPr>
            <w:rFonts w:ascii="Arial" w:cs="Arial" w:eastAsia="Arial" w:hAnsi="Arial"/>
            <w:sz w:val="18"/>
            <w:szCs w:val="18"/>
            <w:u w:val="single" w:color="auto"/>
            <w:color w:val="0000EE"/>
          </w:rPr>
          <w:t>May 22, 2018</w:t>
        </w:r>
      </w:hyperlink>
      <w:r>
        <w:rPr>
          <w:rFonts w:ascii="Arial" w:cs="Arial" w:eastAsia="Arial" w:hAnsi="Arial"/>
          <w:sz w:val="18"/>
          <w:szCs w:val="18"/>
          <w:color w:val="auto"/>
        </w:rPr>
        <w:t>, including any amendment or report filed for the purpose of updating that description.</w:t>
      </w:r>
    </w:p>
    <w:p>
      <w:pPr>
        <w:spacing w:after="0" w:line="184"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1" w:lineRule="exact"/>
        <w:rPr>
          <w:rFonts w:ascii="Arial" w:cs="Arial" w:eastAsia="Arial" w:hAnsi="Arial"/>
          <w:sz w:val="18"/>
          <w:szCs w:val="18"/>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57" w:lineRule="exact"/>
        <w:rPr>
          <w:rFonts w:ascii="Arial" w:cs="Arial" w:eastAsia="Arial" w:hAnsi="Arial"/>
          <w:sz w:val="18"/>
          <w:szCs w:val="18"/>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w:t>
      </w:r>
    </w:p>
    <w:p>
      <w:pPr>
        <w:jc w:val="both"/>
        <w:spacing w:after="0" w:line="209" w:lineRule="auto"/>
        <w:rPr>
          <w:sz w:val="20"/>
          <w:szCs w:val="20"/>
          <w:color w:val="auto"/>
        </w:rPr>
      </w:pPr>
      <w:r>
        <w:rPr>
          <w:rFonts w:ascii="Arial" w:cs="Arial" w:eastAsia="Arial" w:hAnsi="Arial"/>
          <w:sz w:val="18"/>
          <w:szCs w:val="18"/>
          <w:color w:val="auto"/>
        </w:rPr>
        <w:t>incorporated by reference into those documents. Requests should be directed to our principal executive office, Unit 1000,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Millennium City III, 370 Kwun Tong Road, Kwun Tong, Kowloon, Hong Kong SAR.</w:t>
      </w:r>
    </w:p>
    <w:p>
      <w:pPr>
        <w:spacing w:after="0" w:line="20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39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list of all exhibits filed or included as part of this Registration Statement, see “Index to Exhibits” at the end of this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8"/>
        <w:spacing w:after="0"/>
        <w:tabs>
          <w:tab w:leader="none" w:pos="2160" w:val="left"/>
        </w:tabs>
        <w:numPr>
          <w:ilvl w:val="2"/>
          <w:numId w:val="7"/>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236" w:lineRule="exact"/>
        <w:rPr>
          <w:rFonts w:ascii="Arial" w:cs="Arial" w:eastAsia="Arial" w:hAnsi="Arial"/>
          <w:sz w:val="17"/>
          <w:szCs w:val="17"/>
          <w:color w:val="auto"/>
        </w:rPr>
      </w:pPr>
    </w:p>
    <w:p>
      <w:pPr>
        <w:jc w:val="both"/>
        <w:ind w:left="1300" w:firstLine="652"/>
        <w:spacing w:after="0" w:line="272" w:lineRule="auto"/>
        <w:tabs>
          <w:tab w:leader="none" w:pos="2211" w:val="left"/>
        </w:tabs>
        <w:numPr>
          <w:ilvl w:val="2"/>
          <w:numId w:val="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firstLine="652"/>
        <w:spacing w:after="0" w:line="277" w:lineRule="auto"/>
        <w:tabs>
          <w:tab w:leader="none" w:pos="2286"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left="660" w:firstLine="644"/>
        <w:spacing w:after="0" w:line="263" w:lineRule="auto"/>
        <w:tabs>
          <w:tab w:leader="none" w:pos="15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firstLine="644"/>
        <w:spacing w:after="0" w:line="277" w:lineRule="auto"/>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56"/>
        <w:spacing w:after="0" w:line="259" w:lineRule="auto"/>
        <w:tabs>
          <w:tab w:leader="none" w:pos="93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firstLine="656"/>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this Post-Effective Amendment No. 1 to Form S-8 and has duly caused this registration statement to be signed on its behalf by the undersigned, thereunto duly authorized, in the People’s Republic of China, on November 15, 2023.</w:t>
      </w:r>
    </w:p>
    <w:p>
      <w:pPr>
        <w:spacing w:after="0" w:line="16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0" w:type="dxa"/>
            <w:vAlign w:val="bottom"/>
            <w:tcBorders>
              <w:top w:val="single" w:sz="8" w:color="auto"/>
              <w:bottom w:val="single" w:sz="8" w:color="0000EE"/>
            </w:tcBorders>
            <w:gridSpan w:val="2"/>
            <w:shd w:val="clear" w:color="auto" w:fill="CCEEFF"/>
          </w:tcPr>
          <w:p>
            <w:pPr>
              <w:spacing w:after="0" w:line="169" w:lineRule="exact"/>
              <w:rPr>
                <w:rFonts w:ascii="Arial" w:cs="Arial" w:eastAsia="Arial" w:hAnsi="Arial"/>
                <w:sz w:val="18"/>
                <w:szCs w:val="18"/>
                <w:color w:val="0000EE"/>
                <w:w w:val="89"/>
              </w:rPr>
            </w:pPr>
            <w:hyperlink r:id="rId33">
              <w:r>
                <w:rPr>
                  <w:rFonts w:ascii="Arial" w:cs="Arial" w:eastAsia="Arial" w:hAnsi="Arial"/>
                  <w:sz w:val="18"/>
                  <w:szCs w:val="18"/>
                  <w:color w:val="0000EE"/>
                  <w:w w:val="89"/>
                </w:rPr>
                <w:t>Specimen share certificate (1).</w:t>
              </w:r>
            </w:hyperlink>
          </w:p>
        </w:tc>
        <w:tc>
          <w:tcPr>
            <w:tcW w:w="7900" w:type="dxa"/>
            <w:vAlign w:val="bottom"/>
            <w:tcBorders>
              <w:top w:val="single" w:sz="8" w:color="auto"/>
              <w:bottom w:val="single" w:sz="8" w:color="CCEEFF"/>
            </w:tcBorders>
            <w:gridSpan w:val="3"/>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Arial" w:cs="Arial" w:eastAsia="Arial" w:hAnsi="Arial"/>
                <w:sz w:val="18"/>
                <w:szCs w:val="18"/>
                <w:color w:val="0000EE"/>
              </w:rPr>
              <w:t>Opinion of Ogier.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2023 Equity Incentive Plan (2).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Arial" w:cs="Arial" w:eastAsia="Arial" w:hAnsi="Arial"/>
                <w:sz w:val="18"/>
                <w:szCs w:val="18"/>
                <w:color w:val="0000EE"/>
              </w:rPr>
              <w:t>Consent of Ernst &amp; Young Hua Ming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of the same number filed with CLPS Incorporation’s Registration Statement on Form F-1 or amendments thereto (File No. 333-223956).</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of the same number filed with CLPS Incorporation’s Registration Statement on Form S-8 or amendments thereto (File No. 333-271860).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168910</wp:posOffset>
            </wp:positionV>
            <wp:extent cx="101155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 Ogier Global (Cayman)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89 Nexus Way, Camana Bay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+852 3656 6054/ 3656 6061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nathan.powell@ogier.com/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florence.chan@ogier.com</w:t>
      </w:r>
    </w:p>
    <w:p>
      <w:pPr>
        <w:spacing w:after="0" w:line="9"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Grand Cayman KY1-9009</w:t>
      </w:r>
    </w:p>
    <w:p>
      <w:pPr>
        <w:sectPr>
          <w:pgSz w:w="11900" w:h="16838" w:orient="portrait"/>
          <w:cols w:equalWidth="0" w:num="1">
            <w:col w:w="11240"/>
          </w:cols>
          <w:pgMar w:left="320" w:top="121"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Reference: FYC/JNG/173339.00002</w:t>
      </w:r>
    </w:p>
    <w:p>
      <w:pPr>
        <w:spacing w:after="0" w:line="200"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spacing w:after="0" w:line="3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15 November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 (the Company)</w:t>
      </w:r>
    </w:p>
    <w:p>
      <w:pPr>
        <w:sectPr>
          <w:pgSz w:w="11900" w:h="16838" w:orient="portrait"/>
          <w:cols w:equalWidth="0" w:num="1">
            <w:col w:w="11240"/>
          </w:cols>
          <w:pgMar w:left="320" w:top="121" w:right="339" w:bottom="1440" w:gutter="0" w:footer="0" w:header="0"/>
          <w:type w:val="continuous"/>
        </w:sectPr>
      </w:pP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acted as Cayman Islands counsel to the Company in connection with the Company’s registration statement on Form S-8, including all amendments or supplements thereto (the </w:t>
      </w:r>
      <w:r>
        <w:rPr>
          <w:rFonts w:ascii="Arial" w:cs="Arial" w:eastAsia="Arial" w:hAnsi="Arial"/>
          <w:sz w:val="18"/>
          <w:szCs w:val="18"/>
          <w:b w:val="1"/>
          <w:bCs w:val="1"/>
          <w:color w:val="auto"/>
        </w:rPr>
        <w:t>Form S-8</w:t>
      </w:r>
      <w:r>
        <w:rPr>
          <w:rFonts w:ascii="Arial" w:cs="Arial" w:eastAsia="Arial" w:hAnsi="Arial"/>
          <w:sz w:val="18"/>
          <w:szCs w:val="18"/>
          <w:color w:val="auto"/>
        </w:rPr>
        <w:t xml:space="preserve">), as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on or about the date hereof (Registration No. 333-271860). The Post Effective Amendment No. 1 to Form S-8 (the </w:t>
      </w:r>
      <w:r>
        <w:rPr>
          <w:rFonts w:ascii="Arial" w:cs="Arial" w:eastAsia="Arial" w:hAnsi="Arial"/>
          <w:sz w:val="18"/>
          <w:szCs w:val="18"/>
          <w:b w:val="1"/>
          <w:bCs w:val="1"/>
          <w:color w:val="auto"/>
        </w:rPr>
        <w:t>Form S-8 POS</w:t>
      </w:r>
      <w:r>
        <w:rPr>
          <w:rFonts w:ascii="Arial" w:cs="Arial" w:eastAsia="Arial" w:hAnsi="Arial"/>
          <w:sz w:val="18"/>
          <w:szCs w:val="18"/>
          <w:color w:val="auto"/>
        </w:rPr>
        <w:t xml:space="preserve">) relates to offer and resale of up to 20,000,000 ordinary shares of US$0.0001 par value each of the Company by the selling shareholders (the </w:t>
      </w:r>
      <w:r>
        <w:rPr>
          <w:rFonts w:ascii="Arial" w:cs="Arial" w:eastAsia="Arial" w:hAnsi="Arial"/>
          <w:sz w:val="18"/>
          <w:szCs w:val="18"/>
          <w:b w:val="1"/>
          <w:bCs w:val="1"/>
          <w:color w:val="auto"/>
        </w:rPr>
        <w:t>Resale ESOP Shares</w:t>
      </w:r>
      <w:r>
        <w:rPr>
          <w:rFonts w:ascii="Arial" w:cs="Arial" w:eastAsia="Arial" w:hAnsi="Arial"/>
          <w:sz w:val="18"/>
          <w:szCs w:val="18"/>
          <w:color w:val="auto"/>
        </w:rPr>
        <w:t xml:space="preserve">) issued or issuable under the 2023 Equity Incentive Plan as approved by the board of directors of the Company on 8 March 2023 and by the shareholders of the Company at the annual general meeting of the Company held on 24 April 2023 (the </w:t>
      </w:r>
      <w:r>
        <w:rPr>
          <w:rFonts w:ascii="Arial" w:cs="Arial" w:eastAsia="Arial" w:hAnsi="Arial"/>
          <w:sz w:val="18"/>
          <w:szCs w:val="18"/>
          <w:b w:val="1"/>
          <w:bCs w:val="1"/>
          <w:color w:val="auto"/>
        </w:rPr>
        <w:t>2023 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Plan</w:t>
      </w:r>
      <w:r>
        <w:rPr>
          <w:rFonts w:ascii="Arial" w:cs="Arial" w:eastAsia="Arial" w:hAnsi="Arial"/>
          <w:sz w:val="18"/>
          <w:szCs w:val="18"/>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spacing w:after="0" w:line="18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 certificate of good standing of the Company dated 3 November 2023 (the </w:t>
      </w:r>
      <w:r>
        <w:rPr>
          <w:rFonts w:ascii="Arial" w:cs="Arial" w:eastAsia="Arial" w:hAnsi="Arial"/>
          <w:sz w:val="18"/>
          <w:szCs w:val="18"/>
          <w:b w:val="1"/>
          <w:bCs w:val="1"/>
          <w:color w:val="auto"/>
        </w:rPr>
        <w:t>Good Standing Certificate</w:t>
      </w:r>
      <w:r>
        <w:rPr>
          <w:rFonts w:ascii="Arial" w:cs="Arial" w:eastAsia="Arial" w:hAnsi="Arial"/>
          <w:sz w:val="18"/>
          <w:szCs w:val="18"/>
          <w:color w:val="auto"/>
        </w:rPr>
        <w:t>) issued by the Registrar in respect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Arial" w:cs="Arial" w:eastAsia="Arial" w:hAnsi="Arial"/>
                <w:sz w:val="18"/>
                <w:szCs w:val="18"/>
                <w:b w:val="1"/>
                <w:bCs w:val="1"/>
                <w:color w:val="auto"/>
              </w:rPr>
              <w:t>Ogier</w:t>
            </w:r>
          </w:p>
        </w:tc>
        <w:tc>
          <w:tcPr>
            <w:tcW w:w="20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Providing advice on British Virgin Islands,</w:t>
            </w:r>
          </w:p>
        </w:tc>
        <w:tc>
          <w:tcPr>
            <w:tcW w:w="2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Cayman Islands and Guernsey laws</w:t>
            </w:r>
          </w:p>
        </w:tc>
        <w:tc>
          <w:tcPr>
            <w:tcW w:w="20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Partners</w:t>
            </w:r>
          </w:p>
        </w:tc>
        <w:tc>
          <w:tcPr>
            <w:tcW w:w="20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Floor 11 Central Tower</w:t>
            </w:r>
          </w:p>
        </w:tc>
        <w:tc>
          <w:tcPr>
            <w:tcW w:w="2060" w:type="dxa"/>
            <w:vAlign w:val="bottom"/>
          </w:tcPr>
          <w:p>
            <w:pPr>
              <w:ind w:left="360"/>
              <w:spacing w:after="0"/>
              <w:rPr>
                <w:sz w:val="20"/>
                <w:szCs w:val="20"/>
                <w:color w:val="auto"/>
              </w:rPr>
            </w:pPr>
            <w:r>
              <w:rPr>
                <w:rFonts w:ascii="Arial" w:cs="Arial" w:eastAsia="Arial" w:hAnsi="Arial"/>
                <w:sz w:val="18"/>
                <w:szCs w:val="18"/>
                <w:color w:val="auto"/>
              </w:rPr>
              <w:t>Nicholas Plowman</w:t>
            </w:r>
          </w:p>
        </w:tc>
        <w:tc>
          <w:tcPr>
            <w:tcW w:w="2040" w:type="dxa"/>
            <w:vAlign w:val="bottom"/>
          </w:tcPr>
          <w:p>
            <w:pPr>
              <w:ind w:left="320"/>
              <w:spacing w:after="0"/>
              <w:rPr>
                <w:sz w:val="20"/>
                <w:szCs w:val="20"/>
                <w:color w:val="auto"/>
              </w:rPr>
            </w:pPr>
            <w:r>
              <w:rPr>
                <w:rFonts w:ascii="Arial" w:cs="Arial" w:eastAsia="Arial" w:hAnsi="Arial"/>
                <w:sz w:val="18"/>
                <w:szCs w:val="18"/>
                <w:color w:val="auto"/>
              </w:rPr>
              <w:t>Florence Chan*</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460" w:type="dxa"/>
            <w:vAlign w:val="bottom"/>
          </w:tcPr>
          <w:p>
            <w:pPr>
              <w:spacing w:after="0"/>
              <w:rPr>
                <w:sz w:val="20"/>
                <w:szCs w:val="20"/>
                <w:color w:val="auto"/>
              </w:rPr>
            </w:pPr>
            <w:r>
              <w:rPr>
                <w:rFonts w:ascii="Arial" w:cs="Arial" w:eastAsia="Arial" w:hAnsi="Arial"/>
                <w:sz w:val="18"/>
                <w:szCs w:val="18"/>
                <w:color w:val="auto"/>
              </w:rPr>
              <w:t>28 Queen’s Road Central</w:t>
            </w:r>
          </w:p>
        </w:tc>
        <w:tc>
          <w:tcPr>
            <w:tcW w:w="2060" w:type="dxa"/>
            <w:vAlign w:val="bottom"/>
          </w:tcPr>
          <w:p>
            <w:pPr>
              <w:ind w:left="360"/>
              <w:spacing w:after="0"/>
              <w:rPr>
                <w:sz w:val="20"/>
                <w:szCs w:val="20"/>
                <w:color w:val="auto"/>
              </w:rPr>
            </w:pPr>
            <w:r>
              <w:rPr>
                <w:rFonts w:ascii="Arial" w:cs="Arial" w:eastAsia="Arial" w:hAnsi="Arial"/>
                <w:sz w:val="18"/>
                <w:szCs w:val="18"/>
                <w:color w:val="auto"/>
              </w:rPr>
              <w:t>Nathan Powell</w:t>
            </w:r>
          </w:p>
        </w:tc>
        <w:tc>
          <w:tcPr>
            <w:tcW w:w="2040" w:type="dxa"/>
            <w:vAlign w:val="bottom"/>
          </w:tcPr>
          <w:p>
            <w:pPr>
              <w:ind w:left="320"/>
              <w:spacing w:after="0" w:line="217" w:lineRule="exact"/>
              <w:rPr>
                <w:sz w:val="20"/>
                <w:szCs w:val="20"/>
                <w:color w:val="auto"/>
              </w:rPr>
            </w:pPr>
            <w:r>
              <w:rPr>
                <w:rFonts w:ascii="Arial" w:cs="Arial" w:eastAsia="Arial" w:hAnsi="Arial"/>
                <w:sz w:val="16"/>
                <w:szCs w:val="16"/>
                <w:color w:val="auto"/>
              </w:rPr>
              <w:t>Lin Han</w:t>
            </w:r>
            <w:r>
              <w:rPr>
                <w:rFonts w:ascii="Arial" w:cs="Arial" w:eastAsia="Arial" w:hAnsi="Arial"/>
                <w:sz w:val="25"/>
                <w:szCs w:val="25"/>
                <w:color w:val="auto"/>
                <w:vertAlign w:val="superscript"/>
              </w:rPr>
              <w:t>†</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60" w:type="dxa"/>
            <w:vAlign w:val="bottom"/>
          </w:tcPr>
          <w:p>
            <w:pPr>
              <w:spacing w:after="0" w:line="200" w:lineRule="exact"/>
              <w:rPr>
                <w:sz w:val="20"/>
                <w:szCs w:val="20"/>
                <w:color w:val="auto"/>
              </w:rPr>
            </w:pPr>
            <w:r>
              <w:rPr>
                <w:rFonts w:ascii="Arial" w:cs="Arial" w:eastAsia="Arial" w:hAnsi="Arial"/>
                <w:sz w:val="18"/>
                <w:szCs w:val="18"/>
                <w:color w:val="auto"/>
              </w:rPr>
              <w:t>Central</w:t>
            </w:r>
          </w:p>
        </w:tc>
        <w:tc>
          <w:tcPr>
            <w:tcW w:w="2060" w:type="dxa"/>
            <w:vAlign w:val="bottom"/>
          </w:tcPr>
          <w:p>
            <w:pPr>
              <w:ind w:left="360"/>
              <w:spacing w:after="0" w:line="200" w:lineRule="exact"/>
              <w:rPr>
                <w:sz w:val="20"/>
                <w:szCs w:val="20"/>
                <w:color w:val="auto"/>
              </w:rPr>
            </w:pPr>
            <w:r>
              <w:rPr>
                <w:rFonts w:ascii="Arial" w:cs="Arial" w:eastAsia="Arial" w:hAnsi="Arial"/>
                <w:sz w:val="18"/>
                <w:szCs w:val="18"/>
                <w:color w:val="auto"/>
              </w:rPr>
              <w:t>Anthony Oakes</w:t>
            </w:r>
          </w:p>
        </w:tc>
        <w:tc>
          <w:tcPr>
            <w:tcW w:w="2040" w:type="dxa"/>
            <w:vAlign w:val="bottom"/>
            <w:vMerge w:val="restart"/>
          </w:tcPr>
          <w:p>
            <w:pPr>
              <w:ind w:left="320"/>
              <w:spacing w:after="0"/>
              <w:rPr>
                <w:sz w:val="20"/>
                <w:szCs w:val="20"/>
                <w:color w:val="auto"/>
              </w:rPr>
            </w:pPr>
            <w:r>
              <w:rPr>
                <w:rFonts w:ascii="Arial" w:cs="Arial" w:eastAsia="Arial" w:hAnsi="Arial"/>
                <w:sz w:val="18"/>
                <w:szCs w:val="18"/>
                <w:color w:val="auto"/>
              </w:rPr>
              <w:t>Cecilia Li**</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460" w:type="dxa"/>
            <w:vAlign w:val="bottom"/>
            <w:vMerge w:val="restart"/>
          </w:tcPr>
          <w:p>
            <w:pPr>
              <w:spacing w:after="0"/>
              <w:rPr>
                <w:sz w:val="20"/>
                <w:szCs w:val="20"/>
                <w:color w:val="auto"/>
              </w:rPr>
            </w:pPr>
            <w:r>
              <w:rPr>
                <w:rFonts w:ascii="Arial" w:cs="Arial" w:eastAsia="Arial" w:hAnsi="Arial"/>
                <w:sz w:val="18"/>
                <w:szCs w:val="18"/>
                <w:color w:val="auto"/>
              </w:rPr>
              <w:t>Hong Kong</w:t>
            </w:r>
          </w:p>
        </w:tc>
        <w:tc>
          <w:tcPr>
            <w:tcW w:w="2060" w:type="dxa"/>
            <w:vAlign w:val="bottom"/>
            <w:vMerge w:val="restart"/>
          </w:tcPr>
          <w:p>
            <w:pPr>
              <w:ind w:left="360"/>
              <w:spacing w:after="0"/>
              <w:rPr>
                <w:sz w:val="20"/>
                <w:szCs w:val="20"/>
                <w:color w:val="auto"/>
              </w:rPr>
            </w:pPr>
            <w:r>
              <w:rPr>
                <w:rFonts w:ascii="Arial" w:cs="Arial" w:eastAsia="Arial" w:hAnsi="Arial"/>
                <w:sz w:val="18"/>
                <w:szCs w:val="18"/>
                <w:color w:val="auto"/>
              </w:rPr>
              <w:t>Oliver Payne</w:t>
            </w:r>
          </w:p>
        </w:tc>
        <w:tc>
          <w:tcPr>
            <w:tcW w:w="204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2040" w:type="dxa"/>
            <w:vAlign w:val="bottom"/>
            <w:vMerge w:val="restart"/>
          </w:tcPr>
          <w:p>
            <w:pPr>
              <w:ind w:left="320"/>
              <w:spacing w:after="0"/>
              <w:rPr>
                <w:sz w:val="20"/>
                <w:szCs w:val="20"/>
                <w:color w:val="auto"/>
              </w:rPr>
            </w:pPr>
            <w:r>
              <w:rPr>
                <w:rFonts w:ascii="Arial" w:cs="Arial" w:eastAsia="Arial" w:hAnsi="Arial"/>
                <w:sz w:val="18"/>
                <w:szCs w:val="18"/>
                <w:color w:val="auto"/>
              </w:rPr>
              <w:t>Rachel Huang**</w:t>
            </w:r>
          </w:p>
        </w:tc>
        <w:tc>
          <w:tcPr>
            <w:tcW w:w="3680" w:type="dxa"/>
            <w:vAlign w:val="bottom"/>
            <w:vMerge w:val="restart"/>
          </w:tcPr>
          <w:p>
            <w:pPr>
              <w:ind w:left="300"/>
              <w:spacing w:after="0"/>
              <w:rPr>
                <w:sz w:val="20"/>
                <w:szCs w:val="20"/>
                <w:color w:val="auto"/>
              </w:rPr>
            </w:pPr>
            <w:r>
              <w:rPr>
                <w:rFonts w:ascii="Arial" w:cs="Arial" w:eastAsia="Arial" w:hAnsi="Arial"/>
                <w:sz w:val="18"/>
                <w:szCs w:val="18"/>
                <w:color w:val="auto"/>
              </w:rPr>
              <w:t>* admitted in New Zealand</w:t>
            </w:r>
          </w:p>
        </w:tc>
        <w:tc>
          <w:tcPr>
            <w:tcW w:w="0" w:type="dxa"/>
            <w:vAlign w:val="bottom"/>
          </w:tcPr>
          <w:p>
            <w:pPr>
              <w:spacing w:after="0"/>
              <w:rPr>
                <w:sz w:val="1"/>
                <w:szCs w:val="1"/>
                <w:color w:val="auto"/>
              </w:rPr>
            </w:pPr>
          </w:p>
        </w:tc>
      </w:tr>
      <w:tr>
        <w:trPr>
          <w:trHeight w:val="98"/>
        </w:trPr>
        <w:tc>
          <w:tcPr>
            <w:tcW w:w="3460" w:type="dxa"/>
            <w:vAlign w:val="bottom"/>
          </w:tcPr>
          <w:p>
            <w:pPr>
              <w:spacing w:after="0"/>
              <w:rPr>
                <w:sz w:val="8"/>
                <w:szCs w:val="8"/>
                <w:color w:val="auto"/>
              </w:rPr>
            </w:pPr>
          </w:p>
        </w:tc>
        <w:tc>
          <w:tcPr>
            <w:tcW w:w="2060" w:type="dxa"/>
            <w:vAlign w:val="bottom"/>
            <w:vMerge w:val="restart"/>
          </w:tcPr>
          <w:p>
            <w:pPr>
              <w:ind w:left="360"/>
              <w:spacing w:after="0"/>
              <w:rPr>
                <w:sz w:val="20"/>
                <w:szCs w:val="20"/>
                <w:color w:val="auto"/>
              </w:rPr>
            </w:pPr>
            <w:r>
              <w:rPr>
                <w:rFonts w:ascii="Arial" w:cs="Arial" w:eastAsia="Arial" w:hAnsi="Arial"/>
                <w:sz w:val="18"/>
                <w:szCs w:val="18"/>
                <w:color w:val="auto"/>
              </w:rPr>
              <w:t>Kate Hodson</w:t>
            </w:r>
          </w:p>
        </w:tc>
        <w:tc>
          <w:tcPr>
            <w:tcW w:w="2040" w:type="dxa"/>
            <w:vAlign w:val="bottom"/>
            <w:vMerge w:val="continue"/>
          </w:tcPr>
          <w:p>
            <w:pPr>
              <w:spacing w:after="0"/>
              <w:rPr>
                <w:sz w:val="8"/>
                <w:szCs w:val="8"/>
                <w:color w:val="auto"/>
              </w:rPr>
            </w:pPr>
          </w:p>
        </w:tc>
        <w:tc>
          <w:tcPr>
            <w:tcW w:w="3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2040" w:type="dxa"/>
            <w:vAlign w:val="bottom"/>
            <w:vMerge w:val="restart"/>
          </w:tcPr>
          <w:p>
            <w:pPr>
              <w:ind w:left="320"/>
              <w:spacing w:after="0" w:line="294" w:lineRule="exact"/>
              <w:rPr>
                <w:sz w:val="20"/>
                <w:szCs w:val="20"/>
                <w:color w:val="auto"/>
              </w:rPr>
            </w:pPr>
            <w:r>
              <w:rPr>
                <w:rFonts w:ascii="Arial" w:cs="Arial" w:eastAsia="Arial" w:hAnsi="Arial"/>
                <w:sz w:val="18"/>
                <w:szCs w:val="18"/>
                <w:color w:val="auto"/>
              </w:rPr>
              <w:t>Richard Bennett**</w:t>
            </w:r>
            <w:r>
              <w:rPr>
                <w:rFonts w:ascii="Arial" w:cs="Arial" w:eastAsia="Arial" w:hAnsi="Arial"/>
                <w:sz w:val="29"/>
                <w:szCs w:val="29"/>
                <w:color w:val="auto"/>
                <w:vertAlign w:val="superscript"/>
              </w:rPr>
              <w:t>‡</w:t>
            </w:r>
          </w:p>
        </w:tc>
        <w:tc>
          <w:tcPr>
            <w:tcW w:w="3680" w:type="dxa"/>
            <w:vAlign w:val="bottom"/>
            <w:vMerge w:val="restart"/>
          </w:tcPr>
          <w:p>
            <w:pPr>
              <w:ind w:left="300"/>
              <w:spacing w:after="0" w:line="294"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admitted in New York</w:t>
            </w:r>
          </w:p>
        </w:tc>
        <w:tc>
          <w:tcPr>
            <w:tcW w:w="0" w:type="dxa"/>
            <w:vAlign w:val="bottom"/>
          </w:tcPr>
          <w:p>
            <w:pPr>
              <w:spacing w:after="0"/>
              <w:rPr>
                <w:sz w:val="1"/>
                <w:szCs w:val="1"/>
                <w:color w:val="auto"/>
              </w:rPr>
            </w:pPr>
          </w:p>
        </w:tc>
      </w:tr>
      <w:tr>
        <w:trPr>
          <w:trHeight w:val="176"/>
        </w:trPr>
        <w:tc>
          <w:tcPr>
            <w:tcW w:w="3460" w:type="dxa"/>
            <w:vAlign w:val="bottom"/>
          </w:tcPr>
          <w:p>
            <w:pPr>
              <w:spacing w:after="0" w:line="176" w:lineRule="exact"/>
              <w:rPr>
                <w:sz w:val="20"/>
                <w:szCs w:val="20"/>
                <w:color w:val="auto"/>
              </w:rPr>
            </w:pPr>
            <w:r>
              <w:rPr>
                <w:rFonts w:ascii="Arial" w:cs="Arial" w:eastAsia="Arial" w:hAnsi="Arial"/>
                <w:sz w:val="18"/>
                <w:szCs w:val="18"/>
                <w:color w:val="auto"/>
              </w:rPr>
              <w:t>T +852 3656 6000</w:t>
            </w:r>
          </w:p>
        </w:tc>
        <w:tc>
          <w:tcPr>
            <w:tcW w:w="2060" w:type="dxa"/>
            <w:vAlign w:val="bottom"/>
          </w:tcPr>
          <w:p>
            <w:pPr>
              <w:ind w:left="360"/>
              <w:spacing w:after="0" w:line="176" w:lineRule="exact"/>
              <w:rPr>
                <w:sz w:val="20"/>
                <w:szCs w:val="20"/>
                <w:color w:val="auto"/>
              </w:rPr>
            </w:pPr>
            <w:r>
              <w:rPr>
                <w:rFonts w:ascii="Arial" w:cs="Arial" w:eastAsia="Arial" w:hAnsi="Arial"/>
                <w:sz w:val="18"/>
                <w:szCs w:val="18"/>
                <w:color w:val="auto"/>
              </w:rPr>
              <w:t>David Nelson</w:t>
            </w:r>
          </w:p>
        </w:tc>
        <w:tc>
          <w:tcPr>
            <w:tcW w:w="2040" w:type="dxa"/>
            <w:vAlign w:val="bottom"/>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60" w:type="dxa"/>
            <w:vAlign w:val="bottom"/>
          </w:tcPr>
          <w:p>
            <w:pPr>
              <w:spacing w:after="0"/>
              <w:rPr>
                <w:sz w:val="20"/>
                <w:szCs w:val="20"/>
                <w:color w:val="auto"/>
              </w:rPr>
            </w:pPr>
            <w:r>
              <w:rPr>
                <w:rFonts w:ascii="Arial" w:cs="Arial" w:eastAsia="Arial" w:hAnsi="Arial"/>
                <w:sz w:val="18"/>
                <w:szCs w:val="18"/>
                <w:color w:val="auto"/>
              </w:rPr>
              <w:t>F +852 3656 6001</w:t>
            </w:r>
          </w:p>
        </w:tc>
        <w:tc>
          <w:tcPr>
            <w:tcW w:w="2060" w:type="dxa"/>
            <w:vAlign w:val="bottom"/>
          </w:tcPr>
          <w:p>
            <w:pPr>
              <w:ind w:left="360"/>
              <w:spacing w:after="0"/>
              <w:rPr>
                <w:sz w:val="20"/>
                <w:szCs w:val="20"/>
                <w:color w:val="auto"/>
              </w:rPr>
            </w:pPr>
            <w:r>
              <w:rPr>
                <w:rFonts w:ascii="Arial" w:cs="Arial" w:eastAsia="Arial" w:hAnsi="Arial"/>
                <w:sz w:val="18"/>
                <w:szCs w:val="18"/>
                <w:color w:val="auto"/>
              </w:rPr>
              <w:t>Michael Snape</w:t>
            </w:r>
          </w:p>
        </w:tc>
        <w:tc>
          <w:tcPr>
            <w:tcW w:w="2040" w:type="dxa"/>
            <w:vAlign w:val="bottom"/>
          </w:tcPr>
          <w:p>
            <w:pPr>
              <w:ind w:left="320"/>
              <w:spacing w:after="0" w:line="218" w:lineRule="exact"/>
              <w:rPr>
                <w:sz w:val="20"/>
                <w:szCs w:val="20"/>
                <w:color w:val="auto"/>
              </w:rPr>
            </w:pPr>
            <w:r>
              <w:rPr>
                <w:rFonts w:ascii="Arial" w:cs="Arial" w:eastAsia="Arial" w:hAnsi="Arial"/>
                <w:sz w:val="16"/>
                <w:szCs w:val="16"/>
                <w:color w:val="auto"/>
              </w:rPr>
              <w:t>James Bergstrom</w:t>
            </w:r>
            <w:r>
              <w:rPr>
                <w:rFonts w:ascii="Arial" w:cs="Arial" w:eastAsia="Arial" w:hAnsi="Arial"/>
                <w:sz w:val="25"/>
                <w:szCs w:val="25"/>
                <w:color w:val="auto"/>
                <w:vertAlign w:val="superscript"/>
              </w:rPr>
              <w:t>‡</w:t>
            </w:r>
          </w:p>
        </w:tc>
        <w:tc>
          <w:tcPr>
            <w:tcW w:w="3680" w:type="dxa"/>
            <w:vAlign w:val="bottom"/>
          </w:tcPr>
          <w:p>
            <w:pPr>
              <w:ind w:left="300"/>
              <w:spacing w:after="0"/>
              <w:rPr>
                <w:sz w:val="20"/>
                <w:szCs w:val="20"/>
                <w:color w:val="auto"/>
              </w:rPr>
            </w:pPr>
            <w:r>
              <w:rPr>
                <w:rFonts w:ascii="Arial" w:cs="Arial" w:eastAsia="Arial" w:hAnsi="Arial"/>
                <w:sz w:val="18"/>
                <w:szCs w:val="18"/>
                <w:color w:val="auto"/>
              </w:rPr>
              <w:t>** admitted in England and Wales</w:t>
            </w:r>
          </w:p>
        </w:tc>
        <w:tc>
          <w:tcPr>
            <w:tcW w:w="0" w:type="dxa"/>
            <w:vAlign w:val="bottom"/>
          </w:tcPr>
          <w:p>
            <w:pPr>
              <w:spacing w:after="0"/>
              <w:rPr>
                <w:sz w:val="1"/>
                <w:szCs w:val="1"/>
                <w:color w:val="auto"/>
              </w:rPr>
            </w:pPr>
          </w:p>
        </w:tc>
      </w:tr>
      <w:tr>
        <w:trPr>
          <w:trHeight w:val="390"/>
        </w:trPr>
        <w:tc>
          <w:tcPr>
            <w:tcW w:w="3460" w:type="dxa"/>
            <w:vAlign w:val="bottom"/>
          </w:tcPr>
          <w:p>
            <w:pPr>
              <w:spacing w:after="0"/>
              <w:rPr>
                <w:sz w:val="20"/>
                <w:szCs w:val="20"/>
                <w:color w:val="auto"/>
              </w:rPr>
            </w:pPr>
            <w:r>
              <w:rPr>
                <w:rFonts w:ascii="Arial" w:cs="Arial" w:eastAsia="Arial" w:hAnsi="Arial"/>
                <w:sz w:val="18"/>
                <w:szCs w:val="18"/>
                <w:b w:val="1"/>
                <w:bCs w:val="1"/>
                <w:color w:val="auto"/>
              </w:rPr>
              <w:t>ogier.com</w:t>
            </w:r>
          </w:p>
        </w:tc>
        <w:tc>
          <w:tcPr>
            <w:tcW w:w="2060" w:type="dxa"/>
            <w:vAlign w:val="bottom"/>
          </w:tcPr>
          <w:p>
            <w:pPr>
              <w:ind w:left="360"/>
              <w:spacing w:after="0"/>
              <w:rPr>
                <w:sz w:val="20"/>
                <w:szCs w:val="20"/>
                <w:color w:val="auto"/>
              </w:rPr>
            </w:pPr>
            <w:r>
              <w:rPr>
                <w:rFonts w:ascii="Arial" w:cs="Arial" w:eastAsia="Arial" w:hAnsi="Arial"/>
                <w:sz w:val="18"/>
                <w:szCs w:val="18"/>
                <w:color w:val="auto"/>
              </w:rPr>
              <w:t>Justin Davis</w:t>
            </w:r>
          </w:p>
        </w:tc>
        <w:tc>
          <w:tcPr>
            <w:tcW w:w="2040" w:type="dxa"/>
            <w:vAlign w:val="bottom"/>
          </w:tcPr>
          <w:p>
            <w:pPr>
              <w:ind w:left="320"/>
              <w:spacing w:after="0"/>
              <w:rPr>
                <w:sz w:val="20"/>
                <w:szCs w:val="20"/>
                <w:color w:val="auto"/>
              </w:rPr>
            </w:pPr>
            <w:r>
              <w:rPr>
                <w:rFonts w:ascii="Arial" w:cs="Arial" w:eastAsia="Arial" w:hAnsi="Arial"/>
                <w:sz w:val="18"/>
                <w:szCs w:val="18"/>
                <w:color w:val="auto"/>
              </w:rPr>
              <w:t>Marcus Leese</w:t>
            </w:r>
            <w:r>
              <w:rPr>
                <w:rFonts w:ascii="Arial" w:cs="Arial" w:eastAsia="Arial" w:hAnsi="Arial"/>
                <w:sz w:val="29"/>
                <w:szCs w:val="29"/>
                <w:color w:val="auto"/>
                <w:vertAlign w:val="superscript"/>
              </w:rPr>
              <w:t>‡</w:t>
            </w:r>
          </w:p>
        </w:tc>
        <w:tc>
          <w:tcPr>
            <w:tcW w:w="3680" w:type="dxa"/>
            <w:vAlign w:val="bottom"/>
          </w:tcPr>
          <w:p>
            <w:pPr>
              <w:ind w:left="300"/>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not ordinarily resident in Hong Kong</w:t>
            </w:r>
          </w:p>
        </w:tc>
        <w:tc>
          <w:tcPr>
            <w:tcW w:w="0" w:type="dxa"/>
            <w:vAlign w:val="bottom"/>
          </w:tcPr>
          <w:p>
            <w:pPr>
              <w:spacing w:after="0"/>
              <w:rPr>
                <w:sz w:val="1"/>
                <w:szCs w:val="1"/>
                <w:color w:val="auto"/>
              </w:rPr>
            </w:pPr>
          </w:p>
        </w:tc>
      </w:tr>
      <w:tr>
        <w:trPr>
          <w:trHeight w:val="316"/>
        </w:trPr>
        <w:tc>
          <w:tcPr>
            <w:tcW w:w="34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filed with the Registrar on 17 December 2020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shareholder list of the Company provided by Continental Stock Transfer &amp; Trust as at 3 November 2023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S-8;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S-8 POS;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 copy of the written resolutions of all the directors of the Company dated 8 March 2023, 16 August 2023 and 15 November 2023 approving, among other things, the Company’s adoption of 2023 Equity Incentive Plan and issuance of stock options and shares under the 2023 Equity Incentive Plan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 copy of the minutes of the annual general meeting of the Company held on 24 April 2023 (the </w:t>
      </w:r>
      <w:r>
        <w:rPr>
          <w:rFonts w:ascii="Arial" w:cs="Arial" w:eastAsia="Arial" w:hAnsi="Arial"/>
          <w:sz w:val="18"/>
          <w:szCs w:val="18"/>
          <w:b w:val="1"/>
          <w:bCs w:val="1"/>
          <w:color w:val="auto"/>
        </w:rPr>
        <w:t>AGM</w:t>
      </w:r>
      <w:r>
        <w:rPr>
          <w:rFonts w:ascii="Arial" w:cs="Arial" w:eastAsia="Arial" w:hAnsi="Arial"/>
          <w:sz w:val="18"/>
          <w:szCs w:val="18"/>
          <w:color w:val="auto"/>
        </w:rPr>
        <w:t xml:space="preserve">) approving, among other things, the Company’s adoption of 2023 Equity Incentive Plan (the </w:t>
      </w:r>
      <w:r>
        <w:rPr>
          <w:rFonts w:ascii="Arial" w:cs="Arial" w:eastAsia="Arial" w:hAnsi="Arial"/>
          <w:sz w:val="18"/>
          <w:szCs w:val="18"/>
          <w:b w:val="1"/>
          <w:bCs w:val="1"/>
          <w:color w:val="auto"/>
        </w:rPr>
        <w:t>Minutes of the AGM</w:t>
      </w:r>
      <w:r>
        <w:rPr>
          <w:rFonts w:ascii="Arial" w:cs="Arial" w:eastAsia="Arial" w:hAnsi="Arial"/>
          <w:sz w:val="18"/>
          <w:szCs w:val="18"/>
          <w:color w:val="auto"/>
        </w:rPr>
        <w:t xml:space="preserve">,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 certificate from a director of the Company dated 15 November 2023 as to certain matters of fact (the </w:t>
      </w:r>
      <w:r>
        <w:rPr>
          <w:rFonts w:ascii="Arial" w:cs="Arial" w:eastAsia="Arial" w:hAnsi="Arial"/>
          <w:sz w:val="17"/>
          <w:szCs w:val="17"/>
          <w:b w:val="1"/>
          <w:bCs w:val="1"/>
          <w:color w:val="auto"/>
        </w:rPr>
        <w:t>Director’s Certificate</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copy of the 2023 Equity Incentive Plan.</w:t>
      </w:r>
    </w:p>
    <w:p>
      <w:pPr>
        <w:spacing w:after="0" w:line="2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of the Good Standing Certificate, the Registers, the Director’s Certificate and the 2023 Equity Incentive Plan is accurate, complete and up-to-date (as the case may be) as at the date of this opinion;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Memorandum and Articles provided to us are in full force and effect and have not been amended, varied, supplemented or revoked in any respect;</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copies of the Form S-8 and Form S-8 POS are true and correct copies and the Form S-8 Form S-8 POS conforms in every material respect to the latest drafts of the same produced to us and, where the Form S-8 Form S-8 POS has been provided to us in successive drafts marked to show changes from a previous draft, all such changes have been accurately marked;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29" w:lineRule="exact"/>
        <w:rPr>
          <w:sz w:val="20"/>
          <w:szCs w:val="20"/>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Resolutions have been duly passed in accordance with the Company’s articles of association then in effect and remains in full force and effect;</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resolutions passed at the AGM as documented in the Minutes of the AGM remains in full force and effect and the AGM referred to in the Minutes of the AGM was properly convened and held in accordance with the Company’s articles of association then in effect, a quorum was present throughout the AGM and the Minutes of the AGM provided a complete and accurate record of the proceedings descried therein;</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the directors of the Company has acted in good faith with a view to the best interests of the Company and has exercised the standard of care, diligence and skill that is required of him or her in approving the 2023 Equity Incentive Plan and no director has a financial interest in or other relationship to a party of the transactions contemplated by the 2023 Equity Incentive Plan which has not been properly disclosed in the Board Resolutions;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maximum number of shares which the Company is required to issue under the 2023 Equity Incentive Plan to fulfil its obligation will not exceed the Company’s authorised share capital then in place and the consideration payable for each Resale ESOP Share shall be no less than the par value of US$0.0001 each;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nothing under any law (other than the laws of the Cayman Islands), that would or might affect the opinions herein.</w:t>
      </w:r>
    </w:p>
    <w:p>
      <w:pPr>
        <w:spacing w:after="0" w:line="22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 of the Documents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in the Cayman Islands and is validly existing and in good standing with the Registrar.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Authorised Shares</w:t>
      </w:r>
    </w:p>
    <w:p>
      <w:pPr>
        <w:spacing w:after="0" w:line="229" w:lineRule="exact"/>
        <w:rPr>
          <w:sz w:val="20"/>
          <w:szCs w:val="20"/>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solely on the Memorandum, the authorised share capital of the Company is US$10,000 divided into 100,000,000 shares of US$0.0001 par value.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Valid Issuance of Resale ESOP Shares</w:t>
      </w:r>
    </w:p>
    <w:p>
      <w:pPr>
        <w:spacing w:after="0" w:line="229" w:lineRule="exact"/>
        <w:rPr>
          <w:sz w:val="20"/>
          <w:szCs w:val="20"/>
          <w:color w:val="auto"/>
        </w:rPr>
      </w:pPr>
    </w:p>
    <w:p>
      <w:pPr>
        <w:jc w:val="both"/>
        <w:ind w:left="1300" w:hanging="644"/>
        <w:spacing w:after="0" w:line="272"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Resale ESOP Shares issued or to be issued under the 2023 Equity Incentive Plan have been duly authorised by all necessary corporate actions of the Company under the Memorandum and Articles and, upon the issuance and delivery of the Resale ESOP Shares in accordance with the Memorandum and Articles, the Resolutions and the terms of the 2023 Equity Incentive Plan and once consideration of not less than the par value is fully paid per Resale Share in accordance with the 2023 Equity Incentive Plan to the Company, the Resale ESOP Shares will be validly issued, fully paid and non-assessable. Once the register of members of the Company has been updated to reflect the issuance of the Resale ESOP Shares, the shareholders recorded in the register of members of the Company will be deemed to have legal title to the shares of the Company set out against their respective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and/or 2023 Equity Incentive Plan to statutes, rules, regulations, codes or judicial authority of any jurisdiction other than the Cayman Islands; or</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to the extent that this opinion expressly provides otherwise, as to the commercial terms of, or the validity, enforceability or effect of the Form S-8 and Form S-8 POS, the accuracy of representations, the fulfilment of warranties or conditions, the occurrence of events of default or terminating events or the existence of any conflicts or inconsistencies among the Form S-8, Form S-8 POS and any other agreements into which the Company may have entered or any other documents.</w:t>
      </w:r>
    </w:p>
    <w:p>
      <w:pPr>
        <w:spacing w:after="0" w:line="167"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Act (Revised) (</w:t>
      </w:r>
      <w:r>
        <w:rPr>
          <w:rFonts w:ascii="Arial" w:cs="Arial" w:eastAsia="Arial" w:hAnsi="Arial"/>
          <w:sz w:val="17"/>
          <w:szCs w:val="17"/>
          <w:b w:val="1"/>
          <w:bCs w:val="1"/>
          <w:color w:val="auto"/>
        </w:rPr>
        <w:t>Companies Act</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9"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 good standing means only that as of the date of the Good Standing Certificate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p>
      <w:pPr>
        <w:spacing w:after="0" w:line="14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filing of this opinion as an exhibit to the Form S-8 POS.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opinion may be used only in connection with resale of the Resale ESOP Shares while the Registration Statement is effective is effective.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85725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857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0260"/>
        <w:spacing w:after="0"/>
        <w:rPr>
          <w:sz w:val="20"/>
          <w:szCs w:val="20"/>
          <w:color w:val="auto"/>
        </w:rPr>
      </w:pPr>
      <w:r>
        <w:rPr>
          <w:rFonts w:ascii="Arial" w:cs="Arial" w:eastAsia="Arial" w:hAnsi="Arial"/>
          <w:sz w:val="17"/>
          <w:szCs w:val="17"/>
          <w:b w:val="1"/>
          <w:bCs w:val="1"/>
          <w:color w:val="auto"/>
        </w:rPr>
        <w:t>Exhibit 23.1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(Post-Effective Amendment No. 1 to Form S-8 No. 333-271860) of CLPS Incorporation and to the incorporation by reference therein of our report dated October 18, 2023, with respect to the consolidated financial statements of CLPS Incorporation included in its Annual Report (Form 20-F) for the year ended June 30, 2023,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bullet"/>
      <w:start w:val="1"/>
    </w:lvl>
    <w:lvl w:ilvl="1">
      <w:lvlJc w:val="left"/>
      <w:lvlText w:val="(%2)"/>
      <w:numFmt w:val="lowerLetter"/>
      <w:start w:val="1"/>
    </w:lvl>
  </w:abstractNum>
  <w:abstractNum w:abstractNumId="11">
    <w:nsid w:val="519B500D"/>
    <w:multiLevelType w:val="hybridMultilevel"/>
    <w:lvl w:ilvl="0">
      <w:lvlJc w:val="left"/>
      <w:lvlText w:val="(%1)"/>
      <w:numFmt w:val="lowerLetter"/>
      <w:start w:val="4"/>
    </w:lvl>
  </w:abstractNum>
  <w:abstractNum w:abstractNumId="12">
    <w:nsid w:val="431BD7B7"/>
    <w:multiLevelType w:val="hybridMultilevel"/>
    <w:lvl w:ilvl="0">
      <w:lvlJc w:val="left"/>
      <w:lvlText w:val="2"/>
      <w:numFmt w:val="bullet"/>
      <w:start w:val="1"/>
    </w:lvl>
    <w:lvl w:ilvl="1">
      <w:lvlJc w:val="left"/>
      <w:lvlText w:val="(%2)"/>
      <w:numFmt w:val="lowerLetter"/>
      <w:start w:val="1"/>
    </w:lvl>
  </w:abstractNum>
  <w:abstractNum w:abstractNumId="13">
    <w:nsid w:val="3F2DBA31"/>
    <w:multiLevelType w:val="hybridMultilevel"/>
    <w:lvl w:ilvl="0">
      <w:lvlJc w:val="left"/>
      <w:lvlText w:val="(%1)"/>
      <w:numFmt w:val="lowerLetter"/>
      <w:start w:val="7"/>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4"/>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5"/>
      <w:numFmt w:val="bullet"/>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jpe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jpeg"/><Relationship Id="rId40" Type="http://schemas.openxmlformats.org/officeDocument/2006/relationships/image" Target="media/image28.png"/><Relationship Id="rId23" Type="http://schemas.openxmlformats.org/officeDocument/2006/relationships/hyperlink" Target="http://www.sec.gov/ix?doc=/Archives/edgar/data/1724542/000101376223004641/f20f2023_clpsinc.htm" TargetMode="External"/><Relationship Id="rId24" Type="http://schemas.openxmlformats.org/officeDocument/2006/relationships/hyperlink" Target="http://www.sec.gov/Archives/edgar/data/1724542/000121390018003524/ff12018_clpsincorporation.htm" TargetMode="External"/><Relationship Id="rId25" Type="http://schemas.openxmlformats.org/officeDocument/2006/relationships/hyperlink" Target="http://www.sec.gov/Archives/edgar/data/1724542/000121390018006724/f8a12b0518_clpsincorporation.htm" TargetMode="External"/><Relationship Id="rId33" Type="http://schemas.openxmlformats.org/officeDocument/2006/relationships/hyperlink" Target="http://www.sec.gov/Archives/edgar/data/1724542/000121390018003524/ff12018ex4-1_clpsincorp.htm" TargetMode="External"/><Relationship Id="rId34" Type="http://schemas.openxmlformats.org/officeDocument/2006/relationships/hyperlink" Target="http://www.sec.gov/Archives/edgar/data/1724542/000121390023038741/ea178469ex10-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2023-11-15T07:44:41Z</dcterms:created>
  <dcterms:modified xsi:type="dcterms:W3CDTF">2023-11-15T07:44:41Z</dcterms:modified>
</cp:coreProperties>
</file>