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March 2021</w:t>
      </w:r>
    </w:p>
    <w:p>
      <w:pPr>
        <w:spacing w:after="0" w:line="22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color w:val="auto"/>
        </w:rPr>
        <w:t>Commission File No. 001-38505</w:t>
      </w:r>
    </w:p>
    <w:p>
      <w:pPr>
        <w:spacing w:after="0" w:line="212"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c/o Unit 702, 7th Floor, Millennium City II, 378 Kwun Tong Road</w:t>
      </w:r>
    </w:p>
    <w:p>
      <w:pPr>
        <w:spacing w:after="0" w:line="3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Kwun Tong, Kowloon</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3" w:lineRule="exact"/>
        <w:rPr>
          <w:sz w:val="24"/>
          <w:szCs w:val="24"/>
          <w:color w:val="auto"/>
        </w:rPr>
      </w:pPr>
    </w:p>
    <w:p>
      <w:pPr>
        <w:ind w:left="51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509"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On February 28, 2021, CLPS Incorporation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certain institutional investors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xml:space="preserve">”) entered into a securities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pursuant to which the Company agreed to sell to the Investors an aggregate of 2,666,666 common shares, par value $0.0001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in a registered direct offering and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up to 2,666,666 Common Shares in a concurrent private placement, for gross proceeds of approximately $16,000,000 (the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 Upon exercise in full of the Warrants, the Company expects to receive additional proceeds of approximately $16,000,000. The purchase price for each Common Share and the corresponding Warrant is $6.00. The closing price of the Company’s Common Shares on February 26, 2021, the most recent trading day prior to the signing of the Purchase Agreement, was $5.87. The Company currently intends to use the net proceeds from the Financing for global expansion, research and development, talent development, general corporate and working capital purposes.</w:t>
      </w:r>
    </w:p>
    <w:p>
      <w:pPr>
        <w:spacing w:after="0" w:line="18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Company agreed that from February 28, 2021 until sixty (60) days after the closing of the Financing, neither it nor its subsidiaries will issue or enter into any agreements to issue or announce the issuance or proposed issuance of any Common Shares or common share equivalents or file with the Securities and Exchange Commission any registration statement, or amendment or supplement thereto, other than in connection with the Financing. The Company has also agreed that as long as any Investors holds Warrants the Company would not enter into an agreement to effect any issuance by the Company or any of its subsidiaries of Common Shares or Common Share Equivalents involving a Variable Rate Transaction (as defined in the Purchase Agreement).</w:t>
      </w:r>
    </w:p>
    <w:p>
      <w:pPr>
        <w:spacing w:after="0" w:line="18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agreed to file, as soon as practicable (and in any event within 30 calendar days of the closing date), a registration statement on Form F-3 (or such other form as the Company is then eligible to use for such purpose) providing for the resale by the investors of the warrant shares issued and issuable upon exercise of the Warrants. The Company agreed to use commercially reasonable efforts to cause such registration to become effective within 181 days following the closing date and to keep such registration statement effective at all times until no such investor owns any Warrants or warrant shares underlying the Warrants.</w:t>
      </w:r>
    </w:p>
    <w:p>
      <w:pPr>
        <w:spacing w:after="0" w:line="18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Warrants will be exercisable commencing on March 3, 2021, at an exercise price of $6.00 and will expire on September 3, 2026, five years and six months after the date of issuance. In the event of a stock split, stock dividend, combination, subsequent right offering or reclassification of the outstanding shares of Common Stock, the exercise price and the number of shares issuable upon exercise of the warrants shall be proportionately adjusted.</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the closing date of the Financing, the Company’s officers and directors of 5% or more of the outstanding Common Shares shall enter into lock-up agreements (the “</w:t>
      </w:r>
      <w:r>
        <w:rPr>
          <w:rFonts w:ascii="Times New Roman" w:cs="Times New Roman" w:eastAsia="Times New Roman" w:hAnsi="Times New Roman"/>
          <w:sz w:val="18"/>
          <w:szCs w:val="18"/>
          <w:b w:val="1"/>
          <w:bCs w:val="1"/>
          <w:color w:val="auto"/>
        </w:rPr>
        <w:t>Lock-Up Agreements</w:t>
      </w:r>
      <w:r>
        <w:rPr>
          <w:rFonts w:ascii="Times New Roman" w:cs="Times New Roman" w:eastAsia="Times New Roman" w:hAnsi="Times New Roman"/>
          <w:sz w:val="18"/>
          <w:szCs w:val="18"/>
          <w:color w:val="auto"/>
        </w:rPr>
        <w:t>”), pursuant to which they have agreed, among other things, not to sell or dispose of any Common Shares, which are or will be beneficially owned by them, for 60 days following the closing of the Financing.</w:t>
      </w:r>
    </w:p>
    <w:p>
      <w:pPr>
        <w:spacing w:after="0" w:line="172" w:lineRule="exact"/>
        <w:rPr>
          <w:sz w:val="20"/>
          <w:szCs w:val="20"/>
          <w:color w:val="auto"/>
        </w:rPr>
      </w:pPr>
    </w:p>
    <w:p>
      <w:pPr>
        <w:jc w:val="both"/>
        <w:ind w:firstLine="441"/>
        <w:spacing w:after="0" w:line="259" w:lineRule="auto"/>
        <w:rPr>
          <w:sz w:val="20"/>
          <w:szCs w:val="20"/>
          <w:color w:val="auto"/>
        </w:rPr>
      </w:pPr>
      <w:r>
        <w:rPr>
          <w:rFonts w:ascii="Times New Roman" w:cs="Times New Roman" w:eastAsia="Times New Roman" w:hAnsi="Times New Roman"/>
          <w:sz w:val="18"/>
          <w:szCs w:val="18"/>
          <w:color w:val="auto"/>
        </w:rPr>
        <w:t>The Company entered into a letter agreement, dated February 23, 2021 (the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with Maxim Group LLC, as exclusive placement agent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pursuant to which the Placement Agent agreed to act as the sole lead/exclusive placement agent in connection with the Financing. The Company agreed to pay the Placement Agent an aggregate fee equal to 7.0% of the gross proceeds raised in the Financing. The Company also agreed to reimburse the Placement Agent for certain expenses, including (a) $5,000 for non-accountable expenses; and (b) up to $40,000 for fees and expenses related to legal expenses.</w:t>
      </w:r>
    </w:p>
    <w:p>
      <w:pPr>
        <w:spacing w:after="0" w:line="18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 copy of the form of the Letter Agreement, Purchase Agreement, Warrant, and Lock-up Agreement, are attached hereto as Exhibits 4.1, 4.2, 4.3, and 4.4 respectively, and are incorporated herein by reference. The foregoing summaries of the terms of the Warrant, Purchase Agreement, Lock-up Agreement, and Letter Agreement are subject to, and qualified in their entirety by, such documents.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On March 1, 2021, the Company issued a press release announcing the Financing. A copy of the press release is attached hereto as Exhibit 99.1 and is incorporated herein by reference.</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February 28, 2021, the Company entered into the Purchase Agreement described in this Report on Form 6-K pursuant to which, among other things, it agreed to issue the Warrants to the Investors. The offering of the Warrants is being made pursuant to an exemption from the registration requirements of Section 5 of the Securities Act contained in Section 4(a)(2) thereof and/or Regulation D promulgated thereunder.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auto"/>
            </w:tcBorders>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Letter Agreement, dated February 23, 2021 between CLPS Incorporation and Maxim Group</w:t>
              </w:r>
            </w:hyperlink>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0000" w:type="dxa"/>
            <w:vAlign w:val="bottom"/>
          </w:tcPr>
          <w:p>
            <w:pPr>
              <w:ind w:left="2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Form of Securities Purchase Agreement dated February 28, 2021, by and among CLPS Incorporation and certain institutional investors</w:t>
              </w:r>
            </w:hyperlink>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1000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Form of Stock Purchase Warrant</w:t>
              </w:r>
            </w:hyperlink>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0000" w:type="dxa"/>
            <w:vAlign w:val="bottom"/>
          </w:tcPr>
          <w:p>
            <w:pPr>
              <w:ind w:left="20"/>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Form of Lock-Up Agreement by and among CLPS Incorporation and certain individuals</w:t>
              </w:r>
            </w:hyperlink>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8"/>
                <w:szCs w:val="18"/>
                <w:color w:val="auto"/>
              </w:rPr>
            </w:pPr>
          </w:p>
        </w:tc>
        <w:tc>
          <w:tcPr>
            <w:tcW w:w="1000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Press Release, dated March 1, 2021.</w:t>
              </w:r>
            </w:hyperlink>
          </w:p>
        </w:tc>
      </w:tr>
    </w:tbl>
    <w:p>
      <w:pPr>
        <w:spacing w:after="0" w:line="194" w:lineRule="exact"/>
        <w:rPr>
          <w:sz w:val="20"/>
          <w:szCs w:val="20"/>
          <w:color w:val="auto"/>
        </w:rPr>
      </w:pPr>
    </w:p>
    <w:p>
      <w:pPr>
        <w:ind w:firstLine="8"/>
        <w:spacing w:after="0" w:line="286" w:lineRule="auto"/>
        <w:tabs>
          <w:tab w:leader="none" w:pos="14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Schedules and exhibits have been omitted pursuant to Item 601(b)(2) of Regulation S-K. The registrant hereby undertakes to furnish copies of any of the omitted schedules and exhibits upon request by the U.S. Securities and Exchange Commission.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Furnished but not filed.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168275</wp:posOffset>
            </wp:positionV>
            <wp:extent cx="1979930"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799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ELECTRONIC DELIVERY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Ming Hui 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Unit 702, 7th Floor, Millennium City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378 Kwun Tong Road, Kwun Tong, Kowloon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SAR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Lin: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letter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constitutes the agreement between Maxim Group LLC (“</w:t>
      </w:r>
      <w:r>
        <w:rPr>
          <w:rFonts w:ascii="Times New Roman" w:cs="Times New Roman" w:eastAsia="Times New Roman" w:hAnsi="Times New Roman"/>
          <w:sz w:val="18"/>
          <w:szCs w:val="18"/>
          <w:u w:val="single" w:color="auto"/>
          <w:color w:val="auto"/>
        </w:rPr>
        <w:t>Maxim</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Lead Manager</w:t>
      </w:r>
      <w:r>
        <w:rPr>
          <w:rFonts w:ascii="Times New Roman" w:cs="Times New Roman" w:eastAsia="Times New Roman" w:hAnsi="Times New Roman"/>
          <w:sz w:val="18"/>
          <w:szCs w:val="18"/>
          <w:color w:val="auto"/>
        </w:rPr>
        <w:t>”) and CLPS Incorporation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Maxim shall serve as (i) sole lead/exclusive placement agent for the Company, on a “reasonable best efforts” basis (“</w:t>
      </w:r>
      <w:r>
        <w:rPr>
          <w:rFonts w:ascii="Times New Roman" w:cs="Times New Roman" w:eastAsia="Times New Roman" w:hAnsi="Times New Roman"/>
          <w:sz w:val="18"/>
          <w:szCs w:val="18"/>
          <w:u w:val="single" w:color="auto"/>
          <w:color w:val="auto"/>
        </w:rPr>
        <w:t>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or (ii) sole lead book running manager for the Company, on a firm commitment basis (“</w:t>
      </w:r>
      <w:r>
        <w:rPr>
          <w:rFonts w:ascii="Times New Roman" w:cs="Times New Roman" w:eastAsia="Times New Roman" w:hAnsi="Times New Roman"/>
          <w:sz w:val="18"/>
          <w:szCs w:val="18"/>
          <w:u w:val="single" w:color="auto"/>
          <w:color w:val="auto"/>
        </w:rPr>
        <w:t>Underwritten Placement”</w:t>
      </w:r>
      <w:r>
        <w:rPr>
          <w:rFonts w:ascii="Times New Roman" w:cs="Times New Roman" w:eastAsia="Times New Roman" w:hAnsi="Times New Roman"/>
          <w:sz w:val="18"/>
          <w:szCs w:val="18"/>
          <w:color w:val="auto"/>
        </w:rPr>
        <w:t>) and collectively with a Direct Placement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in connection with the proposed offering of registered securities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Company, including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terms of such Placement and the Securities shall be mutually agreed upon by the Company, the Lead Manager and, if a Direct Placement, the purchasers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and nothing herein constitutes that the Lead Manager would have the power or authority to bind the Company or any Purchaser or an obligation for the Company to issue any Securities or complete the Placement. This Agreement and the documents executed and delivered by the Company and the Purchasers in connection with the Placement shall be collectively referred to herein as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The date of the closing of the Placement of common shares for at least $10,000,000 shall be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Company expressly acknowledges and agrees that the Lead Manager’s obligations hereunder are on a reasonable best efforts basis only and that the execution of this Agreement does not constitute a commitment by Maxim to purchase the Securities and does not ensure the successful placement of the Securities or any portion thereof or the success of Maxim with respect to securing any other financing on behalf of the Company. It is further understood and agreed that during the Engagement Period, the Company and Maxim may mutually determine that instead of proceeding with the proposed offering, the Company may alternatively proceed with a different offering of its equity, convertible or debt securities (“</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In such an event, Maxim’s exclusivity enumerated in the Agreement shall still apply.</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 Placement is an Underwritten Placement, prior to the commencement of the Underwritten Placement, the Company shall negotiate the terms of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the Lead Manager containing such terms, covenants, conditions, representations, warranties, and providing for the delivery of legal opinions, comfort letters and officers’ certificates, all in form and substance satisfactory to the Lead Manager and its counsel and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 Placement is a Direct Placement, the sale of Securities to any Purchaser will be evidenced by a purchase agreement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the Company and such Purchaser, if required by the Purchaser, in a form reasonably satisfactory to the Company and the Lead Manager. Prior to the signing of any Purchase Agreement, officers of the Company with responsibility for financial affairs will be available to answer inquiries from prospective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-119380</wp:posOffset>
            </wp:positionV>
            <wp:extent cx="134556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5565" cy="3943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furtherance of the Company’s agreement that Maxim’s retention hereunder shall be exclusive, during the term of this Agreement, neither the Company nor any of its officers, directors, employees,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will, directly or indirectly, solicit or otherwise encourage the submission of any proposal or offer </w:t>
      </w:r>
      <w:r>
        <w:rPr>
          <w:rFonts w:ascii="Times New Roman" w:cs="Times New Roman" w:eastAsia="Times New Roman" w:hAnsi="Times New Roman"/>
          <w:sz w:val="18"/>
          <w:szCs w:val="18"/>
          <w:b w:val="1"/>
          <w:bCs w:val="1"/>
          <w:color w:val="auto"/>
        </w:rPr>
        <w:t>(“Investment Proposal”)</w:t>
      </w:r>
      <w:r>
        <w:rPr>
          <w:rFonts w:ascii="Times New Roman" w:cs="Times New Roman" w:eastAsia="Times New Roman" w:hAnsi="Times New Roman"/>
          <w:sz w:val="18"/>
          <w:szCs w:val="18"/>
          <w:color w:val="auto"/>
        </w:rPr>
        <w:t xml:space="preserve"> from any person or entity relating to any issuance of the Company’s equity or equity-linked securities (including warrants and debt securities with any equity feature) or participate in any discussions regarding an Investment Proposal. The term “Investment Proposal” shall not include (i) any investment in the equity securities of any other entity, and (ii) any transaction or agreement with one or more persons, firms or entities designated as a “strategic partner” of the Company, as determined in good faith by the Board of Directors of the Company, provided that each such person, firm or entity is, itself or through its subsidiaries, an operating company in a business synergistic with the business of the Company and in which the Company receives benefits in addition to the investment of funds, but shall not include a transaction in which the Company is issuing securities primarily for the purpose of raising capital or to one or more persons or entities whose primary business is investing in securities. The Company will immediately cease all contacts, discussions and negotiations with third parties regarding any Investment Proposal and, during the term, will promptly inform Maxim of any unsolicited Investment Proposals received by the Company or its Representatives.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in the event that the Lead Manager determines that any of the terms provided for hereunder shall not comply with a FINRA rule, including but not limited to FINRA Rule 5110, then the Company shall agree to amend this Agreement in writing upon the request of the Lead Manager to comply with any such rules; provided that any such amendments shall not provide for terms that are less favorable to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 Compensation and Other Fees.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compensation for the services provided by the Lead Manager hereunder, the Company agrees to pay to the Lead Manager: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fees set forth below with respect to the Placement: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cash fee payable immediately upon the closing of the Placement equal to seven percent (7.0%) of the aggregate gross proceeds raised in the Placement including any over-allotment subscription (the “</w:t>
      </w:r>
      <w:r>
        <w:rPr>
          <w:rFonts w:ascii="Times New Roman" w:cs="Times New Roman" w:eastAsia="Times New Roman" w:hAnsi="Times New Roman"/>
          <w:sz w:val="18"/>
          <w:szCs w:val="18"/>
          <w:u w:val="single" w:color="auto"/>
          <w:color w:val="auto"/>
        </w:rPr>
        <w:t>Cash Fee</w:t>
      </w:r>
      <w:r>
        <w:rPr>
          <w:rFonts w:ascii="Times New Roman" w:cs="Times New Roman" w:eastAsia="Times New Roman" w:hAnsi="Times New Roman"/>
          <w:sz w:val="18"/>
          <w:szCs w:val="18"/>
          <w:color w:val="auto"/>
        </w:rPr>
        <w:t>”). The Lead Manager’s Fees shall be paid at the closing of the Placement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60" w:hanging="30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FINRA Rule 5110(f)(2)(D), the Company agrees to reimburse Maxim (a) $5,000 for non-accountable expenses;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$40,000 for the reasonable and accounted fees and expenses of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-119380</wp:posOffset>
            </wp:positionV>
            <wp:extent cx="134556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45565" cy="3943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 REGISTRATION STATEMENT.</w:t>
      </w:r>
    </w:p>
    <w:p>
      <w:pPr>
        <w:spacing w:after="0" w:line="225" w:lineRule="exact"/>
        <w:rPr>
          <w:sz w:val="20"/>
          <w:szCs w:val="20"/>
          <w:color w:val="auto"/>
        </w:rPr>
      </w:pPr>
    </w:p>
    <w:p>
      <w:pPr>
        <w:jc w:val="both"/>
        <w:ind w:firstLine="656"/>
        <w:spacing w:after="0" w:line="251" w:lineRule="auto"/>
        <w:tabs>
          <w:tab w:leader="none" w:pos="9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to, and agrees with, Maxim that: (A) the Company has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on Form F-3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for the registration under the Securities Act of the Securities. At the time of such filing, the Company met the requirements of Form F-3 under the Securities Act. Such registration statement meets the requirements set forth in Rule 415(a)(1)(x) under the Securities Act and complies with said Rule. The Company will file with the Commission pursuant to Rule 424(b) under the Securities Act, and the rules and regulations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of the Commission promulgated thereunder, a supplement to the form of prospectus included in such registration statement relating to the placement of the Securities and the plan of distribution thereof and has advised Maxim of all further information (financial and other) with respect to the Company required to be set forth therein. Such registration statement, including the exhibits thereto, as amended at the date of this Agreement, is hereinafter called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such prospectus in the form in which it appears in the Registration Statement is hereinafter called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the supplemented form of prospectus, in the form in which it will be filed with the Commission pursuant to Rule 424(b) (including the Base Prospectus as so supplemented) is hereinafter called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Any reference in this Agreement to the Registration Statement, the Base Prospectus or the Prospectus Supplement shall be deemed to refer to and include the documents incorporated by reference therein (the “Incorporated Documents”) pursuant to Item 16 of Form F-3 which were filed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on or before the date of this Agreement, or the issue date of the Base Prospectus or the Prospectus Supplement, as the case may be; and any reference in this Agreement to the terms “amend,” “amendment” or “supplement” with respect to the Registration Statement, the Base Prospectus or the Prospectus Supplement shall be deemed to refer to and include the filing of any document under the Exchange Act after the date of this Agreement, or the issue date of the Base Prospectus or the Prospectus Supplement, as the case may be, deemed to be incorporated therein by reference. All references in this Agreement to financial statements and schedules and other information which is “contained,” “included,” “described,” “referenced,” “set forth” or “stated” in the Registration Statement, the Base Prospectus or the Prospectus Supplement (and all other references of like import) shall be deemed to mean and include all such financial statements and schedules and other information which is or is deemed to be incorporated by reference in the Registration Statement, the Base Prospectus or the Prospectus Supplement, as the case may be. No stop order suspending the effectiveness of the Registration Statement or the use of the Base Prospectus or the Prospectus Supplement has been issued, and no proceeding for any such purpose is pending or has been initiated or, to the Company’s knowledge, is threatened by the Commission. For purposes of this Agreement, “free writing prospectus” has the meaning set forth in Rule 405 under the Securities Act and the “</w:t>
      </w:r>
      <w:r>
        <w:rPr>
          <w:rFonts w:ascii="Times New Roman" w:cs="Times New Roman" w:eastAsia="Times New Roman" w:hAnsi="Times New Roman"/>
          <w:sz w:val="18"/>
          <w:szCs w:val="18"/>
          <w:u w:val="single" w:color="auto"/>
          <w:color w:val="auto"/>
        </w:rPr>
        <w:t>Time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Sale Prospectus</w:t>
      </w:r>
      <w:r>
        <w:rPr>
          <w:rFonts w:ascii="Times New Roman" w:cs="Times New Roman" w:eastAsia="Times New Roman" w:hAnsi="Times New Roman"/>
          <w:sz w:val="18"/>
          <w:szCs w:val="18"/>
          <w:color w:val="auto"/>
        </w:rPr>
        <w:t>” means the preliminary prospectus, if any, together with the free writing prospectuses, if any, used in connection with the Placement, including any documents incorporated by reference therein.</w:t>
      </w:r>
    </w:p>
    <w:p>
      <w:pPr>
        <w:spacing w:after="0" w:line="204" w:lineRule="exact"/>
        <w:rPr>
          <w:rFonts w:ascii="Times New Roman" w:cs="Times New Roman" w:eastAsia="Times New Roman" w:hAnsi="Times New Roman"/>
          <w:sz w:val="18"/>
          <w:szCs w:val="18"/>
          <w:color w:val="auto"/>
        </w:rPr>
      </w:pPr>
    </w:p>
    <w:p>
      <w:pPr>
        <w:jc w:val="both"/>
        <w:ind w:firstLine="656"/>
        <w:spacing w:after="0" w:line="252" w:lineRule="auto"/>
        <w:tabs>
          <w:tab w:leader="none" w:pos="9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any further documents to be filed with the Commission) will contain all exhibits and schedules as required by the Securities Act. Each of the Registration Statement and any post-effective amendment thereto, at the time it becomes effective, complied in all material respects with the Securities Act and the Exchange Act and the applicable Rules and Regulations and did not and, as amended or supplemented, if applicable, will not, contain any untrue statement of a material fact or omit to state a material fact required to be stated therein or necessary to make the statements therein not misleading. The Base Prospectus, the Time of Sale Prospectus, if any, and the Prospectus Supplement, each as of its respective date, will comply in all material respects with the Securities Act and the Exchange Act and the applicable Rules and Regulations. Each of the Base Prospectus, the Time of Sale Prospectus, if any, and the Prospectus Supplement, as amended or supplemented, will not contain as of the date thereof any untrue statement of a material fact or omit to state a material fact necessary in order to make the statements therein, in light of the circumstances under which they were made, not misleading. The Incorporated Documents, when they were filed with the Commission, conformed in all material respects to the requirements of the Exchange Act and the applicable Rules and Regulations, and none of such documents, when they were filed with the Commission, contained any untrue statement of a material fact or omitted to state a material fact necessary to make the statements therein (with respect to Incorporated Documents incorporated by reference in the Base Prospectus or Prospectus Supplement), in light of the circumstances under which they were made not misleading; and any further documents so filed and incorporated by reference in the Base Prospectus, the Time of Sale Prospectus, if any, or Prospectus Supplement, when such documents are filed with the Commission, will conform in all material respects to the requirements of the Exchange Act and the applicable Rules and Regulations, as applicable, and will not contain any untrue statement of a material fact or omit to state a material fact necessary to make the statements therein,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Base Prospectus, the Time of Sale Prospectus, if any, or Prospectus Supplement, or to be filed as exhibits or schedules to the Registration Statement, which have not been described or filed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-119380</wp:posOffset>
            </wp:positionV>
            <wp:extent cx="134556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45565" cy="3943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250" w:lineRule="exact"/>
        <w:rPr>
          <w:sz w:val="20"/>
          <w:szCs w:val="20"/>
          <w:color w:val="auto"/>
        </w:rPr>
      </w:pPr>
    </w:p>
    <w:p>
      <w:pPr>
        <w:jc w:val="both"/>
        <w:ind w:firstLine="656"/>
        <w:spacing w:after="0" w:line="256" w:lineRule="auto"/>
        <w:tabs>
          <w:tab w:leader="none" w:pos="9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eligible to use free writing prospectuses in connection with the Placement pursuant to Rules 164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behalf of or used by the Company complies or will comply in all material respects with the requirements of the Securities Act and the applicable rules and regulations of the Commission thereunder.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or will as promptly as practicable deliver, to the Lead Manager complete conformed copies of the Registration Statement and of each consent and certificate of experts, as applicable, filed as a part thereof, and conformed copies of the Registration Statement (without exhibits), the Base Prospectus, the Time of Sale Prospectus, if any, and the Prospectus Supplement, as amended or supplemented, in such quantities and at such places as the Lead Manager reasonably requests. Neither the Company nor any of its directors and officers has distributed and none of them will distribute, prior to the Closing Date, any offering material in connection with the offering and sale of the Securities other than the Base Prospectus, the Time of Sale Prospectus, if any, the Prospectus Supplement, the Registration Statement, copies of the documents incorporated by reference therein and any other materials permitted by the Securities Act.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9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the Underwriting Agreement shall contain customary representations and warranties of the Company and shall further provide that: (i) the Company, the Company’s management, directors and officers of 5.0% or more of the outstanding Securities as of the effective date of the Registration Statement (and all holders of securities exercisable for or convertible into Securities) shall enter into customary “lock-up” agreements in favor of Maxim pursuant to which such persons and entities shall agree, for a period of sixty (60) days after the Placement is completed, that they shall neither offer, issue, sell, contract to sell, encumber, grant any option for the sale of or otherwise dispose of any securities of the Company without Maxim’s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-119380</wp:posOffset>
            </wp:positionV>
            <wp:extent cx="1345565"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5565" cy="3943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0" w:lineRule="exact"/>
        <w:rPr>
          <w:sz w:val="20"/>
          <w:szCs w:val="20"/>
          <w:color w:val="auto"/>
        </w:rPr>
      </w:pPr>
    </w:p>
    <w:p>
      <w:pPr>
        <w:spacing w:after="0" w:line="25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 REPRESENTATIONS AND WARRANTIES.</w:t>
      </w:r>
      <w:r>
        <w:rPr>
          <w:rFonts w:ascii="Times New Roman" w:cs="Times New Roman" w:eastAsia="Times New Roman" w:hAnsi="Times New Roman"/>
          <w:sz w:val="18"/>
          <w:szCs w:val="18"/>
          <w:color w:val="auto"/>
        </w:rPr>
        <w:t xml:space="preserve"> The Company makes to the Lead Manager all of the representations and warranties which the Company makes to the Purchasers in the Securities Purchase Agreement. and in addition makes the following two representations:</w:t>
      </w:r>
    </w:p>
    <w:p>
      <w:pPr>
        <w:spacing w:after="0" w:line="162" w:lineRule="exact"/>
        <w:rPr>
          <w:sz w:val="20"/>
          <w:szCs w:val="20"/>
          <w:color w:val="auto"/>
        </w:rPr>
      </w:pPr>
    </w:p>
    <w:p>
      <w:pPr>
        <w:jc w:val="both"/>
        <w:ind w:firstLine="656"/>
        <w:spacing w:after="0" w:line="261" w:lineRule="auto"/>
        <w:tabs>
          <w:tab w:leader="none" w:pos="90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As of the date of this Agreement and provided the Shares do not exceed 20.0% of the outstanding shares on the Closing Date, except for the filings with the Nasdaq or other US applicable national exchange for the listing of the Shares for trading thereon in the time and manner required thereby, the issuance and listing on the Nasdaq or other US applicable national exchange of the Shares requires no further approvals, including but not limited to, the approval of shareholders.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Affiliations.</w:t>
      </w:r>
      <w:r>
        <w:rPr>
          <w:rFonts w:ascii="Times New Roman" w:cs="Times New Roman" w:eastAsia="Times New Roman" w:hAnsi="Times New Roman"/>
          <w:sz w:val="18"/>
          <w:szCs w:val="18"/>
          <w:color w:val="auto"/>
        </w:rPr>
        <w:t xml:space="preserve"> There are no affiliations with any FINRA member firm among the Company’s officers, directors or, to the knowledge of the Company, any five percent (5.0%) or greater stockholder of the Company, except as set forth in the Base Prospectus.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4. INDEMNIFICATION</w:t>
      </w:r>
      <w:r>
        <w:rPr>
          <w:rFonts w:ascii="Times New Roman" w:cs="Times New Roman" w:eastAsia="Times New Roman" w:hAnsi="Times New Roman"/>
          <w:sz w:val="18"/>
          <w:szCs w:val="18"/>
          <w:color w:val="auto"/>
        </w:rPr>
        <w:t>. The Company agrees to the indemnification and other agreements set forth in the Indemnification Provisions (the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attached hereto as Addendum A, the provisions of which are incorporated herein by reference and shall survive the termination or expiration of this Agreement.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5. ENGAGEMENT TERM.</w:t>
      </w:r>
      <w:r>
        <w:rPr>
          <w:rFonts w:ascii="Times New Roman" w:cs="Times New Roman" w:eastAsia="Times New Roman" w:hAnsi="Times New Roman"/>
          <w:sz w:val="18"/>
          <w:szCs w:val="18"/>
          <w:color w:val="auto"/>
        </w:rPr>
        <w:t xml:space="preserve"> The Lead Manager’s engagement hereunder shall become effective on the date hereof and shall continue until the earlier of (i) the final Closing Date of the Placement, (ii) April 1, 2021 (such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If the Company elects to terminate for any reason even though the Lead Manager was prepared to proceed with the Placement, and, if within twelve (12) months following such termination, the Company completes any financing of equity, equity-linked or debt or other capital raising activity of the Company (other than the exercise by any person or entity of any options, warrants or other convertible securities) with any of the investors introduced by the Lead Manager to the Company during the term of this Agreement, then the Company will pay to the Lead Manager upon the closing of such financing the compensation set forth in Section 1 herein. If the Company reasonably anticipates that the Lead Manager may become entitled to payment as set forth in the preceding sentence, the Company shall use its best efforts to notify the Lead Manager promptly of such possible payment. Notwithstanding anything to the contrary contained herein, the provisions concerning confidentiality, indemnification, contribution and the Company’s obligations to pay fees and reimburse expenses contained herein and the Company’s obligations contained in the Indemnification Provisions will survive any expiration or termination of this Agreement, irrespective of whether a closing occurs. All such fees and reimbursements due shall be paid to the Lead Manager on or before the Termination Date (in the event such fees and reimbursements are earned or owed as of the Termination Date) or upon the closing of the Placement or any applicable portion thereof (in the event such fees are due pursuant to the terms of Section 1 hereof). Maxim agrees not to use any confidential information concerning the Company provided to them by the Company for any purposes other than those contemplated under this Agreement.</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6. FUTURE RIGHTS.</w:t>
      </w:r>
      <w:r>
        <w:rPr>
          <w:rFonts w:ascii="Times New Roman" w:cs="Times New Roman" w:eastAsia="Times New Roman" w:hAnsi="Times New Roman"/>
          <w:sz w:val="18"/>
          <w:szCs w:val="18"/>
          <w:color w:val="auto"/>
        </w:rPr>
        <w:t xml:space="preserve"> Upon the Closing of a Placement, for a period of six (6) months from the last closing of a Placement (the “</w:t>
      </w:r>
      <w:r>
        <w:rPr>
          <w:rFonts w:ascii="Times New Roman" w:cs="Times New Roman" w:eastAsia="Times New Roman" w:hAnsi="Times New Roman"/>
          <w:sz w:val="18"/>
          <w:szCs w:val="18"/>
          <w:u w:val="single" w:color="auto"/>
          <w:color w:val="auto"/>
        </w:rPr>
        <w:t>Tail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if the Company decides to enter into a Placement using an underwriter or placement agent in the U.S., the Company grants Maxim the right of first refusal to act as lead managing underwriter and lead left book runner or minimally as a co-lead manager and co-lead left book runner and/or co-lead left placement agent with at least 50.0% of the economics for any and all future equity, equity-linked or debt (excluding commercial bank debt) offerings (each, a “Subsequent Offering”) undertaken during the Tail Period by the Company or any subsidiary of the Company. The Company shall provide Maxim with written notice of its election to engage in a Subsequent Offering, which notice shall describe the proposed terms and conditions of such Subsequent Offering. Maxim shall notify the Company within ten (10) days of its receipt of the written offer contemplated above as to whether or not it agrees to accept such retention. If Maxim should decline such retention, the Company shall have no further obligation to Maxim with respect to such other Subsequent Offering, except as otherwise provided for herein. Maxim acknowledges that if the Company issues convertible notes to Company management without the use of an agent or underwriter, such transaction shall not be deemed a Subsequent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-119380</wp:posOffset>
            </wp:positionV>
            <wp:extent cx="1345565" cy="394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5565" cy="3943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 LEAD MANAGER INFORMATION.</w:t>
      </w:r>
      <w:r>
        <w:rPr>
          <w:rFonts w:ascii="Times New Roman" w:cs="Times New Roman" w:eastAsia="Times New Roman" w:hAnsi="Times New Roman"/>
          <w:sz w:val="18"/>
          <w:szCs w:val="18"/>
          <w:color w:val="auto"/>
        </w:rPr>
        <w:t xml:space="preserve"> The Company agrees that any information or advice rendered by the Lead Manager in connection with this engagement is for the confidential use of the Company only in their evaluation of the Placement and, except as otherwise required by law, the Company will not disclose or otherwise refer to the advice or information in any manner without such Lead Manager’s prior written consent.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8. NO FIDUCIARY RELATIONSHIP.</w:t>
      </w:r>
      <w:r>
        <w:rPr>
          <w:rFonts w:ascii="Times New Roman" w:cs="Times New Roman" w:eastAsia="Times New Roman" w:hAnsi="Times New Roman"/>
          <w:sz w:val="18"/>
          <w:szCs w:val="18"/>
          <w:color w:val="auto"/>
        </w:rPr>
        <w:t xml:space="preserve"> This Agreement does not create, and shall not be construed as creating rights enforceable by any person or entity not a party hereto, except those entitled hereto by virtue of the Indemnification Provisions hereof. The Company acknowledges and agrees that Maxim is and shall not be construed to be a fiduciary of the Company and Maxim shall have no duties or liabilities to the equity holders or the creditors of the Company or any other person by virtue of this Agreement or the retention of the Lead Manager hereunder, all of which are hereby expressly waived.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9. CLOSING.</w:t>
      </w:r>
      <w:r>
        <w:rPr>
          <w:rFonts w:ascii="Times New Roman" w:cs="Times New Roman" w:eastAsia="Times New Roman" w:hAnsi="Times New Roman"/>
          <w:sz w:val="18"/>
          <w:szCs w:val="18"/>
          <w:color w:val="auto"/>
        </w:rPr>
        <w:t xml:space="preserve"> The obligations of the Lead Manager and the closing of the sale of the Securities hereunder are subject to the accuracy, when made and on the Closing Date, of the representations and warranties on the part of the Company and its Subsidiaries contained herein, to the accuracy of the statements of the Company and its Subsidiaries made in any certificates pursuant to the provisions hereof, to the performance by the Company and its Subsidiaries of their obligations hereunder, and to each of the following additional terms and conditions:</w:t>
      </w:r>
    </w:p>
    <w:p>
      <w:pPr>
        <w:spacing w:after="0" w:line="180" w:lineRule="exact"/>
        <w:rPr>
          <w:sz w:val="20"/>
          <w:szCs w:val="20"/>
          <w:color w:val="auto"/>
        </w:rPr>
      </w:pPr>
    </w:p>
    <w:p>
      <w:pPr>
        <w:jc w:val="both"/>
        <w:ind w:firstLine="656"/>
        <w:spacing w:after="0" w:line="261" w:lineRule="auto"/>
        <w:tabs>
          <w:tab w:leader="none" w:pos="9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shall have been issued and no proceedings for that purpose shall have been initiated or threatened by the Commission, and any request for additional information on the part of the Commission (to be included in the Registration Statement, the Base Prospectus or the Prospectus Supplement or otherwise) shall have been complied with to the reasonable satisfaction of each Lead Manager. Any filings required to be made by the Company in shall have been timely filed with the Commission.</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3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Manager shall not have discovered and disclosed to the Company on or prior to the Closing Date that the Registration Statement, the Base Prospectus or the Prospectus Supplement or any amendment or supplement thereto contains an untrue statement of a fact which, in the opinion of counsel for the Lead Manager, is material or omits to state any fact which, in the opinion of such counsel, is material and is required to be stated therein or is necessary to make the statements therein not misleading.</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proceedings and other legal matters incident to the authorization, form, execution, delivery and validity of each of this Agreement, the Securities, the Registration Statement, the Base Prospectus and the Prospectus Supplement and all other legal matters relating to this Agreement and the transactions contemplated hereby shall be reasonably satisfactory in all material respects to counsel for the Placement Agent, and the Company shall have furnished to such counsel all documents and information that they may reasonably request to enable them to pass upon such matters.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Manager shall have received from outside counsel to the Company such counsel’s written opinion, addressed to the Lead Manager and the Purchasers dated as of the Closing Date, in form and substance reasonably satisfactory to the Lead Manager, substantially identical to that provided to the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-119380</wp:posOffset>
            </wp:positionV>
            <wp:extent cx="1345565" cy="394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5565" cy="3943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0" w:lineRule="exact"/>
        <w:rPr>
          <w:sz w:val="20"/>
          <w:szCs w:val="20"/>
          <w:color w:val="auto"/>
        </w:rPr>
      </w:pPr>
    </w:p>
    <w:p>
      <w:pPr>
        <w:spacing w:after="0" w:line="250" w:lineRule="exact"/>
        <w:rPr>
          <w:sz w:val="20"/>
          <w:szCs w:val="20"/>
          <w:color w:val="auto"/>
        </w:rPr>
      </w:pPr>
    </w:p>
    <w:p>
      <w:pPr>
        <w:jc w:val="both"/>
        <w:ind w:firstLine="656"/>
        <w:spacing w:after="0" w:line="254" w:lineRule="auto"/>
        <w:tabs>
          <w:tab w:leader="none" w:pos="9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(i) shall have sustained since the date of the latest audited financial statements included or incorporated by reference in the Base Prospectus, any loss or interference with its business from fire, explosion, flood, terrorist act or other calamity, whether or not covered by insurance, or from any labor dispute or court or governmental action, order or decree, otherwise than as set forth in or contemplated by the Base Prospectus and (ii) since such date there shall not have been any change in any development involving a prospective change, in or affecting the business, general affairs, management, financial position, stockholders’ equity, results of operations or prospects of the Company, otherwise than as set forth in or contemplated by the Base Prospectus, the effect of which, in any such case described in clause (i) or (ii), is, in the light of a reasonable judgement so material and adverse as to make it impracticable or inadvisable to proceed with the sale or delivery of the Securities on the terms and in the manner contemplated by the Base Prospectus, the Time of Sale Prospectus, if any, and the Prospectus Supplement.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is registered under the Exchange Act and, as of the Closing Date, the Shares shall be listed and admitted and authorized for trading on the Nasdaq or other applicable US national exchange and satisfactory evidence of such action shall have been provided to the Lead Manager. The Company shall have taken no action designed to, or likely to have the effect of terminating the registration of the Common Stock under the Exchange Act or delisting or suspending from trading the Common Stock from the Nasdaq or other applicable US national exchange, nor has the Company received any information suggesting that the Commission or the Nasdaq or other US applicable national exchange is contemplating terminating such registration or listing.</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action shall have been taken and no statute, rule, regulation or order shall have been enacted, adopted or issued by any governmental agency or body which would, as of the Closing Date, prevent the issuance or sale of the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Securities or materially and adversely affect or potentially and adversely affect the business or operations of the Company.</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prepared and filed with the Commission a Current Report on Form 6-K with respect to the Placement, including as an exhibit thereto this Agreement.</w:t>
      </w:r>
    </w:p>
    <w:p>
      <w:pPr>
        <w:spacing w:after="0" w:line="162" w:lineRule="exact"/>
        <w:rPr>
          <w:sz w:val="20"/>
          <w:szCs w:val="20"/>
          <w:color w:val="auto"/>
        </w:rPr>
      </w:pPr>
    </w:p>
    <w:p>
      <w:pPr>
        <w:ind w:firstLine="656"/>
        <w:spacing w:after="0" w:line="282" w:lineRule="auto"/>
        <w:tabs>
          <w:tab w:leader="none" w:pos="9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entered into subscription agreements with each of the Purchasers and such agreements shall be in full force and effect and shall contain representations and warranties of the Company as agreed between the Company and the Purchasers.</w:t>
      </w:r>
    </w:p>
    <w:p>
      <w:pPr>
        <w:spacing w:after="0" w:line="162" w:lineRule="exact"/>
        <w:rPr>
          <w:sz w:val="20"/>
          <w:szCs w:val="20"/>
          <w:color w:val="auto"/>
        </w:rPr>
      </w:pPr>
    </w:p>
    <w:p>
      <w:pPr>
        <w:jc w:val="both"/>
        <w:ind w:firstLine="656"/>
        <w:spacing w:after="0" w:line="261"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raised no objection to the fairness and reasonableness of the terms and arrangements of this Agreement. In addition, the Company shall, if requested by the Lead Manager, make or authorize Lead Manager’s counsel to make on the Company’s behalf, an Issuer Filing with the FINRA Corporate Financing Department pursuant to FINRA Rule 2710 with respect to the Registration Statement and pay all filing fees required in connection therewith.</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shall have furnished to the Lead Manager such further information, certificates and documents as the Lead Manager may reasonably request.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Lead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-119380</wp:posOffset>
            </wp:positionV>
            <wp:extent cx="1345565" cy="394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45565" cy="3943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 GOVERNING LAW</w:t>
      </w:r>
      <w:r>
        <w:rPr>
          <w:rFonts w:ascii="Times New Roman" w:cs="Times New Roman" w:eastAsia="Times New Roman" w:hAnsi="Times New Roman"/>
          <w:sz w:val="18"/>
          <w:szCs w:val="18"/>
          <w:color w:val="auto"/>
        </w:rPr>
        <w:t>. This Agreement will be governed by, and construed in accordance with, the laws of the State of New York applicable to agreements made and to be performed entirely in such State.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a Transaction Document, then the prevailing party in such action or proceeding shall be reimbursed by the other party for its attorney’s fees and other costs and expenses incurred with the investigation, preparation and prosecution of such action or proceeding.</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11. ENTIRE AGREEMENT/MISC.</w:t>
      </w:r>
      <w:r>
        <w:rPr>
          <w:rFonts w:ascii="Times New Roman" w:cs="Times New Roman" w:eastAsia="Times New Roman" w:hAnsi="Times New Roman"/>
          <w:sz w:val="18"/>
          <w:szCs w:val="18"/>
          <w:color w:val="auto"/>
        </w:rPr>
        <w:t xml:space="preserve"> This Agreement (including the attached Indemnification Provisions)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the Lead Manager and the Company. The representations, warranties, agreements and covenants contained herein shall survive the closing of the Placement and delivery and/or exercise of the Securities, as applicable.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signature page were an original thereof.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12. CONTINGENT REQUIREMENTS.</w:t>
      </w:r>
      <w:r>
        <w:rPr>
          <w:rFonts w:ascii="Times New Roman" w:cs="Times New Roman" w:eastAsia="Times New Roman" w:hAnsi="Times New Roman"/>
          <w:sz w:val="18"/>
          <w:szCs w:val="18"/>
          <w:color w:val="auto"/>
        </w:rPr>
        <w:t xml:space="preserve"> The Placement shall be conditioned upon, among other things, the following:</w:t>
      </w:r>
    </w:p>
    <w:p>
      <w:pPr>
        <w:spacing w:after="0" w:line="225" w:lineRule="exact"/>
        <w:rPr>
          <w:sz w:val="20"/>
          <w:szCs w:val="20"/>
          <w:color w:val="auto"/>
        </w:rPr>
      </w:pPr>
    </w:p>
    <w:p>
      <w:pPr>
        <w:ind w:right="20" w:firstLine="1304"/>
        <w:spacing w:after="0" w:line="282" w:lineRule="auto"/>
        <w:tabs>
          <w:tab w:leader="none" w:pos="15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by the Lead Manager of its due diligence investigation and analysis of: (a) the Company’s arrangements with its officers, directors, employees, affiliates, customers and suppliers, (b) the audited historical financial statements of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retaining a firm nationally recognized in the U.S. of independent PCAOB registered public accountants acceptable to the Lead Manager, which will have responsibility for the preparation of the financial statements and the financial exhibits, if any, to be included in the Transaction Documents, and will continue to engage accountants of comparable quality (as may be determined by the Company’s Board of Directors or audit committee) for a period of at least three (3) years after the initial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-119380</wp:posOffset>
            </wp:positionV>
            <wp:extent cx="1345565" cy="394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45565" cy="3943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200" w:lineRule="exact"/>
        <w:rPr>
          <w:sz w:val="20"/>
          <w:szCs w:val="20"/>
          <w:color w:val="auto"/>
        </w:rPr>
      </w:pPr>
    </w:p>
    <w:p>
      <w:pPr>
        <w:spacing w:after="0" w:line="250" w:lineRule="exact"/>
        <w:rPr>
          <w:sz w:val="20"/>
          <w:szCs w:val="20"/>
          <w:color w:val="auto"/>
        </w:rPr>
      </w:pPr>
    </w:p>
    <w:p>
      <w:pPr>
        <w:ind w:firstLine="1304"/>
        <w:spacing w:after="0" w:line="282" w:lineRule="auto"/>
        <w:tabs>
          <w:tab w:leader="none" w:pos="16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retaining a transfer agent for the Company’s common equity reasonably acceptable to the Lead Manager and continuing to retain a competent transfer agent for a period of three (3) years after the initial Closing Date;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execution of the engagement letter, the Company at its own expense will conduct background checks, by a background search firm mutually acceptable to the Company and the Placement Agent, for the Company’s senior management.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13. NOTICES</w:t>
      </w:r>
      <w:r>
        <w:rPr>
          <w:rFonts w:ascii="Times New Roman" w:cs="Times New Roman" w:eastAsia="Times New Roman" w:hAnsi="Times New Roman"/>
          <w:sz w:val="18"/>
          <w:szCs w:val="18"/>
          <w:color w:val="auto"/>
        </w:rPr>
        <w:t xml:space="preserve">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specified on the signature pages attached hereto prior to 6:30 p.m. (New York City time) on a business day, (b) the next business day after the date of transmission, if such notice or communication is delivered via facsimile at the facsimile number on the signature pages attached hereto on a day that is not a business day or later than 6:30 p.m. (New York City time) on any business day, (c) the business day following the date of mailing, if sent by U.S. nationally recognized overnight courier service, or (d) upon actual receipt by the party to whom such notice is required to be given. The address for such notices and communications shall be as set forth on the signature pages hereto.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AND ADDENDUM 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-119380</wp:posOffset>
            </wp:positionV>
            <wp:extent cx="1345565" cy="394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45565" cy="3943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look forward to working with the Company. Please confirm that the foregoing correctly sets forth our agreement by signing and returning the enclosed copy of this Agreement.</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MAXIM GROUP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Jin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Alex Jin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Managing Director, Investment Banking</w:t>
      </w:r>
    </w:p>
    <w:p>
      <w:pPr>
        <w:spacing w:after="0" w:line="200" w:lineRule="exact"/>
        <w:rPr>
          <w:sz w:val="20"/>
          <w:szCs w:val="20"/>
          <w:color w:val="auto"/>
        </w:rPr>
      </w:pPr>
    </w:p>
    <w:p>
      <w:pPr>
        <w:spacing w:after="0" w:line="223"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Clifford A. 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Clifford A. Teller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Executive Managing Director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Head of Investment Banking</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405 Lexington Avenue</w:t>
      </w:r>
    </w:p>
    <w:p>
      <w:pPr>
        <w:ind w:left="6760"/>
        <w:spacing w:after="0" w:line="192" w:lineRule="auto"/>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ind w:left="6760"/>
        <w:spacing w:after="0"/>
        <w:rPr>
          <w:sz w:val="20"/>
          <w:szCs w:val="20"/>
          <w:color w:val="auto"/>
        </w:rPr>
      </w:pPr>
      <w:r>
        <w:rPr>
          <w:rFonts w:ascii="Times New Roman" w:cs="Times New Roman" w:eastAsia="Times New Roman" w:hAnsi="Times New Roman"/>
          <w:sz w:val="18"/>
          <w:szCs w:val="18"/>
          <w:color w:val="auto"/>
        </w:rPr>
        <w:t>New York, NY 10174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Raymond Ming Hui Lin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Unit 702, 7th Floor, Millennium City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378 Kwun Tong Road, Kwun Tong, Kowloon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SAR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THE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[ADDENDUM 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-119380</wp:posOffset>
            </wp:positionV>
            <wp:extent cx="1345565" cy="394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45565" cy="3943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ADDENDUM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PROVISIONS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engagement of Maxim by the Company pursuant to a placement agreement dated herein on page 1 of this Agreement, between the Company and Maxim as it may be amended from time to time in writing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Company hereby agrees as follows:</w:t>
      </w:r>
    </w:p>
    <w:p>
      <w:pPr>
        <w:spacing w:after="0" w:line="162" w:lineRule="exact"/>
        <w:rPr>
          <w:sz w:val="20"/>
          <w:szCs w:val="20"/>
          <w:color w:val="auto"/>
        </w:rPr>
      </w:pPr>
    </w:p>
    <w:p>
      <w:pPr>
        <w:jc w:val="both"/>
        <w:ind w:left="340" w:hanging="332"/>
        <w:spacing w:after="0" w:line="255"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the Company will indemnify Maxim and each of its affiliates, stockholders, directors, officers, employees and controlling persons (within the meaning of Section 15 of the Securities Act of 1933, as amended, or Section 20 of the Securities Exchange Act of 1934) against all losses, claims, damages, expenses and liabilities, as the same are incurred (including the reasonable fees and expenses of counsel), relating to or arising out of its activities hereunder or pursuant to the Agreement, except, with regard to the Lead Manager, to the extent that any losses, claims, damages, expenses or liabilities (or actions in respect thereof) are found in a final judgment (not subject to appeal) by a court of law to have resulted primarily and directly from such Lead Manager’s willful misconduct or gross negligence in performing the services described herein, as the case may be.</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the Lead Manager of notice of any claim or the commencement of any action or proceeding with respect to which such Lead Manager is entitled to indemnity hereunder, such Lead Manager will notify the Company in writing of such claim or of the commencement of such action or proceeding, and the Company will assume the defense of such action or proceeding and will employ counsel reasonably satisfactory to such Lead Manager and will pay the fees and expenses of such counsel. Notwithstanding the preceding sentence, such Lead Manager will be entitled to employ counsel separate from counsel for the Company and from any other party in such action if counsel for such Lead Manager reasonably determines that it would be inappropriate under the applicable rules of professional responsibility for the same counsel to represent both the Company and such Lead Manager. In such event, the reasonable fees and disbursements of no more than one such separate counsel will be paid by the Company. The Company will have the exclusive right to settle the claim or proceeding provided that the Company will not settle any such claim, action or proceeding without the prior written consent of the Lead Manager, which will not be unreasonably withheld.</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notify the Lead Manager promptly of the assertion against it or any other person of any claim or the commencement of any action or proceeding relating to a transaction contemplated by the Agreement.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the foregoing indemnity is unavailable to Maxim or insufficient to hold Maxim harmless, then the Company shall contribute to the amount paid or payable by Maxim as a result of such losses, claims, damages or liabilities in such proportion as is appropriate to reflect not only the relative benefits received by the Company on the one hand and Maxim on the other, but also the relative fault of the Company on the one hand and Maxim on the other, separately and not jointly,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the Lead Manager’s share of the liability hereunder shall not be in excess of the amount of fees actually received, or to be received, by such Lead Manager under the Agreement (excluding any amounts received as reimbursement of expenses incurred by Maxim).</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Indemnification Provisions shall remain in full force and effect whether or not the transaction contemplated by the Agreement is completed and shall survive the termination of the Agreement and shall be in addition to any liability that the Company might otherwise have to any indemnified party under the Agreement or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[FINAL PAGE TO ADDENDUM A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“Agreement”) is dated as of February 28, 2021, between CLPS Incorporation, a Cayman Islands exempt company (the “Company”), and each purchaser identified on the signature pages hereto (each, including its successors and assigns, a “Purchaser” and collectively the “Purchasers”).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(i) an effective registration statement under the Securities Act of 1933, as amended (the “Securities Act”) as to the Shares and (ii) an exemption from the registration requirements of Section 5 of the Securities Act contained in Section 4(a)(2) thereof and/or Regulation D thereunder as to the Warrants, the Company desires to issue and sell to each Purchaser, and each Purchaser, severally and not jointly, desires to purchase from the Company, securities of the Company as more fully described in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“Acquiring Person” shall have the meaning ascribed to such term in Section 4.5.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“Action” shall have the meaning ascribed to such term in Section 3.1(j).</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“Affiliate”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“Board of Directors” means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“Business Day”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“Closing” means the closing of the purchase and sale of the Securities pursuant to Section 2.1.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“Closing Date”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(2nd) Trading Day following the date 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“Commission”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“Common Shares” means the Company’s common shares, par value $0.0001 per share and any other class of securities into which such securities may hereafter be reclassified or changed.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“Common Share Equivalents” means any securities of the Company or the Subsidiaries which would entitle the holder thereof to acquire at any time Common Shares, including, without limitation, any debt, preferred stock, right, option, warrant or other instrument that is at any time convertible into or exercisable or exchangeable for, or otherwise entitles the holder thereof to receive, Common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Counsel” means Loeb &amp; Loeb LLP, with offices located at 345 Park Avenue, New York, NY 10154.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“Disclosure Schedules” means the Disclosure Schedules of the Company delivered concurrently herewith.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“Evaluation Date” shall have the meaning given such term in Section 3.1(s).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“Exempt Issuance” means the issuance of (a) Common Shares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Common Shares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“FCPA” means the Foreign Corrupt Practices Act of 1977,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“GAAP” shall have the meaning ascribed to such term in Section 3.1(h).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“Indebtedness” shall have the meaning ascribed to such term in Section 3.1(aa).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“Intellectual Property Rights” shall have the meaning ascribed to such term in Section 3.1(p).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“Legend Removal Date” shall have the meaning given such term in Section 4.1(c).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“Liens” means a lien, charge, pledge, security interest, encumbrance, right of first refusal, preemptive right or other restriction.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“Lock-Up Agreements” means the Lock-Up Agreements, addressed to the Placement Agent executed on or about March 3, 2021 by the Company’s management, directors and officers of 5.0% or more of the outstanding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“Material Adverse Effect” shall have the meaning assigned to such term in Section 3.1(b).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“Material Permits” shall have the meaning ascribed to such term in Section 3.1(n).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firstLine="648"/>
        <w:spacing w:after="0" w:line="282" w:lineRule="auto"/>
        <w:rPr>
          <w:sz w:val="20"/>
          <w:szCs w:val="20"/>
          <w:color w:val="auto"/>
        </w:rPr>
      </w:pPr>
      <w:r>
        <w:rPr>
          <w:rFonts w:ascii="Times New Roman" w:cs="Times New Roman" w:eastAsia="Times New Roman" w:hAnsi="Times New Roman"/>
          <w:sz w:val="18"/>
          <w:szCs w:val="18"/>
          <w:color w:val="auto"/>
        </w:rPr>
        <w:t>“Per Share Purchase Price” equals US$6.00 subject to adjustment for reverse and forward stock splits, stock dividends, stock combinations and other similar transactions of the Common Shares that occur after the date of this Agreement.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“Person”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“Placement Agent” means Maxim Group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“Placement Agency Agreement” means the letter agreement dated as of February 23, 2021 by and between the Company and the 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“Placement Agent’s Counsel” means Hunter Taubman Fischer &amp; Li LLC with offices at 800 Third Avenue, Suite 2800, New York, NY 10022</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“Proceeding”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“Prospectus” means the final prospectus filed for the Registration Statement.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“Prospectus Supplement”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“Purchaser Party” shall have the meaning given such term in Section 4.8.</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“Registration Statement” means the effective registration statement with Commission file No. 333- 231812 which registers the sale of the Shares to the Purchasers.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“Required Approvals” shall have the meaning ascribed to such term in Section 3.1(e).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“Rule 144”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“Rule 424”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 Reports” shall have the meaning ascribed to such term in Section 3.1(h).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means, collectively, the Shares, the Warrants and the Warrant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Act”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means the Common Shares issued or issuable to each Purchaser pursuant to this Agreement, for clarity, excluding the Warrant Shares.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“Short Sales” means all “short sales” as defined in Rule 200 of Regulation SHO under the Exchange Act (but shall not be deemed to include locating and/or borrowing Common Shares).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“Subscription Amount”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“Subsidiary” means any subsidiary of the Company and shall, where applicable, also include any direct or indirect subsidiary of the Company formed or acquired after the date hereof. The term shall also include variable interest entities consolidated in the Company’s financial statements and subsidiaries of such variable interest entities.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“Trading Day”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“Trading Market” means any of the following markets or exchanges on which the Common Shares are listed or quoted for trading on the date in question: the NYSE American, the Nasdaq Capital Market, the Nasdaq Global Market, the Nasdaq Global Select Market,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“Transaction Documents” means this Agreement, the Warrants, the Placement Agency Agreement,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“Transfer Agent” means Continental Stock Transfer &amp; Trust, with a mailing address at 1 State Street, 30th Floor, New York NY 10004, and any successor transfer agent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“Variable Rate Transaction” shall have the meaning given such term in Section 4.12(b).</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“VWAP” means, for any date, the price determined by the first of the following clauses that applies: (a) if the Common Shares are then listed or quoted on a Trading Market, the daily volume weighted average price of the Common Shares for such date (or the nearest preceding date) on the Trading Market on which the Common Shares are then listed or quoted as reported by Bloomberg L.P. (based on a Trading Day from 9:30 a.m. (New York City time) to 4:02 p.m. (New York City time)); (b) if OTCQB or OTCQX is not a Trading Market, the volume weighted average price of the Common Shares for such date (or the nearest preceding date) on OTCQB or OTCQX as applicable; (c) if the Common Shares are not then listed or quoted for trading on OTCQB or OTCQX and if prices for the Common Shares are then reported on the Pink Sheet Open Market published by OTC Markets Group, Inc. (or a similar organization or agency succeeding to its functions of reporting prices), the most recent bid price per Common Share so reported; or (d) in all other cases, the fair market value of one Common Share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“Warrants” means, the Common Shares purchase warrants delivered to the Purchasers at the Closing in accordance with Section 2.2(a) hereof, which Warrants shall be exercisable immediately and have a term of exercise equal to five and a half (5.5) years from the issuance date in the form of Exhibit A attached 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 Shares” means the Common Shares issuable upon exercise of the Warrants.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up to an aggregate of US$15,999,996 of Shares and Warrants. Each Purchaser’s Subscription Amount as set forth on the signature page hereto executed by such Purchaser shall be made available for “Delivery Versus Payment” settlement with the Company or its designee. The Company shall deliver to each Purchaser its respective Shares and 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Placement Agent’s Counsel or such other location as the parties shall mutually agree. Unless otherwise directed by the Placement Agent, settlement of the Shares shall occur via “Delivery Versus Payment”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to the contrary hereunder, to the extent that a Purchaser determines, in its sole discretion, that such Purchaser (together with such Purchaser’s Affiliates, and any Person acting as a group together with such purchaser or any of such Holder’s Affiliates) would beneficially own in excess of 9.99% of the number of Common Shares outstanding immediately prior to giving effect to the issuance of the Securities on the Closing Date (“Beneficial Ownership Maximum”), such Purchaser may elect to receive only the Beneficial Ownership Maximum at the Closing with the balance of any share purchased hereunder, if any, held in abeyance for such Purchaser and issued immediately following the Closing provided in no event shall such Purchaser’s beneficial ownership ever exceed the Beneficial Ownership Maximum.</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On or prior to the Closing Date, the Company shall deliver or cause to be delivered to each Purchaser and the Placement Agent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ind w:left="2160" w:hanging="208"/>
        <w:spacing w:after="0"/>
        <w:tabs>
          <w:tab w:leader="none" w:pos="2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3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opinions of (1) Company Counsel with respect to U.S. laws and securities matters (including, without limitation, a negative assurance letter or statement); and (2) Ogier with respect to Cayman Islands laws, in each case addressed to the Placement Agent and each of the Purchasers, in a form satisfactory to Placement Agent’s Counsel, the Placement Agent and such Purchasers;</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9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cold comfort letter, addressed to the Placement Agent in form and substance reasonably satisfactory in all material respects from Ernst &amp; Young Hua Ming LLP;</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and delivered Officers’ Certificate, in customary form reasonably satisfactory to Placement Agent’s Counsel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Placement Agent;</w:t>
      </w:r>
    </w:p>
    <w:p>
      <w:pPr>
        <w:spacing w:after="0" w:line="206"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7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2.1, a copy of the irrevocable instructions to the Transfer Agent instructing the Transfer Agent to deliver on an expedited basis via The Depository Trust Company Deposit or Withdrawal at Custodian system (“DWAC”) Shares equal to such Purchaser’s Subscription Amount divided by the Per Share Purchase Price, registered in the name of such Purchaser;</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30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registered in the name of such Purchaser to purchase up to a number of Common Shares equal to 100% of such Purchaser’s Shares, with an exercise price equal to US$6.00, subject to adjustment therein; and</w:t>
      </w:r>
    </w:p>
    <w:p>
      <w:pPr>
        <w:spacing w:after="0" w:line="161" w:lineRule="exact"/>
        <w:rPr>
          <w:rFonts w:ascii="Times New Roman" w:cs="Times New Roman" w:eastAsia="Times New Roman" w:hAnsi="Times New Roman"/>
          <w:sz w:val="18"/>
          <w:szCs w:val="18"/>
          <w:color w:val="auto"/>
        </w:rPr>
      </w:pPr>
    </w:p>
    <w:p>
      <w:pPr>
        <w:ind w:left="2380" w:hanging="428"/>
        <w:spacing w:after="0"/>
        <w:tabs>
          <w:tab w:leader="none" w:pos="23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 its designee.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2.3 Closing Conditions.</w:t>
      </w:r>
    </w:p>
    <w:p>
      <w:pPr>
        <w:spacing w:after="0" w:line="225" w:lineRule="exact"/>
        <w:rPr>
          <w:sz w:val="20"/>
          <w:szCs w:val="20"/>
          <w:color w:val="auto"/>
        </w:rPr>
      </w:pPr>
    </w:p>
    <w:p>
      <w:pPr>
        <w:ind w:left="1540" w:hanging="236"/>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Closing Date of the representations and warranties of the Purchasers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performed; and</w:t>
      </w:r>
    </w:p>
    <w:p>
      <w:pPr>
        <w:spacing w:after="0" w:line="206"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w:t>
      </w:r>
    </w:p>
    <w:p>
      <w:pPr>
        <w:spacing w:after="0" w:line="206"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covenants and agreements of the Company required to be performed at or prior to the Closing Date shall have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been performed;</w:t>
      </w:r>
    </w:p>
    <w:p>
      <w:pPr>
        <w:spacing w:after="0" w:line="206" w:lineRule="exact"/>
        <w:rPr>
          <w:rFonts w:ascii="Times New Roman" w:cs="Times New Roman" w:eastAsia="Times New Roman" w:hAnsi="Times New Roman"/>
          <w:sz w:val="17"/>
          <w:szCs w:val="17"/>
          <w:color w:val="auto"/>
        </w:rPr>
      </w:pPr>
    </w:p>
    <w:p>
      <w:pPr>
        <w:ind w:left="2260" w:hanging="308"/>
        <w:spacing w:after="0"/>
        <w:tabs>
          <w:tab w:leader="none" w:pos="2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Lock-Up Agreements shall remain in full force and effect; and</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Shares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76" w:lineRule="exact"/>
        <w:rPr>
          <w:sz w:val="20"/>
          <w:szCs w:val="20"/>
          <w:color w:val="auto"/>
        </w:rPr>
      </w:pPr>
    </w:p>
    <w:p>
      <w:pPr>
        <w:jc w:val="both"/>
        <w:ind w:firstLine="1304"/>
        <w:spacing w:after="0" w:line="261"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and their respective jurisdictions of incorporation are set forth on Schedule 3.1(a).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304"/>
        <w:spacing w:after="0" w:line="253" w:lineRule="auto"/>
        <w:tabs>
          <w:tab w:leader="none" w:pos="15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“Material Adverse Effect”) and no Proceeding has been instituted in any such jurisdiction revoking, limiting or curtailing or seeking to revoke, limit or curtail such power and authority or qualification.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obligations of the Company enforceable against the Company in accordance with its terms, except (i) as limited by general equitable principles and applicable bankruptcy, insolvency, liquidation, possessory liens, rights of set off, merger, consolidation, reorganization, moratorium and other laws of general application affecting enforcement of creditors’ rights generally as well as applicable international sanctions, (ii) as limited by laws relating to the statutory limitation of the time within which proceedings may be brought or availability of specific performance, injunctive relief or other equitable remedies, (iii) insofar as indemnification and contribution provisions may be limited by applicable law, and (iv) that such obligations (a) may not be given effect to by a Cayman Islands court if and to the extent they constitute the payment of an amount which is in the nature of a penalty and (b) may not be given effect by a Cayman Islands court to the extent that they are to be performed in a jurisdiction outside the Cayman Islands and such performance would be illegal under the laws of that jurisdiction.</w:t>
      </w:r>
    </w:p>
    <w:p>
      <w:pPr>
        <w:spacing w:after="0" w:line="196"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clause (ii), such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the filing of Form D with the Commission and such filings as are required to be made under applicable state securities laws (collectively, the “Required Approvals”).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304"/>
        <w:spacing w:after="0" w:line="252" w:lineRule="auto"/>
        <w:tabs>
          <w:tab w:leader="none" w:pos="15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unissued shares the maximum number of Common Shares issuable pursuant to this Agreement and the Warrants. The Company has prepared and filed the Registration Statement in conformity with the requirements of the Securities Act, which became effective on June 20, 2019 (the “Effective Date”),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is a “foreign private issuer” as defined in Rule 405 of Regulation C under the Securities Act and Rule 3b-4 under the Exchange Act. The Company was at the time of the filing of the Registration Statement eligible to use Form F-3. The Company is eligible to use Form F-3 under the Securities Act and it meets the transaction requirements with respect to the aggregate market value of securities being sold pursuant to this offering and during the twelve (12) months prior to this offering, as set forth in General Instruction I.B.5 of Form F-3.</w:t>
      </w:r>
    </w:p>
    <w:p>
      <w:pPr>
        <w:spacing w:after="0" w:line="18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as of the date hereof is as set forth on Schedule 3.1(g), which Schedule 3.1(g) shall also include the number of Common Shares owned beneficially, and of record, by Affiliates of the Company as of the date hereof. The Company has not issued any shares since its most recently filed periodic report under the Exchange Act, other than pursuant to the exercise of employee stock options under the Company’s stock option plans, the issuance of Common Shares to employees pursuant to the Company’s employee stock purchase plans and pursuant to the conversion and/or exercise of Common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on Schedule 3.1(g),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Common Shares or the capital stock of any Subsidiary, or contracts, commitments, understandings or arrangements by which the Company or any Subsidiary is or may become bound to issue additional Common Shares or Common Share Equivalents or capital stock of any Subsidiary. The issuance and sale of the Securities will not obligate the Company or any Subsidiary to issue Common Shares or other securities to any Person (other than the Purchasers) and will not result in a right of any holder of Company securities to adjust the exercise, conversion, exchange or reset price under any of such securities. Except as set forth on Schedule 3.1(g),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shareholder, the Board of Directors or others is required for the issuance and sale of the Securities. There are no stockholders agreements, voting agreements or other similar agreements with respect to the Company’s shares to which the Company is a party or, to the knowledge of the Company, between or among any of the Company’s shareholders.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304"/>
        <w:spacing w:after="0" w:line="251" w:lineRule="auto"/>
        <w:tabs>
          <w:tab w:leader="none" w:pos="15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“SEC Reports”)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(subject to amendments as may have been made), contained any untrue statement of a material fact or omitted to state a material fact required to be stated therein or necessary in order to make the statements therein, in the light of the circumstances under which they were made, not misleading. Additionally, any further documents so filed and incorporated by reference in the Prospectus and Prospectus Supplement, when such documents are filed with the Commission, will conform in all material respects to the requirements of the Exchange Act and the applicable rules and regulations, as applicable, and will not contain any untrue statement of a material fact or omit to state a material fact necessary to make the statements therein,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The Company has not been an issuer subject to Rule 144(i) under the Securities Act. As of their respective dates, the financial statements of the Company included in the SEC Reports complied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agreements and documents described in the Registration Statement, the Prospectus, the Prospectus Supplement, and the SEC Reports conform in all material aspects to the descriptions thereof contained therein, and there are no agreements or other documents required by the Securities Act and the rules and regulations thereunder to be described in the Registration Statement, the Prospectus, the Prospectus Supplement or the SEC Reports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the Prospectus, the Prospectus Supplement or the SEC Reports, or (ii) is material to the Company’s business (each, a “Material Agreement”), has been duly authorized and validly executed by the Company, is in full force and effect in all material respects and is enforceable against the Company and, to the Company’s knowledge, the other parties thereto, in accordance with its terms, except</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No Material Agreement has been assigned by the Company, and neither the Company nor, to the best of the Company’s knowledge, any other party is in default thereunder and, to the best of the Company’s knowledge, no event has occurred that, with the lapse of time or the giving of notice, or both, would constitute a default thereunder that has had or that could reasonably be expected to result in a Material Adverse Effect. To the best of the Company’s knowledge, performance by the Company of the material provisions of the Material Agreements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 The other financial and statistical information included in the SEC Reports present fairly, in all material respects, the information included therein and have been prepared on a basis consistent with that of the financial statements that are included in the SEC Reports and the books and records of the respective entities presented therein.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304"/>
        <w:spacing w:after="0" w:line="252" w:lineRule="auto"/>
        <w:tabs>
          <w:tab w:leader="none" w:pos="151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set forth on Schedule 3.1(i), (i) there has been no event, occurrence or development, including changes generally affecting the Company’s or Subsidiaries’ industries,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Schedule 3.1(i),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 Other than as set forth on Schedule 3.1(i), the Company has not: (i) issued any securities or incurred any liability or obligation, direct or contingent, for borrowed money; or (ii) declared or paid any dividend or made any other distribution on or in respect of its capital stock.</w:t>
      </w:r>
    </w:p>
    <w:p>
      <w:pPr>
        <w:spacing w:after="0" w:line="19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1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on Schedule 3.1(j), there has not been, and to the knowledge of the Company, there is not pending or contemplated, any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“Action”). None of the Actions set forth on Schedule 3.1(j) (i) adversely affects or challenges the legality, validity or enforceability of any of the Transaction Documents or the Securities, (ii) could, if there were an unfavorable decision, have or reasonably be expected to result in a Material Adverse Effect or (iii) are not expected to have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Except as set forth on Schedule 3.1(k),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304"/>
        <w:spacing w:after="0" w:line="254" w:lineRule="auto"/>
        <w:tabs>
          <w:tab w:leader="none" w:pos="15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Except as set forth on Schedule 3.1(l),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(“Environmental Laws”);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approvals, orders, licenses and permits issued by the appropriate federal, state, local or foreign regulatory authorities, or by any foreign, federal, state or local governmental or regulatory authority necessary to conduct their respective businesses as described in the SEC Reports, except where the failure to possess such permits could not reasonably be expected to result in a Material Adverse Effect (each, a “Material Permit”), and neither the Company nor any Subsidiary has received any notice of proceedings relating to the revocation or modification of any Material Permit. The disclosures in the Registration Statement concerning the effects of federal, state, local and all foreign regulation on the Company’s business as currently contemplated are correct in all material respects.</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which the failure to so have could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“Intellectual Property Rights”). Schedule 3.1(p) sets forth all of the Intellectual Property Rights that the Company and its Subsidiaries own or have the rights to use.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1560" w:hanging="256"/>
        <w:spacing w:after="0"/>
        <w:tabs>
          <w:tab w:leader="none" w:pos="1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[Omitted intentionally.]</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on Schedule 3.1(r),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US$120,000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Except as disclosed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“Evaluation Date”).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Other than the compensation payable to the Placement Agent pursuant to the terms of the Placement Agency Agreement and as set forth in the Prospectus Supplement relating to the placement of the Securities, no brokerage or finder’s fees or commissions are or will be payable by the Company or any Subsidiary or Affiliate of the Company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Shares are registered pursuant to Section 12(b) or 12(g) of the Exchange Act, and the Company has taken no action designed to, or which to its knowledge is likely to have the effect of, terminating the registration of the Common Shares under the Exchange Act nor has the Company received any notification that the Commission is contemplating terminating such registration. Except as set forth on Schedule 3.1(w), the Company has not, in the 12 months preceding the date hereof, received notice from any Trading Market on which the Common Shares are or have been listed or quoted to the effect that the Company is not in compliance with the listing or maintenance requirements of such Trading Market. The Common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304"/>
        <w:spacing w:after="0" w:line="256" w:lineRule="auto"/>
        <w:tabs>
          <w:tab w:leader="none" w:pos="15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insofar as possible, to render inapplicable any control share acquisition, business combination, poison pill (including any distribution under a rights agreement) or other similar anti-takeover provision under the Company’s memorandum and articles of association (or similar charter documents) or the laws of its country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Preliminary Prospectus or Prospectus, or to be filed as exhibits or schedules to the Registration Statement, which have not been described or filed as required.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statistical and market-related data included in the Prospectus and Prospectus Supplement, if any, are based on or derived from sources that the Company reasonably and in good faith believes are reliable and accurate or represent the Company’s good faith estimates that are made on the basis of data derived from such sources. The Company has obtained all consents required for the inclusion of such statistical and market-related data in the Prospectus and Prospectus Supplement. No forward-looking statement (within the meaning of Section 27A of the Securities Act and Section 21E of the Exchange Act) contained in the Prospectus or Prospectus Supplement has been made or reaffirmed without a reasonable basis or has been disclosed other than in good faith. The Company acknowledges and agrees that no Purchaser makes or has made any representations or warranties with respect to the transactions contemplated hereby other than those specifically set forth in Section 3.2 hereof.</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Warrants or Warrant Shares under the Securities Act, or (ii) any applicable shareholder approval provisions of any Trading Market on which any of the securities of the Company are listed or designated.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304"/>
        <w:spacing w:after="0" w:line="25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For the avoidance of doubt, such reorganization does not include the Company’s mergers, acquisitions or other strategic transactions which are not for the primary purpose of avoiding bankruptcy. Schedule 3.1(aa) sets forth as of the date hereof all outstanding secured and unsecured Indebtedness of the Company or any Subsidiary, or for which the Company or any Subsidiary has commitments. For the purposes of this Agreement, “Indebtedness” means (x) any liabilities for borrowed money or amounts owed in excess of US$50,000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US$50,000 due under leases required to be capitalized in accordance with GAAP. Neither the Company nor any Subsidiary is in default with respect to any Indebtedness.</w:t>
      </w:r>
    </w:p>
    <w:p>
      <w:pPr>
        <w:spacing w:after="0" w:line="190"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 The provisions for taxes payable, if any, shown on the financial statements filed with or as part of the Registration Statement, Prospectus and Prospectus Supplement are sufficient for all accrued and unpaid taxes, whether or not disputed, and for all periods to and including the dates of such consolidated financial statements. The term “taxes”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whatsoever, together with any interest and any penalties, additions to tax, or additional amounts with respect thereto. The term “returns” means all returns, declarations, reports, statements, and other documents required to be filed in respect to taxes.</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The Company has taken commercially reasonable steps to ensure that its accounting controls and procedures are designed to cause the Company to comply in all material respects with the FCPA.</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current independent registered public accounting firm and independent registered public accounting firm for the years ended June 30, 2020, June 30, 2019 was Ernst &amp; Young Hua Ming LLP, which is a registered public accounting firm as required by the Exchange Act. To the knowledge and belief of the Company, Ernst &amp; Young Hua Ming LLP shall express its opinion with respect to the financial statements to be included in the Company’s Annual Report on Form 20-F for the fiscal year ending June 30, 2021.</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304"/>
        <w:spacing w:after="0" w:line="255"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Shares, and</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32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if applicable,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8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Shares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(“OFAC”).</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6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304"/>
        <w:spacing w:after="0" w:line="256" w:lineRule="auto"/>
        <w:tabs>
          <w:tab w:leader="none" w:pos="16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“Money Laundering Laws”),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D&amp;O Questionnaires</w:t>
      </w:r>
      <w:r>
        <w:rPr>
          <w:rFonts w:ascii="Times New Roman" w:cs="Times New Roman" w:eastAsia="Times New Roman" w:hAnsi="Times New Roman"/>
          <w:sz w:val="18"/>
          <w:szCs w:val="18"/>
          <w:color w:val="auto"/>
        </w:rPr>
        <w:t>. To the Company’s knowledge, all information contained in the questionnaires most recently completed by each of the Company’s directors and officers and beneficial owner of 5% or more of the Common Shares or Common Share Equivalents is true and correct in all respects and the Company has not become aware of any information which would cause the information disclosed in such questionnaires become inaccurate and incorrect.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Affiliation</w:t>
      </w:r>
      <w:r>
        <w:rPr>
          <w:rFonts w:ascii="Times New Roman" w:cs="Times New Roman" w:eastAsia="Times New Roman" w:hAnsi="Times New Roman"/>
          <w:sz w:val="18"/>
          <w:szCs w:val="18"/>
          <w:color w:val="auto"/>
        </w:rPr>
        <w:t>. No officer, director or any beneficial owner of 5% or more of the Company’s Common Shares or Common Share Equivalents has any direct or indirect affiliation or association with any FINRA member (as determined in accordance with the rules and regulations of FINRA) that is participating in the Offering. Except for securities purchased on the open market, no Company Affiliate is an owner of stock or other securities of any member of FINRA. No Company Affiliate has made a subordinated loan to any member of FINRA. No proceeds from the sale of the Securities (excluding compensation as disclosed in the Prospectus Supplement to the Placement Agent) will be paid to any FINRA member, any persons associated with a FINRA member or an affiliate of a FINRA member. Except as disclosed in the Registration Statement, Prospectus and Prospectus Supplement and except for securities issued to the Placement Agent as disclosed in the Prospectus Supplement, no person to whom securities of the Company have been privately issued within the 180-day period prior to the initial filing date of the Prospectus Supplement is a FINRA member, is a person associated with a FINRA member or is an affiliate of a FINRA member. No FINRA member participating in the offering has a conflict of interest with the Company. For this purpose, a “conflict of interest” exists when a FINRA member, the parent or affiliate of a FINRA member or any person associated with a FINRA member in the aggregate beneficially own 5% or more of the Company’s outstanding subordinated debt or common equity, or 5% or more of the Company’s preferred equity. “FINRA member participating in the offering” includes any associated person of a FINRA member that is participating in the offering, any member of such associated person’s immediate family and any affiliate of a FINRA member that is participating in the offering. “Any person associated with a FINRA member” means (1) a natural person who is registered or has applied for registration under the rules of FINRA and (2) a sole proprietor, partner, officer, director, or branch manager of a FINRA member, or other natural person occupying a similar status or performing similar functions, or a natural person engaged in the investment banking or securities business who is directly or indirectly controlling or controlled by a FINRA member. When used in this Section 3.1(mm) the term “affiliate of a FINRA member” or “affiliated with a FINRA member” means an entity that controls, is controlled by or is under common control with a FINRA member. The Company will advise the Placement Agent and Placement Agent’s Counsel if it learns that any officer, director or owner of 5% or more of the Company’s outstanding Common Shares or Common Share Equivalents is or becomes an affiliate or associated person of a FINRA member firm.</w:t>
      </w:r>
    </w:p>
    <w:p>
      <w:pPr>
        <w:spacing w:after="0" w:line="189" w:lineRule="exact"/>
        <w:rPr>
          <w:rFonts w:ascii="Times New Roman" w:cs="Times New Roman" w:eastAsia="Times New Roman" w:hAnsi="Times New Roman"/>
          <w:sz w:val="18"/>
          <w:szCs w:val="18"/>
          <w:color w:val="auto"/>
        </w:rPr>
      </w:pPr>
    </w:p>
    <w:p>
      <w:pPr>
        <w:ind w:right="20" w:firstLine="1304"/>
        <w:spacing w:after="0" w:line="282" w:lineRule="auto"/>
        <w:tabs>
          <w:tab w:leader="none" w:pos="16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Any certificate signed by any duly authorized officer of the Company and delivered to the Purchasers shall be deemed a representation and warranty by the Company to the Purchasers as to the matters covered thereby.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304"/>
        <w:spacing w:after="0" w:line="258" w:lineRule="auto"/>
        <w:tabs>
          <w:tab w:leader="none" w:pos="16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qualifications of the persons serving as board members and the overall composition of the Board of Directors comply with the Sarbanes-Oxley Act of 2002 and the rules promulgated thereunder applicable to the Company and the rules of the Trading Market. At least one member of the Board of Directors qualifies as a “financial expert” as such term is defined under the Sarbanes-Oxley Act of 2002 and the rules promulgated thereunder and the rules of the Trading Market. In addition, at least a majority of the persons serving on the Board of Directors qualify as “independent” as defined under the rules of the Trading Market.</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Company is not a party to an “employee benefit plan,” as defined in Section 3(3) of the Employee Retirement Income Security Act of 1974, as amended (“ERISA”), which: (i) is subject to any provision of ERISA and (ii) is or was at any time maintained, administered or contributed to by the Company or any of its ERISA Affiliates (as defined hereafter). These plans are referred to collectively herein as the “Employee Plans.” An “ERISA Affiliate” of any person or entity means any other person or entity which, together with that person or entity, could be treated as a single employer under Section 414(b), (c), (m) or (o) of the Internal Revenue Code of 1986, as amended (the “Code”). Each Employee Plan has been maintained in material compliance with its terms and the requirements of applicable law. No Employee Plan is subject to Title IV of ERISA. The Registration Statement, Prospectus and the Prospectus Supplement identify each employment, severance or other similar agreement, arrangement or policy and each material plan or arrangement required to be disclosed pursuant to the Rules and Regulations providing for insurance coverage (including any self-insured arrangements), workers’ compensation, disability benefits, severance benefits, supplemental unemployment benefits, vacation benefits or retirement benefits, or deferred compensation, profit-sharing, bonuses, stock options, stock appreciation rights or other forms of incentive compensation, or post-retirement insurance, compensation or benefits, which: (i) is not an Employee Plan; (ii) is entered into, maintained or contributed to, as the case may be, by the Company or any of its ERISA Affiliates; and (iii) covers any officer or director or former officer or director of the Company or any of its ERISA Affiliates. These agreements, arrangements, policies or plans are referred to collectively as “Benefit Arrangements.” Each Benefit Arrangement has been maintained in material compliance with its terms and with the requirements of applicable law. There is no liability in respect of post-retirement health and medical benefits for retired employees of the Company or any of its ERISA Affiliates, other than medical benefits required to be continued under applicable law. No “prohibited transaction” (as defined in either Section 406 of ERISA or Section 4975 of the Code) has occurred with respect to any Employee Plan; and each Employee Plan that is intended to be qualified under Section 401(a) of the Code is so qualified, and nothing has occurred, whether by action or by failure to act, which could cause the loss of such qualification.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Immunity</w:t>
      </w:r>
      <w:r>
        <w:rPr>
          <w:rFonts w:ascii="Times New Roman" w:cs="Times New Roman" w:eastAsia="Times New Roman" w:hAnsi="Times New Roman"/>
          <w:sz w:val="18"/>
          <w:szCs w:val="18"/>
          <w:color w:val="auto"/>
        </w:rPr>
        <w:t>. None of the Company or its Subsidiaries or any of their respective properties, assets or revenues has any right of immunity, under the laws of the Cayman Islands or the State of New York, from any legal action, suit or proceeding, the giving of any relief in any such legal action, suit or proceeding, set-off or counterclaim, the jurisdiction of any Cayman Islands, New York or United States federal court, service of process, attachment upon or prior to judgment, or attachment in aid of execution of judgment, or execution of a judgment, or other legal process or proceeding for the giving of any relief or for the enforcement of a judgment, in any such court, with respect to its obligations, liabilities or any other matter under or arising out of or in connection with this Agreement and the Transaction Documents; and, to the extent that the Company or any of its Subsidiaries or any of their respective properties, assets or revenues may have or may hereafter become entitled to any such right of immunity in any such court in which proceedings may at any time be commenced, each of the Company and its Subsidiaries waives or will waive such right to the extent permitted by law and has consented to such relief and enforcement as provided in this Agreement.</w:t>
      </w:r>
    </w:p>
    <w:p>
      <w:pPr>
        <w:spacing w:after="0" w:line="188"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Warrants or the Warrant Shares by the Company to the Purchasers as contemplated hereby.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Warrants or Warrant Shares by any form of general solicitation or general advertising. The Company has offered the Warrants and Warrant Shares for sale only to the Purchasers and certain other “accredited investors” within the meaning of Rule 501 under the Securities Act.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304"/>
        <w:spacing w:after="0" w:line="254" w:lineRule="auto"/>
        <w:tabs>
          <w:tab w:leader="none" w:pos="164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Warrants and Warrant Shares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“Issuer Covered Person”) is subject to any of the “Bad Actor” disqualifications described in Rule 506(d)(1)(i) to (viii) under the Securities Act (a “Disqualification Event”),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72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firstLine="1304"/>
        <w:spacing w:after="0" w:line="253"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Warrants and the Warrant Shares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Warrants and the Warrant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304"/>
        <w:spacing w:after="0" w:line="266"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Warrants and the Warrant Shares, it was, and as of the date hereof it is, and on each date on which it exercises any Warrants, it will be either: (i) an “accredited investor” as defined in Rule 501(a)(1), (a)(2), (a)(3), (a)(7) or (a)(8) under the Securities Act or (ii) a “qualified institutional buyer” as defined in Rule 144A(a) under the Securities Act.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Warrants and the Warrant Shares, and has so evaluated the merits and risks of such investment. Such Purchaser is able to bear the economic risk of an investment in the Warrants and the Warrant Sharesand,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Warrants and the Warrant Shares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Warrants and the Warrant Sharesnor is such information or advice necessary or desired. Neither the Placement Agent nor any Affiliate has made or makes any representation as to the Company or the quality of the Warrants and the Warrant Shares and the Placement Agent and any Affiliate may have acquired non-public information with respect to the Company which such Purchaser agrees need not be provided to it. In connection with the issuance of the Warrants and the Warrant Shares to such Purchaser, neither the Placement Agent nor any of its Affiliates has acted as a financial advisor or fiduciary to such Purchaser.</w:t>
      </w:r>
    </w:p>
    <w:p>
      <w:pPr>
        <w:spacing w:after="0" w:line="18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Warrants and the Warrant Shares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and Warrant Shares may only be disposed of in compliance with state and federal securities laws. In connection with any transfer of Warrants or Warrant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Warrants or Warrant Shares under the Securities Act.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Warrants or Warrant Shares in the following form:</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The Company acknowledges and agrees that a Purchaser may from time to time pledge pursuant to a bona fide margin agreement with a registered broker-dealer or grant a security interest in some or all of the Warrants or Warrant Shares to a financial institution that is an “accredited investor” as defined in Rule 501(a) under the Securities Act and, if required under the terms of such arrangement, such Purchaser may transfer pledged or secured Warrants or Warrant Shares to the pledgees or secured parties. Such a pledge or transfer shall not require a legal opinion of legal counsel of the pledgee, secured party or pledger. The Board of Directors may not refuse or delay the transfer unless: (a) the Purchaser has failed to pay an amount due in respect of such securities; or (b) such refusal or delay is deemed necessary in the opinion of its legal counsel in order to avoid violation of, or in order to ensure compliance with, any applicable corporate, securities and other laws and regulation; provided, that in no event shall such refusal or delay be unreasonably withheld. Further, no notice shall be required of such pledge. At the Purchaser’s expense, the Company will execute and deliver such reasonable documentation as a pledgee or secured party of Warrants and Warrant Shares may reasonably request in connection with a pledge or transfer of the Warrants or Warrant Shares.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1304"/>
        <w:spacing w:after="0" w:line="251" w:lineRule="auto"/>
        <w:tabs>
          <w:tab w:leader="none" w:pos="15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or statements evidencing the Warrant Shares shall not contain any legend (including the legend set forth in Section 4.1(b) hereof): (i) while a registration statement covering the resale of such security is effective under the Securities Act; or (ii) following any sale of such Warrant Shares pursuant to Rule 144 (assuming cashless exercise of the Warrants); or (iii) if such Warrant Shares are eligible for sale under Rule 144 (assuming cashless exercise of the Warrants); or (iv) if such legend is not required under applicable requirements of the Securities Act (including judicial interpretations and pronouncements issued by the staff of the Commission). The Company shall cause its counsel to issue a legal opinion to the Transfer Agent or a Purchaser promptly if required by the Transfer Agent to effect the removal of the legend hereunder, or if requested by such Purchaser; provided, however, that if any such legal opinion relates to legend removal, or sale of Securities, pursuant to Rule 144, such opinion may contain a provision allowing Company counsel to withdraw the right of the addressee to rely on such legal opinion in the event that the such counsel delivers a written notice to the addressee that the Company has subsequently failed for any reason to satisfy the current public information requirement under Rule 144(c), to the extent that Rule 144(c) is then applicable. If all or any portion of a Warrant is exercised at a time when there is an effective registration statement to cover the resale of the Warrant Shares, or if such Warrant Shares may be sold under Rule 144 (assuming cashless exercise of the Warrants)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such time as such legend is no longer required under this Section 4.1(c), the Company will, no later than the earlier of (i) three Trading Days and (ii) the number of Trading Days comprising the Standard Settlement Period (as defined below) following the delivery by a Purchaser to the Company or the Transfer Agent of a certificate representing Warrant Shares, as applicable, issued with a restrictive legend (such date, the “Legend Removal Date”),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Warrant Shares subject to legend removal hereunder shall be transmitted by the Transfer Agent to the Purchaser by crediting the account of the Purchaser’s prime broker with the Depository Trust Company System as directed by such Purchaser. As used herein, “Standard Settlement Period” means the standard settlement period, expressed in a number of Trading Days, on the Company’s primary Trading Market with respect to the Common Shares as in effect on the date of delivery of a certificate representing Warrant Shares issued with a restrictive legend.</w:t>
      </w:r>
    </w:p>
    <w:p>
      <w:pPr>
        <w:spacing w:after="0" w:line="20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7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US$1,000 of Warrant Shares (based on the VWAP of the Common Shares on the date such securities are submitted to the Transfer Agent) delivered for removal of the restrictive legend and subject to Section 4.1(c), US$10 per Trading Day (increasing to US$20 per Trading Day five (5) Trading Days after such damages have begun to accrue)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Common Shares to deliver in satisfaction of a sale by such Purchaser of all or any portion of the number of Common Shares, or a sale of a number of Common Shares equal to all or any portion of the number of Common Shares, that such Purchaser anticipated receiving from the Company without any restrictive legend, then an amount equal to the excess of such Purchaser’s total purchase price (including brokerage commissions and other out-of-pocket expenses, if any) for the Common Shares so purchased (including brokerage commissions and other out-of-pocket expenses, if any) (the “Buy-In Price”) over the product of (A) such number of Warrant Shares that the Company was required to deliver to such Purchaser by the Legend Removal Date multiplied by (B) the lowest closing sale price of the Common Shares on any Trading Day during the period commencing on the date of the delivery by such Purchaser to the Company of the applicable Warrant Shares (as the case may be) and ending on the date of such delivery and payment under this Section 4.1(d).</w:t>
      </w:r>
    </w:p>
    <w:p>
      <w:pPr>
        <w:spacing w:after="0" w:line="197"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be issued free of legends.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time that (i) no Purchaser owns Securities or (ii) all of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304"/>
        <w:spacing w:after="0" w:line="252" w:lineRule="auto"/>
        <w:tabs>
          <w:tab w:leader="none" w:pos="15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Warrant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such an issuer in the future, and the Company shall fail to satisfy any condition set forth in Rule 144(i)(2) (a “Public Information Failure”) then, in addition to such Purchaser’s other available remedies, the Company shall pay to a Purchaser, in cash, as partial liquidated damages and not as a penalty, by reason of any such delay in or reduction of its ability to sell the Warrant Shares, an amount in cash equal to one percent (1.0%) of the aggregate Exercise Price of such Purchaser’s Warrants on the day of a Public Information Failure and on every thirtieth (30th) day (pro rated for periods totaling less than thirty days) thereafter until the earlier of (a) the date such Public Information Failure is cured and (b) such time that such public information is no longer required for the Purchasers to transfer the Warrant Shares pursuant to Rule 144. The payments to which a Purchaser shall be entitled pursuant to this Section 4.2(b) are referred to herein as “Public Information Failure Payments.” Public Information Failure Payments shall be paid on the earlier of (i) the last day of the calendar month during which such Public Information Failure Payments are incurred and (ii) the third (3rd)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Warrants or Warrant Shares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on or prior to 9:00 a.m. (New York City time) on March 1, 2021, issue a press release disclosing the material terms of the transactions contemplated hereby, and (b) file a Current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or FINRA regulations, in which case the Company shall provide the Purchasers with prior notice of such disclosure permitted under this clause (b).</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any of its Subsidiaries, or any of its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Report of Foreign Private Issuer on Form 6-K. The Company understands and confirms that each Purchaser shall be relying on the foregoing covenant in effecting transactions in securities of the Company.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Except as set forth on Schedule 4.7 attached hereto, the Company shall use the net proceeds from the sale of the Securities hereunder for working capital and capital expenditure purposes and shall not use such proceeds: (a) for the satisfaction of any portion of the Company’s debt (other than payment of trade payables in the ordinary course of the Company’s business and prior practices); (b) for the redemption of any Common Shares or Common Share Equivalents; (c) for the settlement of any outstanding litigation; or (d) in violation of FCPA or OFAC regulations.</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(to the fullest extent permitted by applicable law) and hold each Purchaser and its directors, officers, shareholders, members, managers,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Warrant Shares issued and issuable upon exercise of the Warrants,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one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for the purpose of enabling the Company to issue Shares pursuant to this Agreement.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Shares</w:t>
      </w:r>
      <w:r>
        <w:rPr>
          <w:rFonts w:ascii="Times New Roman" w:cs="Times New Roman" w:eastAsia="Times New Roman" w:hAnsi="Times New Roman"/>
          <w:sz w:val="18"/>
          <w:szCs w:val="18"/>
          <w:color w:val="auto"/>
        </w:rPr>
        <w:t>. The Company hereby agrees to use best efforts to maintain the listing or quotation of the Shares on the Trading Market on which it is currently listed, and prior to the Closing, the Company shall have applied to list or quote all of the Shares on such Trading Market and concurrently with the Closing, the Company shall not have received any information indicating that the listing of all of the Shares is or will be rejected. The Company further agrees, if the Company applies to have the Ordinary Shares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Ordinary Shares on a Trading Market and will comply in all respects with the Company’s reporting, filing and other obligations under the bylaws or rules of the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sixty (60) days after the Closing Date, neither the Company nor any Subsidiary shall issue, enter into any agreement to issue or announce the issuance or proposed issuance of any Common Shares or Common Share Equivalents or file any registration statement, or amendment or supplement thereto, with the Commission, other than a prospectus filed with the Commission pursuant to Rule 424(b) in connection with this offering.</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such time as no Purchaser holds any of the Warrants, the Company shall be prohibited from effecting or entering into an agreement to effect any issuance by the Company or any of its Subsidiaries of Common Shares involving a Variable Rate Transaction or Common Share Equivalents involving a Variable Rate Transaction (or a combination of units of Common Shares and/or Comon Share Equivalents). “Variable Rate Transaction” means a transaction in which the Company (i) issues or sells any debt or equity securities that are convertible into, exchangeable or exercisable for, or include the right to receive additional Common Shares either (A) at a conversion price, exercise price or exchange rate or other price that is based upon and/or varies with the trading prices of or quotations for the Common Shares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Shares or (ii) enters into, or effects a transaction under, any agreement, including, but not limited to, an equity line of credit or at-the-market offering facility, whereby the Company may issue securities at a future determined price. Any Purchaser shall be entitled to obtain injunctive relief against the Company to preclude any such issuance, which remedy shall be in addition to any right to collect damages.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firstLine="1304"/>
        <w:spacing w:after="0" w:line="282" w:lineRule="auto"/>
        <w:tabs>
          <w:tab w:leader="none" w:pos="15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4.12 shall not apply in respect of an Exempt Issuance, except that no Variable Rate Transaction shall be an Exempt Issuance.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Capital Changes</w:t>
      </w:r>
      <w:r>
        <w:rPr>
          <w:rFonts w:ascii="Times New Roman" w:cs="Times New Roman" w:eastAsia="Times New Roman" w:hAnsi="Times New Roman"/>
          <w:sz w:val="18"/>
          <w:szCs w:val="18"/>
          <w:color w:val="auto"/>
        </w:rPr>
        <w:t>. Until the one (1) year anniversary of the Closing Date, the Company shall not undertake a reverse or forward stock split or reclassification of the Common Shares without the prior written consent of the Purchasers holding a majority in interest of the Shares, unless a reverse split is required to maintain compliance with the minimum bid price requirements of the Trading Market.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by the Company in order to exercise the Warrants. The Company shall honor exercises of the Warrants and shall deliver Warrant Shares in accordance with the terms, conditions and time periods set forth in the Transaction Documents.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Warrants and Warrant Shares as required under Regulation D and to provide a copy thereof, promptly upon request of any Purchaser. The Company shall take such action as the Company shall reasonably determine is necessary in order to obtain an exemption for, or to qualify the Warrants and Warrant Shares for, sale to the Purchasers at the Closing under applicable securities or “Blue Sky” laws of the states of the United States, and shall provide evidence of such actions promptly upon request of any Purchaser.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soon as practicable (and in any event within 30 calendar days of the Closing Date), the Company shall file a registration statement on Form F-3 (or such other form as the Company is then eligible to use for such purpose) providing for the resale by the Purchasers of the Warrant Shares issued and issuable upon exercise of the Warrants. The Company shall use commercially reasonable efforts to cause such registration statement to become effective within 181 days following the Closing Date and to keep such registration statement effective at all times until no Purchaser owns any Warrants or Warrant Shares issuable upon exercise thereof.</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officer or director that is a party to a Lock-Up Agreement breaches any provision of a Lock-Up Agreement, the Company shall promptly use its best efforts to seek specific performance of the terms of such Lock-Up Agreement.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Sales During Pre-Settlement Period</w:t>
      </w:r>
      <w:r>
        <w:rPr>
          <w:rFonts w:ascii="Times New Roman" w:cs="Times New Roman" w:eastAsia="Times New Roman" w:hAnsi="Times New Roman"/>
          <w:sz w:val="18"/>
          <w:szCs w:val="18"/>
          <w:color w:val="auto"/>
        </w:rPr>
        <w:t>. Notwithstanding anything herein to the contrary, if at any time on or after the time of execution of this Agreement by the Company and an applicable Purchaser, through, and including the time immediately prior to the Closing (the “Pre-Settlement Period”), such Purchaser sells to any Person all, or any portion, of any Common Shares to be issued hereunder to such Purchaser at the Closing (collectively, the “Pre-Settlement Shares”), such Purchaser shall, automatically hereunder (without any additional required actions by such Purchaser or the Company), be deemed to be unconditionally bound to purchase, and the Company shall be deemed unconditionally bound to sell, such Pre-Settlement Shares to such Purchaser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Common Shares to any Person and that any such decision to sell any Common Shares by such Purchaser shall solely be made at the time such Purchaser elects to effect any such sale, if 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 provided, however, that no such termination will affect the right of any party to sue for any breach by any other party (or parties).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At the Closing, the Company has agreed to reimburse the Placement Agent $5,000 for non-accountable expenses, and up to $40,000 for the reasonable and accounted fees and expenses of its legal counsel.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4:30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4:30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Report of Foreign Private Issuer on Form 6-K.</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this Section 5.8 and/or the Placement Agency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 The Company will, within five Business Days from the date, hereof appoint an agent for service of process in New York and notify Purchaser and the Placement Agent of the name and address thereof. The choice of the laws of the State of New York as the governing law of this Agreement is a valid choice of law and would be recognized and given effect to in any action brought before a court of competent jurisdiction in the Cayman Islands, except for those laws (i) which such court considers to be procedural in nature, (ii) which are revenue or penal laws or</w:t>
      </w:r>
    </w:p>
    <w:p>
      <w:pPr>
        <w:spacing w:after="0" w:line="9" w:lineRule="exact"/>
        <w:rPr>
          <w:sz w:val="20"/>
          <w:szCs w:val="20"/>
          <w:color w:val="auto"/>
        </w:rPr>
      </w:pPr>
    </w:p>
    <w:p>
      <w:pPr>
        <w:jc w:val="both"/>
        <w:ind w:firstLine="8"/>
        <w:spacing w:after="0" w:line="251" w:lineRule="auto"/>
        <w:tabs>
          <w:tab w:leader="none" w:pos="3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which would be inconsistent with public policy, as such term is interpreted under the laws of the Cayman Islands. The Company or any of their respective properties, assets or revenues does not have any right of immunity under Cayman Islands or New York law, from any legal action, suit or proceeding, from the giving of any relief in any such legal action, suit or proceeding, from set-off or counterclaim, from the jurisdiction of any Cayman Islands and New York or United States federal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and, to the extent that the Company, or any of its properties, assets or revenues may have or may hereafter become entitled to any such right of immunity in any such court in which proceedings may at any time be commenced, the Company hereby waives such right to the extent permitted by law and hereby consents to such relief and enforcement as provided in this Agreement and the other Transaction Documents.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Common Shares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 and provide such indemnity as may be required and determined under the Company’s policy as set by the Board of Directors.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Placement Agent.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Common Shares in any Transaction Document shall be subject to adjustment for reverse and forward stock splits, stock dividends, stock combinations and other similar transactions of the Common Shares that occur after the date of this Agreement.</w:t>
      </w:r>
    </w:p>
    <w:p>
      <w:pPr>
        <w:spacing w:after="0" w:line="18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5.21 WAIVER OF JURY TRIAL.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CLPS INCORPORATION</w:t>
            </w:r>
          </w:p>
        </w:tc>
        <w:tc>
          <w:tcPr>
            <w:tcW w:w="1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c>
          <w:tcPr>
            <w:tcW w:w="3040" w:type="dxa"/>
            <w:vAlign w:val="bottom"/>
          </w:tcPr>
          <w:p>
            <w:pPr>
              <w:spacing w:after="0"/>
              <w:rPr>
                <w:sz w:val="17"/>
                <w:szCs w:val="17"/>
                <w:color w:val="auto"/>
              </w:rPr>
            </w:pPr>
          </w:p>
        </w:tc>
      </w:tr>
      <w:tr>
        <w:trPr>
          <w:trHeight w:val="460"/>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1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 702, 7th Floor, Millennium City II</w:t>
            </w:r>
          </w:p>
        </w:tc>
      </w:tr>
      <w:tr>
        <w:trPr>
          <w:trHeight w:val="198"/>
        </w:trPr>
        <w:tc>
          <w:tcPr>
            <w:tcW w:w="340" w:type="dxa"/>
            <w:vAlign w:val="bottom"/>
          </w:tcPr>
          <w:p>
            <w:pPr>
              <w:spacing w:after="0"/>
              <w:rPr>
                <w:sz w:val="17"/>
                <w:szCs w:val="17"/>
                <w:color w:val="auto"/>
              </w:rPr>
            </w:pPr>
          </w:p>
        </w:tc>
        <w:tc>
          <w:tcPr>
            <w:tcW w:w="26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 Raymond Ming Hui Lin</w:t>
            </w:r>
          </w:p>
        </w:tc>
        <w:tc>
          <w:tcPr>
            <w:tcW w:w="1560" w:type="dxa"/>
            <w:vAlign w:val="bottom"/>
            <w:tcBorders>
              <w:top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4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378 Kwun Tong Road</w:t>
            </w:r>
          </w:p>
        </w:tc>
      </w:tr>
      <w:tr>
        <w:trPr>
          <w:trHeight w:val="216"/>
        </w:trPr>
        <w:tc>
          <w:tcPr>
            <w:tcW w:w="34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Kwun Tong, Kowloon</w:t>
            </w:r>
          </w:p>
        </w:tc>
      </w:tr>
      <w:tr>
        <w:trPr>
          <w:trHeight w:val="216"/>
        </w:trPr>
        <w:tc>
          <w:tcPr>
            <w:tcW w:w="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 SAR</w:t>
            </w:r>
          </w:p>
        </w:tc>
      </w:tr>
      <w:tr>
        <w:trPr>
          <w:trHeight w:val="234"/>
        </w:trPr>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r>
      <w:tr>
        <w:trPr>
          <w:trHeight w:val="414"/>
        </w:trPr>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260" w:type="dxa"/>
            <w:vAlign w:val="bottom"/>
            <w:gridSpan w:val="4"/>
          </w:tcPr>
          <w:p>
            <w:pPr>
              <w:jc w:val="center"/>
              <w:ind w:right="2980"/>
              <w:spacing w:after="0"/>
              <w:rPr>
                <w:sz w:val="20"/>
                <w:szCs w:val="20"/>
                <w:color w:val="auto"/>
              </w:rPr>
            </w:pPr>
            <w:r>
              <w:rPr>
                <w:rFonts w:ascii="Times New Roman" w:cs="Times New Roman" w:eastAsia="Times New Roman" w:hAnsi="Times New Roman"/>
                <w:sz w:val="18"/>
                <w:szCs w:val="18"/>
                <w:color w:val="auto"/>
                <w:w w:val="99"/>
              </w:rPr>
              <w:t>[REMAINDER OF PAGE INTENTIONALLY LEFT BLANK</w:t>
            </w:r>
          </w:p>
        </w:tc>
      </w:tr>
      <w:tr>
        <w:trPr>
          <w:trHeight w:val="234"/>
        </w:trPr>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260" w:type="dxa"/>
            <w:vAlign w:val="bottom"/>
            <w:gridSpan w:val="4"/>
          </w:tcPr>
          <w:p>
            <w:pPr>
              <w:jc w:val="center"/>
              <w:ind w:right="2980"/>
              <w:spacing w:after="0"/>
              <w:rPr>
                <w:sz w:val="20"/>
                <w:szCs w:val="20"/>
                <w:color w:val="auto"/>
              </w:rPr>
            </w:pPr>
            <w:r>
              <w:rPr>
                <w:rFonts w:ascii="Times New Roman" w:cs="Times New Roman" w:eastAsia="Times New Roman" w:hAnsi="Times New Roman"/>
                <w:sz w:val="18"/>
                <w:szCs w:val="18"/>
                <w:color w:val="auto"/>
                <w:w w:val="99"/>
              </w:rPr>
              <w:t>SIGNATURE PAGE FOR PURCHASER FOLLOWS]</w:t>
            </w:r>
          </w:p>
        </w:tc>
      </w:tr>
      <w:tr>
        <w:trPr>
          <w:trHeight w:val="682"/>
        </w:trPr>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jc w:val="center"/>
              <w:ind w:left="1404"/>
              <w:spacing w:after="0"/>
              <w:rPr>
                <w:sz w:val="20"/>
                <w:szCs w:val="20"/>
                <w:color w:val="auto"/>
              </w:rPr>
            </w:pPr>
            <w:r>
              <w:rPr>
                <w:rFonts w:ascii="Times New Roman" w:cs="Times New Roman" w:eastAsia="Times New Roman" w:hAnsi="Times New Roman"/>
                <w:sz w:val="22"/>
                <w:szCs w:val="22"/>
                <w:color w:val="auto"/>
                <w:w w:val="99"/>
              </w:rPr>
              <w:t>31</w:t>
            </w:r>
          </w:p>
        </w:tc>
        <w:tc>
          <w:tcPr>
            <w:tcW w:w="14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t>[PURCHASER SIGNATURE PAGES TO THE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Number of Authorized Signatory: 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Warrants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DWAC for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US$_________________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jc w:val="both"/>
        <w:ind w:firstLine="8"/>
        <w:spacing w:after="0" w:line="255" w:lineRule="auto"/>
        <w:tabs>
          <w:tab w:leader="none" w:pos="228" w:val="left"/>
        </w:tabs>
        <w:numPr>
          <w:ilvl w:val="0"/>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second (2nd)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1040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March 3, 2021</w:t>
      </w:r>
    </w:p>
    <w:p>
      <w:pPr>
        <w:spacing w:after="0" w:line="211" w:lineRule="exact"/>
        <w:rPr>
          <w:sz w:val="20"/>
          <w:szCs w:val="20"/>
          <w:color w:val="auto"/>
        </w:rPr>
      </w:pPr>
    </w:p>
    <w:p>
      <w:pPr>
        <w:sectPr>
          <w:pgSz w:w="11900" w:h="16838" w:orient="portrait"/>
          <w:cols w:equalWidth="0" w:num="2">
            <w:col w:w="8620" w:space="720"/>
            <w:col w:w="1900"/>
          </w:cols>
          <w:pgMar w:left="320" w:top="117" w:right="339" w:bottom="1440" w:gutter="0" w:footer="0" w:header="0"/>
          <w:type w:val="continuous"/>
        </w:sectPr>
      </w:pP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COMMON SHARES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 assigns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March 3, 2021 and on or prior to 5:00 p.m. (New York City time) on September 3, 2026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CLPS Incorporation, a Cayman Islands exempt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Common Shares (as subject to adjustment hereunder, the</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common share, $0.0001 par value of the Company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under this Warrant shall be equal to the Exercise Price, as defined in Section 2(b).</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February 28, 2021, among the Company and the purchasers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49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xml:space="preserve">. Exercise of the purchase rights represented by this Warrant may be made, in whole or in part, at any time or times on or after the Initial Exercise Date and on or before the Termination Date by delivery to the Company of a duly executed facsimile copy or a PDF copy submitted by e-mail (or e-mail attachment) of the Notice of Exercise in the form annexed hereto (the “Notice of Exercise”).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by the Company.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ind w:left="660" w:firstLine="644"/>
        <w:spacing w:after="0" w:line="286" w:lineRule="auto"/>
        <w:tabs>
          <w:tab w:leader="none" w:pos="150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Shares under this Warrant shall be </w:t>
      </w:r>
      <w:r>
        <w:rPr>
          <w:rFonts w:ascii="Times New Roman" w:cs="Times New Roman" w:eastAsia="Times New Roman" w:hAnsi="Times New Roman"/>
          <w:sz w:val="18"/>
          <w:szCs w:val="18"/>
          <w:b w:val="1"/>
          <w:bCs w:val="1"/>
          <w:color w:val="auto"/>
        </w:rPr>
        <w:t>US$6.00</w:t>
      </w:r>
      <w:r>
        <w:rPr>
          <w:rFonts w:ascii="Times New Roman" w:cs="Times New Roman" w:eastAsia="Times New Roman" w:hAnsi="Times New Roman"/>
          <w:sz w:val="18"/>
          <w:szCs w:val="18"/>
          <w:color w:val="auto"/>
        </w:rPr>
        <w:t>, subject to adjustment hereunder (the “Exercise Price”).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any time after the six-month anniversary of the Closing Date, there is no effective registration statement registering, or no current prospectus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79" w:lineRule="exact"/>
        <w:rPr>
          <w:rFonts w:ascii="Times New Roman" w:cs="Times New Roman" w:eastAsia="Times New Roman" w:hAnsi="Times New Roman"/>
          <w:sz w:val="18"/>
          <w:szCs w:val="18"/>
          <w:color w:val="auto"/>
        </w:rPr>
      </w:pPr>
    </w:p>
    <w:p>
      <w:pPr>
        <w:jc w:val="right"/>
        <w:ind w:left="1360" w:hanging="556"/>
        <w:spacing w:after="0" w:line="253" w:lineRule="auto"/>
        <w:tabs>
          <w:tab w:leader="none" w:pos="11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Shares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w:t>
      </w:r>
    </w:p>
    <w:p>
      <w:pPr>
        <w:jc w:val="both"/>
        <w:ind w:left="1360" w:hanging="2"/>
        <w:spacing w:after="0" w:line="255" w:lineRule="auto"/>
        <w:tabs>
          <w:tab w:leader="none" w:pos="1681"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5" w:lineRule="exact"/>
        <w:rPr>
          <w:rFonts w:ascii="Times New Roman" w:cs="Times New Roman" w:eastAsia="Times New Roman" w:hAnsi="Times New Roman"/>
          <w:sz w:val="18"/>
          <w:szCs w:val="18"/>
          <w:color w:val="auto"/>
        </w:rPr>
      </w:pPr>
    </w:p>
    <w:p>
      <w:pPr>
        <w:ind w:left="1080" w:hanging="276"/>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360" w:hanging="556"/>
        <w:spacing w:after="0" w:line="282" w:lineRule="auto"/>
        <w:tabs>
          <w:tab w:leader="none" w:pos="110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Shares are then listed or quoted on a Trading Market, the bid price of the Common Shares for the time in question (or the nearest preceding date) on the Trading Market on which the Common Shares are then listed or quoted as reported by Bloomberg L.P. (based on a Trading Day from 9:30 a.m. (New York City time) to 4:02 p.m. (New York City time)), (b) if OTCQB or OTCQX is not a Trading Market, the volume weighted average price of the Common Shares for such date (or the nearest preceding date) on OTCQB or OTCQX as applicable, (c) if the Common Shares are not then listed or quoted for trading on OTCQB or OTCQX and if prices for the Common Shares are then reported on the Pink Open Market (or a similar organization or agency succeeding to its functions of reporting prices), the most recent bid price per share of the Common Shares so reported, or (d) in all other cases, the fair market value of one share of Common Shares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Shares are then listed or quoted on a Trading Market, the daily volume weighted average price of the Common Shares for such date (or the nearest preceding date) on the Trading Market on which the Common Shares are then listed or quoted as reported by Bloomberg L.P. (based on a Trading Day from 9:30 a.m. (New York City time) to 4:02 p.m. (New York City time)), (b) if OTCQB or OTCQX is not a Trading Market, the volume weighted average price of the Common Shares for such date (or the nearest preceding date) on OTCQB or OTCQX as applicable, (c) if the Common Shares are not then listed or quoted for trading on OTCQB or OTCQX and if prices for the Common Shares are then reported on the Pink Open Market (or a similar organization or agency succeeding to its functions of reporting prices), the most recent bid price per share of the Common Shares so reported, or (d) in all other cases, the fair market value of one share of Common Shares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this Warrant shall be automatically exercised via cashless exercise pursuant to this Section 2(c).</w:t>
      </w:r>
    </w:p>
    <w:p>
      <w:pPr>
        <w:spacing w:after="0" w:line="162" w:lineRule="exact"/>
        <w:rPr>
          <w:sz w:val="20"/>
          <w:szCs w:val="20"/>
          <w:color w:val="auto"/>
        </w:rPr>
      </w:pPr>
    </w:p>
    <w:p>
      <w:pPr>
        <w:ind w:left="1500" w:hanging="196"/>
        <w:spacing w:after="0"/>
        <w:tabs>
          <w:tab w:leader="none" w:pos="1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280" w:firstLine="482"/>
        <w:spacing w:after="0" w:line="251" w:lineRule="auto"/>
        <w:tabs>
          <w:tab w:leader="none" w:pos="290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entering in the Company’s register of members the name of the Holder or its designee as the holder of the number of Warrant Shares to which the Holder is entitled pursuant to such exercise and physical delivery of a certificate in respect of such Warrant Shares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Upon the delivery of the Notice of Exercise, the Holder shall be deemed for purposes of Regulation SHO to have become the holder of record of the Warrant Shares with respect to which this Warrant has been exercised, irrespective of the date of delivery of the Warrant Shares,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Shares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Shares as in effect on the date of delivery of the Notice of Exercise.</w:t>
      </w:r>
    </w:p>
    <w:p>
      <w:pPr>
        <w:spacing w:after="0" w:line="203" w:lineRule="exact"/>
        <w:rPr>
          <w:rFonts w:ascii="Times New Roman" w:cs="Times New Roman" w:eastAsia="Times New Roman" w:hAnsi="Times New Roman"/>
          <w:sz w:val="18"/>
          <w:szCs w:val="18"/>
          <w:color w:val="auto"/>
        </w:rPr>
      </w:pPr>
    </w:p>
    <w:p>
      <w:pPr>
        <w:jc w:val="both"/>
        <w:ind w:left="2280" w:firstLine="482"/>
        <w:spacing w:after="0" w:line="261" w:lineRule="auto"/>
        <w:tabs>
          <w:tab w:leader="none" w:pos="295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left="1160" w:firstLine="482"/>
        <w:spacing w:after="0" w:line="282" w:lineRule="auto"/>
        <w:tabs>
          <w:tab w:leader="none" w:pos="188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1160" w:firstLine="482"/>
        <w:spacing w:after="0" w:line="266" w:lineRule="auto"/>
        <w:tabs>
          <w:tab w:leader="none" w:pos="1878"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Warrant Shares Upon Exercise</w:t>
      </w:r>
      <w:r>
        <w:rPr>
          <w:rFonts w:ascii="Times New Roman" w:cs="Times New Roman" w:eastAsia="Times New Roman" w:hAnsi="Times New Roman"/>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Common Shares to deliver in satisfaction of a sale by the Holder of the Warrant Shares which the Holder anticipated receiving upon such exercise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(A) pay in cash to the Holder the amount, if any, by which (x) the Holder’s total purchase price (including brokerage commissions, if any) for the Common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Common Shares that would have been issued had the Company timely complied with its exercise and delivery obligations hereunder. For example, if the Holder purchases Common Shares having a total purchase price of $11,000 to cover a Buy-In with respect to an attempted exercise of Common Shares with an aggregate sale price giving rise to such purchase obligation of $10,000, under clause</w:t>
      </w:r>
    </w:p>
    <w:p>
      <w:pPr>
        <w:spacing w:after="0" w:line="8" w:lineRule="exact"/>
        <w:rPr>
          <w:rFonts w:ascii="Times New Roman" w:cs="Times New Roman" w:eastAsia="Times New Roman" w:hAnsi="Times New Roman"/>
          <w:sz w:val="17"/>
          <w:szCs w:val="17"/>
          <w:color w:val="auto"/>
        </w:rPr>
      </w:pPr>
    </w:p>
    <w:p>
      <w:pPr>
        <w:jc w:val="both"/>
        <w:ind w:left="1160" w:hanging="4"/>
        <w:spacing w:after="0" w:line="252" w:lineRule="auto"/>
        <w:tabs>
          <w:tab w:leader="none" w:pos="14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Common Shares upon exercise of the Warrant as required pursuant to the terms hereof.</w:t>
      </w:r>
    </w:p>
    <w:p>
      <w:pPr>
        <w:spacing w:after="0" w:line="189" w:lineRule="exact"/>
        <w:rPr>
          <w:rFonts w:ascii="Times New Roman" w:cs="Times New Roman" w:eastAsia="Times New Roman" w:hAnsi="Times New Roman"/>
          <w:sz w:val="18"/>
          <w:szCs w:val="18"/>
          <w:color w:val="auto"/>
        </w:rPr>
      </w:pPr>
    </w:p>
    <w:p>
      <w:pPr>
        <w:jc w:val="both"/>
        <w:ind w:left="1160" w:firstLine="482"/>
        <w:spacing w:after="0" w:line="261" w:lineRule="auto"/>
        <w:tabs>
          <w:tab w:leader="none" w:pos="18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1160" w:firstLine="482"/>
        <w:spacing w:after="0" w:line="253" w:lineRule="auto"/>
        <w:tabs>
          <w:tab w:leader="none" w:pos="188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1" w:name="page52"/>
    <w:bookmarkEnd w:id="51"/>
    <w:p>
      <w:pPr>
        <w:ind w:left="1620" w:firstLine="482"/>
        <w:spacing w:after="0" w:line="282" w:lineRule="auto"/>
        <w:tabs>
          <w:tab w:leader="none" w:pos="239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51" w:lineRule="auto"/>
        <w:tabs>
          <w:tab w:leader="none" w:pos="8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“Attribution Parties”)), would beneficially own in excess of the Beneficial Ownership Limitation (as defined below). For purposes of the foregoing sentence, the number of Common Shares beneficially owned by the Holder and its Affiliates and Attribution Parties shall include the number of Common Shares issuable upon exercise of this Warrant with respect to which such determination is being made, but shall exclude the number of Common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Shares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Common Shares, a Holder may rely on the number of outstanding Common Shares as reflected in (A) the Company’s most recent periodic or annual report filed with the Commission, as the case may be, (B) a more recent public announcement by the Company or (C) a more recent written notice by the Company or the Transfer Agent setting forth the number of Common Shares outstanding. Upon the written or oral request of a Holder, the Company shall within one (1) Trading Day confirm orally and in writing to the Holder the number of Common Shares then outstanding. In any case, the number of outstanding Common Shares shall be determined after giving effect to the conversion or exercise of securities of the Company, including this Warrant, by the Holder or its Affiliates or Attribution Parties since the date as of which such number of outstanding Common Shares was reported. The “Beneficial Ownership Limitation” shall be 4.99% of the number of Common Shares outstanding immediately after giving effect to the issuance of Common Shares issuable upon exercise of this Warrant. The Holder, upon notice to the Company, may increase or decrease the Beneficial Ownership Limitation provisions of this Section 2(e), provided that the Beneficial Ownership Limitation in no event exceeds 9.99% of the number of Common Shares outstanding immediately after giving effect to the issuance of Common Shares upon exercise of this Warrant held by the Holder and the provisions of this Section 2(e) shall continue to apply. Any increase in the</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0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its Common Shares or any other equity or equity equivalent securities payable in Common Shares (which, for avoidance of doubt, shall not include any Common Shares issued by the Company upon exercise of this Warrant), (ii) subdivides its outstanding Common Shares into a larger number of shares, (iii) combines (including by way of reverse stock split) its outstanding Common Shares into a smaller number of shares or (iv) issues by reclassification of its Common Shares any capital stock of the Company, then in each case the Exercise Price shall be multiplied by a fraction of which the numerator shall be the number of Common Shares (excluding treasury shares, if any) outstanding immediately before such event and of which the denominator shall be the number of Common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19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44"/>
        <w:spacing w:after="0" w:line="252" w:lineRule="auto"/>
        <w:tabs>
          <w:tab w:leader="none" w:pos="8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Shares Equivalents or rights to purchase stock, warrants, securities or other property pro rata to the record holders of any class of Common Shares (the “Purchase Rights”),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 To the extent that this Warrant has not been partially or completely exercised at the time of such grant, issuance or sale of the Purchase Rights, such Purchase Rights shall be held in abeyance for the benefit of the Holder until the Holder has exercised this Warrant; provided, however, that to the extent such Purchase Rights expire for the stockholders of the Company if not exercised, the Purchase Rights will also expire for the Holder as of such date.</w:t>
      </w:r>
    </w:p>
    <w:p>
      <w:pPr>
        <w:spacing w:after="0" w:line="195" w:lineRule="exact"/>
        <w:rPr>
          <w:rFonts w:ascii="Times New Roman" w:cs="Times New Roman" w:eastAsia="Times New Roman" w:hAnsi="Times New Roman"/>
          <w:sz w:val="18"/>
          <w:szCs w:val="18"/>
          <w:color w:val="auto"/>
        </w:rPr>
      </w:pPr>
    </w:p>
    <w:p>
      <w:pPr>
        <w:jc w:val="both"/>
        <w:ind w:firstLine="644"/>
        <w:spacing w:after="0" w:line="252" w:lineRule="auto"/>
        <w:tabs>
          <w:tab w:leader="none" w:pos="84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Common Shares, by way of return of capital or otherwise (including, without limitation, any distribution of cash, stock or other securities, property or options by way of a dividend, spin off, reclassification, corporate rearrangement, scheme of arrangement or other similar transaction) (a “Distribution”), at any time after the issuance of this Warrant, then, in each such case, the Holder shall be entitled to participate in such Distribution to the same extent that the Holder would have participated therein if the Holder had held the number of Common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Common Shares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3" w:name="page54"/>
    <w:bookmarkEnd w:id="53"/>
    <w:p>
      <w:pPr>
        <w:jc w:val="both"/>
        <w:ind w:left="-460" w:firstLine="644"/>
        <w:spacing w:after="0" w:line="251" w:lineRule="auto"/>
        <w:tabs>
          <w:tab w:leader="none" w:pos="3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Shares are permitted to sell, tender or exchange their shares for other securities, cash or property and has been accepted by the holders of fifty percent (50%) or more of the outstanding Common Shares, (iv) the Company, directly or indirectly, in one or more related transactions effects any reclassification, reorganization or recapitalization of the Common Shares or any compulsory share exchange pursuant to which the Common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fifty percent (50%) of the outstanding Common Shares (not including any Common Shares held by the other Person or other Persons making or party to, or associated or affiliated with the other Persons making or party to, such stock or share purchase agreement or other business combination)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Common Shares of the successor or acquiring corporation or of the Company, if it is the surviving corporation, and any additional consideration (the “Alternate Consideration”) receivable as a result of such Fundamental Transaction by a holder of the number of Common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Shares in such Fundamental Transaction, and the Company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“Successor Entity”)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Common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Common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4" w:name="page55"/>
    <w:bookmarkEnd w:id="54"/>
    <w:p>
      <w:pPr>
        <w:jc w:val="both"/>
        <w:ind w:left="-460" w:firstLine="644"/>
        <w:spacing w:after="0" w:line="266" w:lineRule="auto"/>
        <w:tabs>
          <w:tab w:leader="none" w:pos="35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Common Shares deemed to be issued and outstanding as of a given date shall be the sum of the number of Common Shares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60" w:firstLine="482"/>
        <w:spacing w:after="0" w:line="261" w:lineRule="auto"/>
        <w:tabs>
          <w:tab w:leader="none" w:pos="178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1160" w:firstLine="482"/>
        <w:spacing w:after="0" w:line="251" w:lineRule="auto"/>
        <w:tabs>
          <w:tab w:leader="none" w:pos="184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Shares, (B) the Company shall declare a special nonrecurring cash dividend on or a redemption of the Common Shares, (C) the Company shall authorize the granting to all holders of the Common Shares rights or warrants to subscribe for or purchase any shares of capital stock of any class or of any rights, (D) the approval of any shareholders of the Company shall be required in connection with any reclassification of the Common Shares, any consolidation or merger to which the Company is a party, any sale or transfer of all or substantially all of the assets of the Company, or any compulsory share exchange whereby the Common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Common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Common Shares of record shall be entitled to exchange their Common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of Foreign Private Issuer on Form 6-K.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3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and subject to Sections 2(a) and 2(d) (ii),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66" w:lineRule="auto"/>
        <w:tabs>
          <w:tab w:leader="none" w:pos="83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Shareholder Until Exercise</w:t>
      </w:r>
      <w:r>
        <w:rPr>
          <w:rFonts w:ascii="Times New Roman" w:cs="Times New Roman" w:eastAsia="Times New Roman" w:hAnsi="Times New Roman"/>
          <w:sz w:val="18"/>
          <w:szCs w:val="18"/>
          <w:color w:val="auto"/>
        </w:rPr>
        <w:t>. This Warrant does not entitle the Holder to any voting rights, dividends or other rights as a shareholder of the Company prior to the exercise hereof as set forth in Section 2(d)(i). Notwithstanding the foregoing, prior to the exercise of the Warrant, the Holder shall have all the rights as a Holder of the Warrant, including, without limitation, as set forth in Section 3.</w:t>
      </w:r>
    </w:p>
    <w:p>
      <w:pPr>
        <w:spacing w:after="0" w:line="175"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spacing w:after="0" w:line="3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6" w:name="page57"/>
    <w:bookmarkEnd w:id="56"/>
    <w:p>
      <w:pPr>
        <w:ind w:left="-460" w:right="20" w:firstLine="644"/>
        <w:spacing w:after="0" w:line="282" w:lineRule="auto"/>
        <w:tabs>
          <w:tab w:leader="none" w:pos="3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completing the issuance of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memorandum and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7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36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3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7" w:name="page58"/>
    <w:bookmarkEnd w:id="57"/>
    <w:p>
      <w:pPr>
        <w:ind w:right="20" w:firstLine="644"/>
        <w:spacing w:after="0" w:line="282" w:lineRule="auto"/>
        <w:tabs>
          <w:tab w:leader="none" w:pos="8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Shares or as a shareholder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any Holder from time to time of this Warrant and shall be enforceable by the Holder or a holder of Warrant Shares.</w:t>
      </w:r>
    </w:p>
    <w:p>
      <w:pPr>
        <w:spacing w:after="0" w:line="179"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w:t>
      </w:r>
    </w:p>
    <w:p>
      <w:pPr>
        <w:spacing w:after="0" w:line="206" w:lineRule="exact"/>
        <w:rPr>
          <w:rFonts w:ascii="Times New Roman" w:cs="Times New Roman" w:eastAsia="Times New Roman" w:hAnsi="Times New Roman"/>
          <w:sz w:val="18"/>
          <w:szCs w:val="18"/>
          <w:color w:val="auto"/>
        </w:rPr>
      </w:pPr>
    </w:p>
    <w:p>
      <w:pPr>
        <w:jc w:val="both"/>
        <w:ind w:firstLine="644"/>
        <w:spacing w:after="0" w:line="266" w:lineRule="auto"/>
        <w:tabs>
          <w:tab w:leader="none" w:pos="89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right="20" w:firstLine="644"/>
        <w:spacing w:after="0" w:line="282" w:lineRule="auto"/>
        <w:tabs>
          <w:tab w:leader="none" w:pos="8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8" w:name="page59"/>
    <w:bookmarkEnd w:id="58"/>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CLPS INCORPORATION</w:t>
      </w:r>
    </w:p>
    <w:p>
      <w:pPr>
        <w:spacing w:after="0" w:line="225" w:lineRule="exact"/>
        <w:rPr>
          <w:sz w:val="20"/>
          <w:szCs w:val="20"/>
          <w:color w:val="auto"/>
        </w:rPr>
      </w:pPr>
    </w:p>
    <w:p>
      <w:pPr>
        <w:ind w:firstLine="1304"/>
        <w:spacing w:after="0" w:line="282" w:lineRule="auto"/>
        <w:tabs>
          <w:tab w:leader="none" w:pos="156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5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6" w:lineRule="auto"/>
        <w:tabs>
          <w:tab w:leader="none" w:pos="2181" w:val="left"/>
        </w:tabs>
        <w:numPr>
          <w:ilvl w:val="1"/>
          <w:numId w:val="5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ind w:left="47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 assign the foregoing Warrant, execute this form and supply required information. Do not use this form to purchase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(Please Print)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 ],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405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 Placement of CLPS Incorporation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undersigned, a holder of securities of CLPS Incorporation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understands that you are the placement agent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named in the letter of engagement (the “</w:t>
      </w:r>
      <w:r>
        <w:rPr>
          <w:rFonts w:ascii="Times New Roman" w:cs="Times New Roman" w:eastAsia="Times New Roman" w:hAnsi="Times New Roman"/>
          <w:sz w:val="18"/>
          <w:szCs w:val="18"/>
          <w:b w:val="1"/>
          <w:bCs w:val="1"/>
          <w:color w:val="auto"/>
        </w:rPr>
        <w:t>Letter of Engagement</w:t>
      </w:r>
      <w:r>
        <w:rPr>
          <w:rFonts w:ascii="Times New Roman" w:cs="Times New Roman" w:eastAsia="Times New Roman" w:hAnsi="Times New Roman"/>
          <w:sz w:val="18"/>
          <w:szCs w:val="18"/>
          <w:color w:val="auto"/>
        </w:rPr>
        <w:t>”) entered into by the Placement Agent and the Company on February 23,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for the placement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of (i) Shares pursuant to a registration statement and related prospectuses and supplements thereto filed or to be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(ii) Warrants (together with the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pursuant to an exemption from the registration requirements of Section 5 of the Securities Act contained in Section 4(a)(2) thereof and/or Regulation D. Capitalized terms used herein and not otherwise defined shall have the meanings set forth for them in the Letter of Engagement.</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consideration of the Placement Agent’s agreement to enter into the Letter of Engagement and to proceed with the Placement of the Securities, and for other good and valuable consideration, receipt of which is hereby acknowledged, the undersigned hereby agrees, for the benefit of the Company, the Placement Agent that, without the prior written consent of the Placement Agent, the undersigned will not, during the period specified in the following paragraph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directly or indirectly, unless otherwise provided herein, (a) offer, sell, agree to offer or sell, solicit offers to purchase, convert, exercise, exchange, grant any call option or purchase any put option with respect to, pledge, encumber, assign, borrow or otherwise dispose of or transfer (each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any Relevant Security (as defined below) or otherwise publicly disclose the intention to do so, or (b) establish or increase any “put equivalent position” or liquidate or decrease any “call equivalent position” (in each case within the meaning of Section 16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and regulations thereunder) with respect to any Relevant Security or otherwise enter into any swap, derivative or other transaction or arrangement that Transfers to another, in whole or in part, any economic consequence of ownership of a Relevant Security, whether or not such transaction is to be settled by the delivery of Relevant Securities, other securities, cash or other consideration, or otherwise publicly disclose the intention to do so. As used herein, the term “</w:t>
      </w:r>
      <w:r>
        <w:rPr>
          <w:rFonts w:ascii="Times New Roman" w:cs="Times New Roman" w:eastAsia="Times New Roman" w:hAnsi="Times New Roman"/>
          <w:sz w:val="18"/>
          <w:szCs w:val="18"/>
          <w:b w:val="1"/>
          <w:bCs w:val="1"/>
          <w:color w:val="auto"/>
        </w:rPr>
        <w:t>Relevant Security</w:t>
      </w:r>
      <w:r>
        <w:rPr>
          <w:rFonts w:ascii="Times New Roman" w:cs="Times New Roman" w:eastAsia="Times New Roman" w:hAnsi="Times New Roman"/>
          <w:sz w:val="18"/>
          <w:szCs w:val="18"/>
          <w:color w:val="auto"/>
        </w:rPr>
        <w:t>” means any Share, warrant to purchase Shares or any other security of the Company or any other entity that is convertible into, or exercisable or exchangeable for, Shares or any other equity security of the Company, in each case owned beneficially or otherwise by the undersigned on the date set forth on the front cover of the Registration Statement used in connection with the Placement of the Securities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or acquired by the undersigned during the Lock-Up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Lock-Up Period will commence on the date of this Lock-up Agreement and continue and include the date that is sixty (60) days after the closing of the Placement.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undersigned further agrees that, without the prior written consent of the Placement Agent, during the Lock-Up Period the undersigned will not: (i) file or participate in the filing with the SEC of any registration statement or circulate or participate in the circulation of any preliminary or final prospectus or other disclosure document, in each case with respect to any proposed offering or sale of a Relevant Security, or (ii) exercise any rights the undersigned may have to require registration with the SEC of any proposed offering or sale of a Relevant Security.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if: (i) the Company issues an earnings release or material news or a material event relating to the Company occurs during the last seventeen (17) days of the Lock-Up Period, or (ii) prior to the expiration of the Lock-Up Period, the Company announces that it will release earnings results during the sixteen (16)-day period beginning on the last day of the Lock-Up Period, then the restrictions imposed by this Lock-Up Agreement shall continue to apply until the expiration of the eighteen (18)-day period beginning on the issuance of the earnings release or the occurrence of the material news or material event (the “</w:t>
      </w:r>
      <w:r>
        <w:rPr>
          <w:rFonts w:ascii="Times New Roman" w:cs="Times New Roman" w:eastAsia="Times New Roman" w:hAnsi="Times New Roman"/>
          <w:sz w:val="18"/>
          <w:szCs w:val="18"/>
          <w:b w:val="1"/>
          <w:bCs w:val="1"/>
          <w:color w:val="auto"/>
        </w:rPr>
        <w:t>Extension Period</w:t>
      </w:r>
      <w:r>
        <w:rPr>
          <w:rFonts w:ascii="Times New Roman" w:cs="Times New Roman" w:eastAsia="Times New Roman" w:hAnsi="Times New Roman"/>
          <w:sz w:val="18"/>
          <w:szCs w:val="18"/>
          <w:color w:val="auto"/>
        </w:rPr>
        <w:t>”). However, for purposes of clarity, only one Extension Period may occur.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furtherance of the undersigned’s obligations hereunder, the undersigned hereby authorizes the Company during the Lock-Up Period to cause any transfer agent for the Relevant Securities to decline to transfer, and to note stop transfer restrictions on the stock register and other records relating to, Relevant Securities for which the undersigned is the record owner and the transfer of which would be a violation of this Lock-Up Agreement and, in the case of Relevant Securities for which the undersigned is the beneficial but not the record owner, agrees that during the Lock-Up Period it will cause the record owner to cause the relevant transfer agent to decline to transfer, and to note stop transfer restrictions on the stock register and other records relating to, such Relevant Securities to the extent such transfer would be a violation of this Lock-Up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undersigned may transfer the undersigned’s Relevant Securities:</w:t>
      </w:r>
    </w:p>
    <w:p>
      <w:pPr>
        <w:spacing w:after="0" w:line="223"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a member of members of the immediate family of the undersigned,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(1) to another corporation, partnership, limited liability company, trust or other business entity that is a direct or indirect affiliate (as defined in Rule 405 under the Securities Act of 1933) of the undersigned, (2) to limited partners, limited liability company members or stockholders of the undersigned, or (3) in connection with a sale, merger or transfer of all or substantially all of the assets of the undersigned or any other change of control of the undersigned, not undertaken for the purpose of avoiding the restrictions imposed by this Lock-Up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trust, to the beneficiary of such trust,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testate or intestate succession,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or in connection with a divorce settlement,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Letter of Engagement;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in the case of clauses (i)-(vi), that (A) such transfer shall not involve a disposition for value, (B) the transferee agrees in writing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Agent and the Company to be bound by the terms of this Lock-Up Agreement, and (C) such transfer would not require any filing under Section 16(a) of the Exchange Act and no such filing is voluntarily made.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Lock-Up Agreement, “immediate family” shall mean any relationship by blood, marriage or adoption, not more remote than first cousin.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Lock-Up Agreement and that this Lock-Up Agreement has been duly authorized (if the undersigned is not a natural person) and constitutes the legal, valid and binding obligation of the undersigned, enforceable in accordance with its terms. Upon request, the undersigned will execute any additional documents necessary in connection with the enforcement hereof. Any obligations of the undersigned shall be binding upon the successors and assigns of the undersigned from the date of this Lock-Up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if the Letter of Engagement does not become effective, or if the Letter of Engagement (other than the provisions thereof which survive termination) shall terminate or be terminated prior to payment for and delivery of the Securities to be sold thereunder, the undersigned shall be released from all obligations under this Lock-Up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understands that the Placement Agent entered into the Letter of Engagement and is proceeding with the Placement in reliance upon this Lock-Up Agreement.</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Lock-Up Agreement shall be governed by and construed in accordance with the laws of the State of New York, without regard to the conflict of laws principles thereof. Delivery of a signed copy of this Lock-Up Agreement by facsimile or e-mail/.pdf transmission shall be effective as the delivery of the original hereof.</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(printed):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(if applicable):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Entity (if applicable):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 Announces Pricing of Approximately $16.0 Million Registered Direct Offering Priced At-The-Market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HONG KONG, March 1, 2021 /PRNewswire/ — CLPS Incorporation (Nasdaq: CLPS) ("CLPS" or "the Company"), announced today that it has entered into a securities purchase agreement on February 28, 2021 with certain accredited investors to purchase approximately $16.0 million worth of its common stock and warrants in a registered direct offering priced at-the-market under Nasdaq rules.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securities purchase agreement, the Company has agreed to sell 2,666,666 shares of the Company’s common stock and issue unregistered warrants to purchase up to an additional 2,666,666 shares of common stock in a concurrent private placement transaction. The warrants will be exercisable immediately upon the date of issuance and have an exercise price of $6.00. The warrants will expire 5.5 years from the date of issuance. The purchase price for one share of common stock and one corresponding warrant will be $6.00. The gross proceeds to the Company from the registered direct offering are estimated to be approximately $16.0 million before deducting the placement agent’s fees and other estimated offering expenses. The registered direct offering is expected to close on or about March 3, 2021, subject to the satisfaction of customary closing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 Group LLC is acting as sole placement agent in connection with this offering.</w:t>
      </w:r>
    </w:p>
    <w:p>
      <w:pPr>
        <w:spacing w:after="0" w:line="22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securities described above are being offered by the Company pursuant to a shelf registration statement on Form F-3 (File No.: 333-231812) filed with the Securities and Exchange Commission (the “SEC”) dated May 29, 2019, as amended, and declared effective on June 20, 2019. A prospectus supplement related to the offering will be, filed with the SEC and available on the SEC’s website at http://www.sec.gov. Copies of the prospectus supplement relating to</w:t>
      </w:r>
    </w:p>
    <w:p>
      <w:pPr>
        <w:spacing w:after="0" w:line="2"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the offering may be obtained, when available, by contacting: Maxim Group LLC, 405 Lexington Avenue,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 New York, NY 10174, by telephone: at (212) 895-3500.</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About CLPS Incorporation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Headquartered in Hong Kong, CLPS Incorporation (the “Company”) (Nasdaq: CLPS) is a global leading information technology (“IT”) consulting and solutions service provider focusing on the banking, insurance, and financial service sectors. The Company serves as an IT solutions provider to a growing network of clients in the global financial service industry, including large financial institutions in the US, Europe, Australia, Southeast Asia and Hong Kong SAR, and their PRC-based IT centers. The Company maintains 19 delivery and/or research &amp; development centers to serve different customers in various geographic locations. Mainland China centers are located in Shanghai, Beijing, Dalian, Tianjin, Baoding, Chengdu, Guangzhou, Shenzhen, Hangzhou, Suzhou, and Hainan. The remaining eight global centers are located in Hong Kong SAR, USA, UK, Japan, Singapore, Malaysia, Australia, and India. For further information regarding the Company, please visit: </w:t>
      </w:r>
      <w:r>
        <w:rPr>
          <w:rFonts w:ascii="Times New Roman" w:cs="Times New Roman" w:eastAsia="Times New Roman" w:hAnsi="Times New Roman"/>
          <w:sz w:val="18"/>
          <w:szCs w:val="18"/>
          <w:b w:val="1"/>
          <w:bCs w:val="1"/>
          <w:color w:val="auto"/>
        </w:rPr>
        <w:t>http://ir.clpsglobal.com/</w:t>
      </w:r>
      <w:r>
        <w:rPr>
          <w:rFonts w:ascii="Times New Roman" w:cs="Times New Roman" w:eastAsia="Times New Roman" w:hAnsi="Times New Roman"/>
          <w:sz w:val="18"/>
          <w:szCs w:val="18"/>
          <w:color w:val="auto"/>
        </w:rPr>
        <w:t xml:space="preserve">, or follow CLPS on </w:t>
      </w:r>
      <w:r>
        <w:rPr>
          <w:rFonts w:ascii="Times New Roman" w:cs="Times New Roman" w:eastAsia="Times New Roman" w:hAnsi="Times New Roman"/>
          <w:sz w:val="18"/>
          <w:szCs w:val="18"/>
          <w:b w:val="1"/>
          <w:bCs w:val="1"/>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Twitter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Known and unknown risks, uncertainties and other factors, which may be beyond the Company’s control, may cause the actual results and performance of the Company to be materially different from such forward-looking statements. All such statements attributable to us are expressly qualified in their entirety by this cautionary notice, including, without limitation, those risks and uncertainties related to the Company’s expectations of the Company’s future growth, performance and results of operations, the Company’s ability to capitalize on various commercial, M&amp;A, technology and other related opportunities and initiatives, as well as the risks and uncertainties described in the Company’s most recently filed SEC reports and filings. Such reports are available upon request from the Company, or from the Securities and Exchange Commission, including through the SEC’s Internet website at </w:t>
      </w:r>
      <w:r>
        <w:rPr>
          <w:rFonts w:ascii="Times New Roman" w:cs="Times New Roman" w:eastAsia="Times New Roman" w:hAnsi="Times New Roman"/>
          <w:sz w:val="18"/>
          <w:szCs w:val="18"/>
          <w:b w:val="1"/>
          <w:bCs w:val="1"/>
          <w:color w:val="auto"/>
        </w:rPr>
        <w:t>http://www.sec.gov</w:t>
      </w:r>
      <w:r>
        <w:rPr>
          <w:rFonts w:ascii="Times New Roman" w:cs="Times New Roman" w:eastAsia="Times New Roman" w:hAnsi="Times New Roman"/>
          <w:sz w:val="18"/>
          <w:szCs w:val="18"/>
          <w:color w:val="auto"/>
        </w:rPr>
        <w:t>. We have no obligation and do not undertake to update, revise or correct any of the forward-looking statements after the date hereof, or after the respective dates on which any such statements otherwise are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Rhon Galicha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+86-182-2192-5378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b w:val="1"/>
          <w:bCs w:val="1"/>
          <w:color w:val="auto"/>
        </w:rPr>
        <w:t>ir@clpsglobal.com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lowerLetter"/>
      <w:start w:val="1"/>
    </w:lvl>
    <w:lvl w:ilvl="1">
      <w:lvlJc w:val="left"/>
      <w:lvlText w:val="(%2)"/>
      <w:numFmt w:val="upperLetter"/>
      <w:start w:val="2"/>
    </w:lvl>
  </w:abstractNum>
  <w:abstractNum w:abstractNumId="2">
    <w:nsid w:val="6CEAF087"/>
    <w:multiLevelType w:val="hybridMultilevel"/>
    <w:lvl w:ilvl="0">
      <w:lvlJc w:val="left"/>
      <w:lvlText w:val="(%1)"/>
      <w:numFmt w:val="lowerLetter"/>
      <w:start w:val="2"/>
    </w:lvl>
    <w:lvl w:ilvl="1">
      <w:lvlJc w:val="left"/>
      <w:lvlText w:val="%2"/>
      <w:numFmt w:val="upperLetter"/>
      <w:start w:val="1"/>
    </w:lvl>
  </w:abstractNum>
  <w:abstractNum w:abstractNumId="3">
    <w:nsid w:val="22221A70"/>
    <w:multiLevelType w:val="hybridMultilevel"/>
    <w:lvl w:ilvl="0">
      <w:lvlJc w:val="left"/>
      <w:lvlText w:val="(%1)"/>
      <w:numFmt w:val="upperLetter"/>
      <w:start w:val="1"/>
    </w:lvl>
  </w:abstractNum>
  <w:abstractNum w:abstractNumId="4">
    <w:nsid w:val="4516DDE9"/>
    <w:multiLevelType w:val="hybridMultilevel"/>
    <w:lvl w:ilvl="0">
      <w:lvlJc w:val="left"/>
      <w:lvlText w:val="(%1)"/>
      <w:numFmt w:val="upperLetter"/>
      <w:start w:val="3"/>
    </w:lvl>
  </w:abstractNum>
  <w:abstractNum w:abstractNumId="5">
    <w:nsid w:val="3006C83E"/>
    <w:multiLevelType w:val="hybridMultilevel"/>
    <w:lvl w:ilvl="0">
      <w:lvlJc w:val="left"/>
      <w:lvlText w:val="(%1)"/>
      <w:numFmt w:val="lowerLetter"/>
      <w:start w:val="1"/>
    </w:lvl>
  </w:abstractNum>
  <w:abstractNum w:abstractNumId="6">
    <w:nsid w:val="614FD4A1"/>
    <w:multiLevelType w:val="hybridMultilevel"/>
    <w:lvl w:ilvl="0">
      <w:lvlJc w:val="left"/>
      <w:lvlText w:val="(%1)"/>
      <w:numFmt w:val="upperLetter"/>
      <w:start w:val="1"/>
    </w:lvl>
  </w:abstractNum>
  <w:abstractNum w:abstractNumId="7">
    <w:nsid w:val="419AC241"/>
    <w:multiLevelType w:val="hybridMultilevel"/>
    <w:lvl w:ilvl="0">
      <w:lvlJc w:val="left"/>
      <w:lvlText w:val="(%1)"/>
      <w:numFmt w:val="upperLetter"/>
      <w:start w:val="5"/>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upperLetter"/>
      <w:start w:val="10"/>
    </w:lvl>
  </w:abstractNum>
  <w:abstractNum w:abstractNumId="10">
    <w:nsid w:val="5072367"/>
    <w:multiLevelType w:val="hybridMultilevel"/>
    <w:lvl w:ilvl="0">
      <w:lvlJc w:val="left"/>
      <w:lvlText w:val="(%1)"/>
      <w:numFmt w:val="lowerRoman"/>
      <w:start w:val="1"/>
    </w:lvl>
  </w:abstractNum>
  <w:abstractNum w:abstractNumId="11">
    <w:nsid w:val="3804823E"/>
    <w:multiLevelType w:val="hybridMultilevel"/>
    <w:lvl w:ilvl="0">
      <w:lvlJc w:val="left"/>
      <w:lvlText w:val="(%1)"/>
      <w:numFmt w:val="lowerRoman"/>
      <w:start w:val="3"/>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lowerLetter"/>
      <w:start w:val="1"/>
    </w:lvl>
    <w:lvl w:ilvl="1">
      <w:lvlJc w:val="left"/>
      <w:lvlText w:val="(%2)"/>
      <w:numFmt w:val="lowerRoman"/>
      <w:start w:val="1"/>
    </w:lvl>
  </w:abstractNum>
  <w:abstractNum w:abstractNumId="14">
    <w:nsid w:val="5C482A97"/>
    <w:multiLevelType w:val="hybridMultilevel"/>
    <w:lvl w:ilvl="0">
      <w:lvlJc w:val="left"/>
      <w:lvlText w:val="(%1)"/>
      <w:numFmt w:val="lowerLetter"/>
      <w:start w:val="2"/>
    </w:lvl>
    <w:lvl w:ilvl="1">
      <w:lvlJc w:val="left"/>
      <w:lvlText w:val="(%2)"/>
      <w:numFmt w:val="lowerRoman"/>
      <w:start w:val="1"/>
    </w:lvl>
  </w:abstractNum>
  <w:abstractNum w:abstractNumId="15">
    <w:nsid w:val="2463B9EA"/>
    <w:multiLevelType w:val="hybridMultilevel"/>
    <w:lvl w:ilvl="0">
      <w:lvlJc w:val="left"/>
      <w:lvlText w:val="(%1)"/>
      <w:numFmt w:val="lowerLetter"/>
      <w:start w:val="3"/>
    </w:lvl>
    <w:lvl w:ilvl="1">
      <w:lvlJc w:val="left"/>
      <w:lvlText w:val="(%2)"/>
      <w:numFmt w:val="lowerRoman"/>
      <w:start w:val="1"/>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1)"/>
      <w:numFmt w:val="lowerLetter"/>
      <w:start w:val="2"/>
    </w:lvl>
  </w:abstractNum>
  <w:abstractNum w:abstractNumId="18">
    <w:nsid w:val="2D517796"/>
    <w:multiLevelType w:val="hybridMultilevel"/>
    <w:lvl w:ilvl="0">
      <w:lvlJc w:val="left"/>
      <w:lvlText w:val="(%1)"/>
      <w:numFmt w:val="lowerLetter"/>
      <w:start w:val="6"/>
    </w:lvl>
  </w:abstractNum>
  <w:abstractNum w:abstractNumId="19">
    <w:nsid w:val="580BD78F"/>
    <w:multiLevelType w:val="hybridMultilevel"/>
    <w:lvl w:ilvl="0">
      <w:lvlJc w:val="left"/>
      <w:lvlText w:val="%1"/>
      <w:numFmt w:val="lowerLetter"/>
      <w:start w:val="1"/>
    </w:lvl>
    <w:lvl w:ilvl="1">
      <w:lvlJc w:val="left"/>
      <w:lvlText w:val="(%2)"/>
      <w:numFmt w:val="lowerLetter"/>
      <w:start w:val="8"/>
    </w:lvl>
  </w:abstractNum>
  <w:abstractNum w:abstractNumId="20">
    <w:nsid w:val="153EA438"/>
    <w:multiLevelType w:val="hybridMultilevel"/>
    <w:lvl w:ilvl="0">
      <w:lvlJc w:val="left"/>
      <w:lvlText w:val="(%1)"/>
      <w:numFmt w:val="lowerLetter"/>
      <w:start w:val="24"/>
    </w:lvl>
    <w:lvl w:ilvl="1">
      <w:lvlJc w:val="left"/>
      <w:lvlText w:val="%2"/>
      <w:numFmt w:val="lowerLetter"/>
      <w:start w:val="1"/>
    </w:lvl>
  </w:abstractNum>
  <w:abstractNum w:abstractNumId="21">
    <w:nsid w:val="3855585C"/>
    <w:multiLevelType w:val="hybridMultilevel"/>
    <w:lvl w:ilvl="0">
      <w:lvlJc w:val="left"/>
      <w:lvlText w:val="(%1)"/>
      <w:numFmt w:val="lowerLetter"/>
      <w:start w:val="9"/>
    </w:lvl>
  </w:abstractNum>
  <w:abstractNum w:abstractNumId="22">
    <w:nsid w:val="70A64E2A"/>
    <w:multiLevelType w:val="hybridMultilevel"/>
    <w:lvl w:ilvl="0">
      <w:lvlJc w:val="left"/>
      <w:lvlText w:val="(%1)"/>
      <w:numFmt w:val="lowerLetter"/>
      <w:start w:val="12"/>
    </w:lvl>
  </w:abstractNum>
  <w:abstractNum w:abstractNumId="23">
    <w:nsid w:val="6A2342EC"/>
    <w:multiLevelType w:val="hybridMultilevel"/>
    <w:lvl w:ilvl="0">
      <w:lvlJc w:val="left"/>
      <w:lvlText w:val="(%1)"/>
      <w:numFmt w:val="lowerLetter"/>
      <w:start w:val="17"/>
    </w:lvl>
  </w:abstractNum>
  <w:abstractNum w:abstractNumId="24">
    <w:nsid w:val="2A487CB0"/>
    <w:multiLevelType w:val="hybridMultilevel"/>
    <w:lvl w:ilvl="0">
      <w:lvlJc w:val="left"/>
      <w:lvlText w:val="(%1)"/>
      <w:numFmt w:val="lowerLetter"/>
      <w:start w:val="24"/>
    </w:lvl>
  </w:abstractNum>
  <w:abstractNum w:abstractNumId="25">
    <w:nsid w:val="1D4ED43B"/>
    <w:multiLevelType w:val="hybridMultilevel"/>
    <w:lvl w:ilvl="0">
      <w:lvlJc w:val="left"/>
      <w:lvlText w:val="(%1)"/>
      <w:numFmt w:val="lowerLetter"/>
      <w:start w:val="27"/>
    </w:lvl>
  </w:abstractNum>
  <w:abstractNum w:abstractNumId="26">
    <w:nsid w:val="725A06FB"/>
    <w:multiLevelType w:val="hybridMultilevel"/>
    <w:lvl w:ilvl="0">
      <w:lvlJc w:val="left"/>
      <w:lvlText w:val="%1"/>
      <w:numFmt w:val="lowerRoman"/>
      <w:start w:val="1"/>
    </w:lvl>
    <w:lvl w:ilvl="1">
      <w:lvlJc w:val="left"/>
      <w:lvlText w:val="(%2)"/>
      <w:numFmt w:val="lowerLetter"/>
      <w:start w:val="31"/>
    </w:lvl>
  </w:abstractNum>
  <w:abstractNum w:abstractNumId="27">
    <w:nsid w:val="2CD89A32"/>
    <w:multiLevelType w:val="hybridMultilevel"/>
    <w:lvl w:ilvl="0">
      <w:lvlJc w:val="left"/>
      <w:lvlText w:val="(%1)"/>
      <w:numFmt w:val="lowerRoman"/>
      <w:start w:val="4"/>
    </w:lvl>
    <w:lvl w:ilvl="1">
      <w:lvlJc w:val="left"/>
      <w:lvlText w:val="(%2)"/>
      <w:numFmt w:val="lowerLetter"/>
      <w:start w:val="33"/>
    </w:lvl>
  </w:abstractNum>
  <w:abstractNum w:abstractNumId="28">
    <w:nsid w:val="57E4CCAF"/>
    <w:multiLevelType w:val="hybridMultilevel"/>
    <w:lvl w:ilvl="0">
      <w:lvlJc w:val="left"/>
      <w:lvlText w:val="(%1)"/>
      <w:numFmt w:val="lowerLetter"/>
      <w:start w:val="37"/>
    </w:lvl>
  </w:abstractNum>
  <w:abstractNum w:abstractNumId="29">
    <w:nsid w:val="7A6D8D3C"/>
    <w:multiLevelType w:val="hybridMultilevel"/>
    <w:lvl w:ilvl="0">
      <w:lvlJc w:val="left"/>
      <w:lvlText w:val="(%1)"/>
      <w:numFmt w:val="lowerLetter"/>
      <w:start w:val="42"/>
    </w:lvl>
  </w:abstractNum>
  <w:abstractNum w:abstractNumId="30">
    <w:nsid w:val="4B588F54"/>
    <w:multiLevelType w:val="hybridMultilevel"/>
    <w:lvl w:ilvl="0">
      <w:lvlJc w:val="left"/>
      <w:lvlText w:val="(%1)"/>
      <w:numFmt w:val="lowerLetter"/>
      <w:start w:val="48"/>
    </w:lvl>
  </w:abstractNum>
  <w:abstractNum w:abstractNumId="31">
    <w:nsid w:val="542289EC"/>
    <w:multiLevelType w:val="hybridMultilevel"/>
    <w:lvl w:ilvl="0">
      <w:lvlJc w:val="left"/>
      <w:lvlText w:val="(%1)"/>
      <w:numFmt w:val="lowerLetter"/>
      <w:start w:val="1"/>
    </w:lvl>
  </w:abstractNum>
  <w:abstractNum w:abstractNumId="32">
    <w:nsid w:val="6DE91B18"/>
    <w:multiLevelType w:val="hybridMultilevel"/>
    <w:lvl w:ilvl="0">
      <w:lvlJc w:val="left"/>
      <w:lvlText w:val="(%1)"/>
      <w:numFmt w:val="lowerLetter"/>
      <w:start w:val="3"/>
    </w:lvl>
  </w:abstractNum>
  <w:abstractNum w:abstractNumId="33">
    <w:nsid w:val="38437FDB"/>
    <w:multiLevelType w:val="hybridMultilevel"/>
    <w:lvl w:ilvl="0">
      <w:lvlJc w:val="left"/>
      <w:lvlText w:val="(%1)"/>
      <w:numFmt w:val="lowerLetter"/>
      <w:start w:val="1"/>
    </w:lvl>
  </w:abstractNum>
  <w:abstractNum w:abstractNumId="34">
    <w:nsid w:val="7644A45C"/>
    <w:multiLevelType w:val="hybridMultilevel"/>
    <w:lvl w:ilvl="0">
      <w:lvlJc w:val="left"/>
      <w:lvlText w:val="(%1)"/>
      <w:numFmt w:val="lowerLetter"/>
      <w:start w:val="3"/>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lowerLetter"/>
      <w:start w:val="2"/>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1)"/>
      <w:numFmt w:val="lowerLetter"/>
      <w:start w:val="3"/>
    </w:lvl>
  </w:abstractNum>
  <w:abstractNum w:abstractNumId="39">
    <w:nsid w:val="3DC240FB"/>
    <w:multiLevelType w:val="hybridMultilevel"/>
    <w:lvl w:ilvl="0">
      <w:lvlJc w:val="left"/>
      <w:lvlText w:val="(%1)"/>
      <w:numFmt w:val="lowerRoman"/>
      <w:start w:val="3"/>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3">
    <w:nsid w:val="12E685F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44">
    <w:nsid w:val="70C6A529"/>
    <w:multiLevelType w:val="hybridMultilevel"/>
    <w:lvl w:ilvl="0">
      <w:lvlJc w:val="left"/>
      <w:lvlText w:val="(%1)"/>
      <w:numFmt w:val="upperLetter"/>
      <w:start w:val="24"/>
    </w:lvl>
  </w:abstractNum>
  <w:abstractNum w:abstractNumId="45">
    <w:nsid w:val="520EEDD1"/>
    <w:multiLevelType w:val="hybridMultilevel"/>
    <w:lvl w:ilvl="0">
      <w:lvlJc w:val="left"/>
      <w:lvlText w:val="%1)"/>
      <w:numFmt w:val="lowerLetter"/>
      <w:start w:val="4"/>
    </w:lvl>
    <w:lvl w:ilvl="1">
      <w:lvlJc w:val="left"/>
      <w:lvlText w:val="%2."/>
      <w:numFmt w:val="lowerRoman"/>
      <w:start w:val="1"/>
    </w:lvl>
  </w:abstractNum>
  <w:abstractNum w:abstractNumId="46">
    <w:nsid w:val="374A3FE6"/>
    <w:multiLevelType w:val="hybridMultilevel"/>
    <w:lvl w:ilvl="0">
      <w:lvlJc w:val="left"/>
      <w:lvlText w:val="%1"/>
      <w:numFmt w:val="upperLetter"/>
      <w:start w:val="1"/>
    </w:lvl>
    <w:lvl w:ilvl="1">
      <w:lvlJc w:val="left"/>
      <w:lvlText w:val="%2."/>
      <w:numFmt w:val="lowerRoman"/>
      <w:start w:val="3"/>
    </w:lvl>
  </w:abstractNum>
  <w:abstractNum w:abstractNumId="47">
    <w:nsid w:val="4F4EF005"/>
    <w:multiLevelType w:val="hybridMultilevel"/>
    <w:lvl w:ilvl="0">
      <w:lvlJc w:val="left"/>
      <w:lvlText w:val="(%1)"/>
      <w:numFmt w:val="upperLetter"/>
      <w:start w:val="1"/>
    </w:lvl>
    <w:lvl w:ilvl="1">
      <w:lvlJc w:val="left"/>
      <w:lvlText w:val="%2."/>
      <w:numFmt w:val="lowerRoman"/>
      <w:start w:val="5"/>
    </w:lvl>
  </w:abstractNum>
  <w:abstractNum w:abstractNumId="48">
    <w:nsid w:val="23F9C13C"/>
    <w:multiLevelType w:val="hybridMultilevel"/>
    <w:lvl w:ilvl="0">
      <w:lvlJc w:val="left"/>
      <w:lvlText w:val="%1"/>
      <w:numFmt w:val="lowerLetter"/>
      <w:start w:val="1"/>
    </w:lvl>
    <w:lvl w:ilvl="1">
      <w:lvlJc w:val="left"/>
      <w:lvlText w:val="%2."/>
      <w:numFmt w:val="lowerRoman"/>
      <w:start w:val="7"/>
    </w:lvl>
  </w:abstractNum>
  <w:abstractNum w:abstractNumId="49">
    <w:nsid w:val="649BB77C"/>
    <w:multiLevelType w:val="hybridMultilevel"/>
    <w:lvl w:ilvl="0">
      <w:lvlJc w:val="left"/>
      <w:lvlText w:val="%1)"/>
      <w:numFmt w:val="lowerLetter"/>
      <w:start w:val="5"/>
    </w:lvl>
    <w:lvl w:ilvl="1">
      <w:lvlJc w:val="left"/>
      <w:lvlText w:val="%2"/>
      <w:numFmt w:val="lowerRoman"/>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5"/>
    </w:lvl>
  </w:abstractNum>
  <w:abstractNum w:abstractNumId="52">
    <w:nsid w:val="1CF10FD8"/>
    <w:multiLevelType w:val="hybridMultilevel"/>
    <w:lvl w:ilvl="0">
      <w:lvlJc w:val="left"/>
      <w:lvlText w:val="%1)"/>
      <w:numFmt w:val="lowerLetter"/>
      <w:start w:val="6"/>
    </w:lvl>
    <w:lvl w:ilvl="1">
      <w:lvlJc w:val="left"/>
      <w:lvlText w:val="%2."/>
      <w:numFmt w:val="lowerRoman"/>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3"/>
    </w:lvl>
  </w:abstractNum>
  <w:abstractNum w:abstractNumId="56">
    <w:nsid w:val="354FE9F9"/>
    <w:multiLevelType w:val="hybridMultilevel"/>
    <w:lvl w:ilvl="0">
      <w:lvlJc w:val="left"/>
      <w:lvlText w:val="%1)"/>
      <w:numFmt w:val="lowerLetter"/>
      <w:start w:val="5"/>
    </w:lvl>
  </w:abstractNum>
  <w:abstractNum w:abstractNumId="57">
    <w:nsid w:val="15B5AF5C"/>
    <w:multiLevelType w:val="hybridMultilevel"/>
    <w:lvl w:ilvl="0">
      <w:lvlJc w:val="left"/>
      <w:lvlText w:val="%1)"/>
      <w:numFmt w:val="lowerLetter"/>
      <w:start w:val="8"/>
    </w:lvl>
  </w:abstractNum>
  <w:abstractNum w:abstractNumId="58">
    <w:nsid w:val="741226BB"/>
    <w:multiLevelType w:val="hybridMultilevel"/>
    <w:lvl w:ilvl="0">
      <w:lvlJc w:val="left"/>
      <w:lvlText w:val="(%1)"/>
      <w:numFmt w:val="decimal"/>
      <w:start w:val="1"/>
    </w:lvl>
    <w:lvl w:ilvl="1">
      <w:lvlJc w:val="left"/>
      <w:lvlText w:val="☐"/>
      <w:numFmt w:val="bullet"/>
      <w:start w:val="1"/>
    </w:lvl>
  </w:abstractNum>
  <w:abstractNum w:abstractNumId="59">
    <w:nsid w:val="D34B6A8"/>
    <w:multiLevelType w:val="hybridMultilevel"/>
    <w:lvl w:ilvl="0">
      <w:lvlJc w:val="left"/>
      <w:lvlText w:val="(%1)"/>
      <w:numFmt w:val="lowerRoman"/>
      <w:start w:val="1"/>
    </w:lvl>
  </w:abstractNum>
  <w:abstractNum w:abstractNumId="60">
    <w:nsid w:val="10233C9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2021-03-01T08:15:08Z</dcterms:created>
  <dcterms:modified xsi:type="dcterms:W3CDTF">2021-03-01T08:15:08Z</dcterms:modified>
</cp:coreProperties>
</file>