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LIN MINGHUI RAYMOND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12/07/2017</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CLPS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CLPS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275" w:lineRule="auto"/>
        <w:rPr>
          <w:sz w:val="20"/>
          <w:szCs w:val="20"/>
          <w:color w:val="auto"/>
        </w:rPr>
      </w:pPr>
      <w:r>
        <w:rPr>
          <w:rFonts w:ascii="Times New Roman" w:cs="Times New Roman" w:eastAsia="Times New Roman" w:hAnsi="Times New Roman"/>
          <w:sz w:val="20"/>
          <w:szCs w:val="20"/>
          <w:color w:val="0000FF"/>
        </w:rPr>
        <w:t>FLAT D9/F BLOCK 1,NEW TOWN PLAZA PHASE 3</w:t>
      </w:r>
    </w:p>
    <w:p>
      <w:pPr>
        <w:spacing w:after="0" w:line="13" w:lineRule="exact"/>
        <w:rPr>
          <w:sz w:val="24"/>
          <w:szCs w:val="24"/>
          <w:color w:val="auto"/>
        </w:rPr>
      </w:pPr>
    </w:p>
    <w:p>
      <w:pPr>
        <w:ind w:left="140" w:right="1537"/>
        <w:spacing w:after="0" w:line="275" w:lineRule="auto"/>
        <w:rPr>
          <w:sz w:val="20"/>
          <w:szCs w:val="20"/>
          <w:color w:val="auto"/>
        </w:rPr>
      </w:pPr>
      <w:r>
        <w:rPr>
          <w:rFonts w:ascii="Times New Roman" w:cs="Times New Roman" w:eastAsia="Times New Roman" w:hAnsi="Times New Roman"/>
          <w:sz w:val="20"/>
          <w:szCs w:val="20"/>
          <w:color w:val="0000FF"/>
        </w:rPr>
        <w:t>2-8 SHATIN CENTRE STREET, SHATIN NT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F4</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43"/>
        <w:spacing w:after="0"/>
        <w:rPr>
          <w:sz w:val="20"/>
          <w:szCs w:val="20"/>
          <w:color w:val="auto"/>
        </w:rPr>
      </w:pPr>
      <w:r>
        <w:rPr>
          <w:rFonts w:ascii="Times New Roman" w:cs="Times New Roman" w:eastAsia="Times New Roman" w:hAnsi="Times New Roman"/>
          <w:sz w:val="20"/>
          <w:szCs w:val="20"/>
          <w:color w:val="0000FF"/>
        </w:rPr>
        <w:t>CEO and Director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6,999,996</w:t>
            </w:r>
          </w:p>
        </w:tc>
        <w:tc>
          <w:tcPr>
            <w:tcW w:w="10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1,632,872</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via Qinhui Ltd. Raymond Ming Hui Lin is the sole shareholder (through trustee structure) and sole director of Qinhui Ltd., and has sole voting and dispositive control over such securities.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/s/ Raymond Ming Hui Lin 04/02/2026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6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6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6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45517" TargetMode="External"/><Relationship Id="rId11" Type="http://schemas.openxmlformats.org/officeDocument/2006/relationships/hyperlink" Target="http://www.sec.gov/cgi-bin/browse-edgar?action=getcompany&amp;CIK=0001724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2026-04-02T05:43:15Z</dcterms:created>
  <dcterms:modified xsi:type="dcterms:W3CDTF">2026-04-02T05:43:15Z</dcterms:modified>
</cp:coreProperties>
</file>