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20"/>
        <w:spacing w:after="0"/>
        <w:rPr>
          <w:sz w:val="20"/>
          <w:szCs w:val="20"/>
          <w:color w:val="auto"/>
        </w:rPr>
      </w:pPr>
      <w:r>
        <w:rPr>
          <w:rFonts w:ascii="Times New Roman" w:cs="Times New Roman" w:eastAsia="Times New Roman" w:hAnsi="Times New Roman"/>
          <w:sz w:val="18"/>
          <w:szCs w:val="18"/>
          <w:b w:val="1"/>
          <w:bCs w:val="1"/>
          <w:color w:val="auto"/>
        </w:rPr>
        <w:t>Registration No. 333-237846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32"/>
          <w:szCs w:val="32"/>
          <w:b w:val="1"/>
          <w:bCs w:val="1"/>
          <w:color w:val="auto"/>
        </w:rPr>
        <w:t>POST-EFFECTIVE</w:t>
      </w:r>
    </w:p>
    <w:p>
      <w:pPr>
        <w:spacing w:after="0" w:line="21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32"/>
          <w:szCs w:val="32"/>
          <w:b w:val="1"/>
          <w:bCs w:val="1"/>
          <w:color w:val="auto"/>
        </w:rPr>
        <w:t>Amendment No. 1 to</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(Including registration of shares for resale by means of a reoffer prospectus)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58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83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5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8"/>
              </w:rPr>
              <w:t>c/o Unit 702, 7</w:t>
            </w:r>
            <w:r>
              <w:rPr>
                <w:rFonts w:ascii="Times New Roman" w:cs="Times New Roman" w:eastAsia="Times New Roman" w:hAnsi="Times New Roman"/>
                <w:sz w:val="29"/>
                <w:szCs w:val="29"/>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 Millennium City II</w:t>
            </w:r>
          </w:p>
        </w:tc>
        <w:tc>
          <w:tcPr>
            <w:tcW w:w="3580" w:type="dxa"/>
            <w:vAlign w:val="bottom"/>
          </w:tcPr>
          <w:p>
            <w:pPr>
              <w:spacing w:after="0"/>
              <w:rPr>
                <w:sz w:val="24"/>
                <w:szCs w:val="24"/>
                <w:color w:val="auto"/>
              </w:rPr>
            </w:pPr>
          </w:p>
        </w:tc>
      </w:tr>
      <w:tr>
        <w:trPr>
          <w:trHeight w:val="216"/>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378 Kwun Tong Road, Kwun Tong, Kowloon</w:t>
            </w:r>
          </w:p>
        </w:tc>
        <w:tc>
          <w:tcPr>
            <w:tcW w:w="3580" w:type="dxa"/>
            <w:vAlign w:val="bottom"/>
          </w:tcPr>
          <w:p>
            <w:pPr>
              <w:spacing w:after="0"/>
              <w:rPr>
                <w:sz w:val="18"/>
                <w:szCs w:val="18"/>
                <w:color w:val="auto"/>
              </w:rPr>
            </w:pPr>
          </w:p>
        </w:tc>
      </w:tr>
      <w:tr>
        <w:trPr>
          <w:trHeight w:val="220"/>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Hong Kong SAR</w:t>
            </w:r>
          </w:p>
        </w:tc>
        <w:tc>
          <w:tcPr>
            <w:tcW w:w="3580" w:type="dxa"/>
            <w:vAlign w:val="bottom"/>
          </w:tcPr>
          <w:p>
            <w:pPr>
              <w:spacing w:after="0"/>
              <w:rPr>
                <w:sz w:val="19"/>
                <w:szCs w:val="19"/>
                <w:color w:val="auto"/>
              </w:rPr>
            </w:pPr>
          </w:p>
        </w:tc>
      </w:tr>
      <w:tr>
        <w:trPr>
          <w:trHeight w:val="234"/>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3580" w:type="dxa"/>
            <w:vAlign w:val="bottom"/>
          </w:tcPr>
          <w:p>
            <w:pPr>
              <w:spacing w:after="0"/>
              <w:rPr>
                <w:sz w:val="20"/>
                <w:szCs w:val="20"/>
                <w:color w:val="auto"/>
              </w:rPr>
            </w:pPr>
          </w:p>
        </w:tc>
      </w:tr>
      <w:tr>
        <w:trPr>
          <w:trHeight w:val="410"/>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CLPS Incorporation 2020 Equity Incentive Plan</w:t>
            </w:r>
          </w:p>
        </w:tc>
        <w:tc>
          <w:tcPr>
            <w:tcW w:w="3580" w:type="dxa"/>
            <w:vAlign w:val="bottom"/>
          </w:tcPr>
          <w:p>
            <w:pPr>
              <w:spacing w:after="0"/>
              <w:rPr>
                <w:sz w:val="24"/>
                <w:szCs w:val="24"/>
                <w:color w:val="auto"/>
              </w:rPr>
            </w:pPr>
          </w:p>
        </w:tc>
      </w:tr>
      <w:tr>
        <w:trPr>
          <w:trHeight w:val="220"/>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(the “2020 Plan”)</w:t>
            </w:r>
          </w:p>
        </w:tc>
        <w:tc>
          <w:tcPr>
            <w:tcW w:w="3580" w:type="dxa"/>
            <w:vAlign w:val="bottom"/>
          </w:tcPr>
          <w:p>
            <w:pPr>
              <w:spacing w:after="0"/>
              <w:rPr>
                <w:sz w:val="19"/>
                <w:szCs w:val="19"/>
                <w:color w:val="auto"/>
              </w:rPr>
            </w:pPr>
          </w:p>
        </w:tc>
      </w:tr>
      <w:tr>
        <w:trPr>
          <w:trHeight w:val="234"/>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rPr>
              <w:t>(Full title of the plan)</w:t>
            </w:r>
          </w:p>
        </w:tc>
        <w:tc>
          <w:tcPr>
            <w:tcW w:w="3580" w:type="dxa"/>
            <w:vAlign w:val="bottom"/>
          </w:tcPr>
          <w:p>
            <w:pPr>
              <w:spacing w:after="0"/>
              <w:rPr>
                <w:sz w:val="20"/>
                <w:szCs w:val="20"/>
                <w:color w:val="auto"/>
              </w:rPr>
            </w:pPr>
          </w:p>
        </w:tc>
      </w:tr>
      <w:tr>
        <w:trPr>
          <w:trHeight w:val="413"/>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rPr>
              <w:t>Raymond Ming Hui Lin, Chief Executive Officer</w:t>
            </w:r>
          </w:p>
        </w:tc>
        <w:tc>
          <w:tcPr>
            <w:tcW w:w="3580" w:type="dxa"/>
            <w:vAlign w:val="bottom"/>
          </w:tcPr>
          <w:p>
            <w:pPr>
              <w:spacing w:after="0"/>
              <w:rPr>
                <w:sz w:val="24"/>
                <w:szCs w:val="24"/>
                <w:color w:val="auto"/>
              </w:rPr>
            </w:pPr>
          </w:p>
        </w:tc>
      </w:tr>
      <w:tr>
        <w:trPr>
          <w:trHeight w:val="253"/>
        </w:trPr>
        <w:tc>
          <w:tcPr>
            <w:tcW w:w="7660" w:type="dxa"/>
            <w:vAlign w:val="bottom"/>
            <w:gridSpan w:val="3"/>
          </w:tcPr>
          <w:p>
            <w:pPr>
              <w:jc w:val="center"/>
              <w:ind w:left="3490"/>
              <w:spacing w:after="0" w:line="252" w:lineRule="exact"/>
              <w:rPr>
                <w:sz w:val="20"/>
                <w:szCs w:val="20"/>
                <w:color w:val="auto"/>
              </w:rPr>
            </w:pPr>
            <w:r>
              <w:rPr>
                <w:rFonts w:ascii="Times New Roman" w:cs="Times New Roman" w:eastAsia="Times New Roman" w:hAnsi="Times New Roman"/>
                <w:sz w:val="18"/>
                <w:szCs w:val="18"/>
                <w:b w:val="1"/>
                <w:bCs w:val="1"/>
                <w:color w:val="auto"/>
                <w:w w:val="98"/>
              </w:rPr>
              <w:t>c/o Unit 702, 7</w:t>
            </w:r>
            <w:r>
              <w:rPr>
                <w:rFonts w:ascii="Times New Roman" w:cs="Times New Roman" w:eastAsia="Times New Roman" w:hAnsi="Times New Roman"/>
                <w:sz w:val="29"/>
                <w:szCs w:val="29"/>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 Millennium City II</w:t>
            </w:r>
          </w:p>
        </w:tc>
        <w:tc>
          <w:tcPr>
            <w:tcW w:w="3580" w:type="dxa"/>
            <w:vAlign w:val="bottom"/>
          </w:tcPr>
          <w:p>
            <w:pPr>
              <w:spacing w:after="0"/>
              <w:rPr>
                <w:sz w:val="21"/>
                <w:szCs w:val="21"/>
                <w:color w:val="auto"/>
              </w:rPr>
            </w:pPr>
          </w:p>
        </w:tc>
      </w:tr>
      <w:tr>
        <w:trPr>
          <w:trHeight w:val="216"/>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8"/>
              </w:rPr>
              <w:t>378 Kwun Tong RoadKwun Tong, Kowloon</w:t>
            </w:r>
          </w:p>
        </w:tc>
        <w:tc>
          <w:tcPr>
            <w:tcW w:w="3580" w:type="dxa"/>
            <w:vAlign w:val="bottom"/>
          </w:tcPr>
          <w:p>
            <w:pPr>
              <w:spacing w:after="0"/>
              <w:rPr>
                <w:sz w:val="18"/>
                <w:szCs w:val="18"/>
                <w:color w:val="auto"/>
              </w:rPr>
            </w:pPr>
          </w:p>
        </w:tc>
      </w:tr>
      <w:tr>
        <w:trPr>
          <w:trHeight w:val="216"/>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Hong Kong SAR</w:t>
            </w:r>
          </w:p>
        </w:tc>
        <w:tc>
          <w:tcPr>
            <w:tcW w:w="3580" w:type="dxa"/>
            <w:vAlign w:val="bottom"/>
          </w:tcPr>
          <w:p>
            <w:pPr>
              <w:spacing w:after="0"/>
              <w:rPr>
                <w:sz w:val="18"/>
                <w:szCs w:val="18"/>
                <w:color w:val="auto"/>
              </w:rPr>
            </w:pPr>
          </w:p>
        </w:tc>
      </w:tr>
      <w:tr>
        <w:trPr>
          <w:trHeight w:val="238"/>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Tel: +852 37073600</w:t>
            </w:r>
          </w:p>
        </w:tc>
        <w:tc>
          <w:tcPr>
            <w:tcW w:w="3580" w:type="dxa"/>
            <w:vAlign w:val="bottom"/>
          </w:tcPr>
          <w:p>
            <w:pPr>
              <w:spacing w:after="0"/>
              <w:rPr>
                <w:sz w:val="20"/>
                <w:szCs w:val="20"/>
                <w:color w:val="auto"/>
              </w:rPr>
            </w:pPr>
          </w:p>
        </w:tc>
      </w:tr>
      <w:tr>
        <w:trPr>
          <w:trHeight w:val="432"/>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color w:val="auto"/>
                <w:w w:val="98"/>
              </w:rPr>
              <w:t>With a copy to:</w:t>
            </w:r>
          </w:p>
        </w:tc>
        <w:tc>
          <w:tcPr>
            <w:tcW w:w="3580" w:type="dxa"/>
            <w:vAlign w:val="bottom"/>
          </w:tcPr>
          <w:p>
            <w:pPr>
              <w:spacing w:after="0"/>
              <w:rPr>
                <w:sz w:val="24"/>
                <w:szCs w:val="24"/>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Corporation Service Company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251 Little Falls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Wilmington, DE 19808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(800) 927-9800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Copies to:</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Tahra Wright,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Loeb &amp; Loeb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345 Park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(212) 407-4000</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14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1" w:lineRule="exact"/>
        <w:rPr>
          <w:sz w:val="24"/>
          <w:szCs w:val="24"/>
          <w:color w:val="auto"/>
        </w:rPr>
      </w:pPr>
    </w:p>
    <w:p>
      <w:pPr>
        <w:sectPr>
          <w:pgSz w:w="11900" w:h="16838" w:orient="portrait"/>
          <w:cols w:equalWidth="0" w:num="3">
            <w:col w:w="5020" w:space="720"/>
            <w:col w:w="1980" w:space="80"/>
            <w:col w:w="3440"/>
          </w:cols>
          <w:pgMar w:left="320" w:top="225" w:right="339" w:bottom="1440" w:gutter="0" w:footer="0" w:header="0"/>
          <w:type w:val="continuous"/>
        </w:sect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4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216"/>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Title of securities to be registered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to be</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offering</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registration</w:t>
            </w:r>
          </w:p>
        </w:tc>
        <w:tc>
          <w:tcPr>
            <w:tcW w:w="0" w:type="dxa"/>
            <w:vAlign w:val="bottom"/>
          </w:tcPr>
          <w:p>
            <w:pPr>
              <w:spacing w:after="0"/>
              <w:rPr>
                <w:sz w:val="1"/>
                <w:szCs w:val="1"/>
                <w:color w:val="auto"/>
              </w:rPr>
            </w:pPr>
          </w:p>
        </w:tc>
      </w:tr>
      <w:tr>
        <w:trPr>
          <w:trHeight w:val="245"/>
        </w:trPr>
        <w:tc>
          <w:tcPr>
            <w:tcW w:w="3220" w:type="dxa"/>
            <w:vAlign w:val="bottom"/>
            <w:tcBorders>
              <w:bottom w:val="single" w:sz="8" w:color="auto"/>
            </w:tcBorders>
            <w:vMerge w:val="continue"/>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registered(1)</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price(3)</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fee(2)(4)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par value $0.0001</w:t>
            </w:r>
          </w:p>
        </w:tc>
        <w:tc>
          <w:tcPr>
            <w:tcW w:w="41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11,011,663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22,243,559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2,887.21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Post-Effective Amendment No. 1 also covers any additional securities that may be offered or issued pursuant to the anti-dilution adjustment provisions of the CLPS Incorporation 2020 Equity Incentive Plan (the “2020 Plan”).</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and (h) under the Securities Act, at the time of the filing of the S-8, based on the average of the high and low selling prices of the Company’s common stock as reported on the Nasdaq Stock Market on April 23, 2020.</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11,011,663 shares having been registered that are reserved for future grants to be issued pursuant to the 2020 Plan.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Amendment No. 1 to the previously filed Registration Statement on Form S-8 is being filed by the Registrant in accordance with the requirements of Form S-8 under the Securities Act in order to add a reoffer prospectus prepared in accordance with the requirements of Part I of Form S-8 under the Securities Act with respect up to 11,011,663 shares issuable under the 2020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Registration Statement relates to two separate prospectuses.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10(a) Prospectus</w:t>
      </w:r>
      <w:r>
        <w:rPr>
          <w:rFonts w:ascii="Times New Roman" w:cs="Times New Roman" w:eastAsia="Times New Roman" w:hAnsi="Times New Roman"/>
          <w:sz w:val="18"/>
          <w:szCs w:val="18"/>
          <w:color w:val="auto"/>
        </w:rPr>
        <w:t>: Items 1 and 2, from this page, and the documents incorporated by reference pursuant to Part II, Item 3 of this prospectus, constitute a prospectus that meets the requirements of Section 10(a) of the Securities Act of 1933, as amended (the “Securities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Reoffer Prospectus</w:t>
      </w:r>
      <w:r>
        <w:rPr>
          <w:rFonts w:ascii="Times New Roman" w:cs="Times New Roman" w:eastAsia="Times New Roman" w:hAnsi="Times New Roman"/>
          <w:sz w:val="18"/>
          <w:szCs w:val="18"/>
          <w:color w:val="auto"/>
        </w:rPr>
        <w:t>: The material that follows Item 2, up to but not including Part II of this Registration Statement, of which the reoffer prospectus is a part, constitutes a “reoffer prospectus,” prepared in accordance with the requirements of Part I of Form S-8 under the Securities Act. Pursuant to Instruction C of Form S-8, the reoffer prospectus may be used for reoffers or resales of shares which are deemed to be “control securities” or “restricted securities” under the Securities Act that have been acquired by the selling stockholders named in the reoffer prospectus.</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Plan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Registrant Information and Employee Plan Annual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0" w:lineRule="exact"/>
        <w:rPr>
          <w:sz w:val="20"/>
          <w:szCs w:val="20"/>
          <w:color w:val="auto"/>
        </w:rPr>
      </w:pPr>
    </w:p>
    <w:p>
      <w:pPr>
        <w:jc w:val="both"/>
        <w:ind w:left="340" w:hanging="332"/>
        <w:spacing w:after="0" w:line="253"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containing the information specified in this Part I of Form S-8 (Plan Information and Registration Information and Employee Plan Annual Information) will be sent or given to recipients of the grants under the 2020 Plan adopted by the Board of Directors of the Company as specified by the Commission pursuant to Rule 428(b)(1) of the Securities Act of 1933, as amended (the “Securities Act”). Such documents are not required to be and are not filed with the Commission either as part of this Registration Statement or as prospectuses or prospectus supplements pursuant to Rule 424. These documents and the documents incorporated by reference in this Registration Statement pursuant to Item 3 of Part II hereof, taken together, constitute a prospectus that meets the requirements of Section 10(a) of the Securities Act. The Registrant will provide a written statement to participants advising them of the availability without charge, upon written or oral request, of the documents incorporated by reference in Item 3 of Part II hereof and including the statement in the preceding sentence. The written statement to all participants will indicate the availability without charge, upon written or oral request, of other documents required to be delivered pursuant to Rule 428(b), and will include the address and telephone number to which the request is to be directed.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REOFFER PROSPECTUS</w:t>
      </w:r>
    </w:p>
    <w:p>
      <w:pPr>
        <w:spacing w:after="0" w:line="2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11,011,663 Shares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reoffer prospectus relates to the sale of up to 11,011,663 shares that may be offered and resold from time to time by the selling stockholders identified in this prospectus for their own account. It is anticipated that the selling stockholders will offer shares for sale at prevailing prices on The NASDAQ Global Market on the date of sale. We will receive no part of the proceeds from sales made under this reoffer prospectus. The selling stockholders will bear all sales commissions and similar expenses. Any other expenses incurred by us in connection with the registration and offering and not borne by the selling stockholders will be borne by 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have been or will be issued pursuant to awards granted under the CLPS Incorporation 2020 Equity Incentive Plan (the “2020 Plan”). This reoffer prospectus has been prepared for the purposes of registering the shares under the Securities Act of 1933, as amended (the “Securities Act”) to allow for future sales by the selling stockholders on a continuous or delayed basis to the public without restriction.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and any brokers executing selling orders on its behalf may be deemed to be “underwriters” within the meaning of the Securities Act, in which event commissions received by such brokers may be deemed to be underwriting commissions under the Securities Act.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shares are quoted on The NASDAQ Global Market under the symbol “CLPS”. The last reported sale price of our shares on The NASDAQ Global Market on November 5, 2020 was $3.10 per share.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Investing in our shares involves risks. See “Risk Factors” on page 2 of this reoffer prospectus.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240" w:type="dxa"/>
            <w:vAlign w:val="bottom"/>
            <w:gridSpan w:val="3"/>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17"/>
                <w:szCs w:val="17"/>
                <w:color w:val="auto"/>
              </w:rPr>
            </w:pPr>
          </w:p>
        </w:tc>
      </w:tr>
      <w:tr>
        <w:trPr>
          <w:trHeight w:val="473"/>
        </w:trPr>
        <w:tc>
          <w:tcPr>
            <w:tcW w:w="4660" w:type="dxa"/>
            <w:vAlign w:val="bottom"/>
            <w:tcBorders>
              <w:bottom w:val="single" w:sz="8" w:color="CCEEFF"/>
            </w:tcBorders>
          </w:tcPr>
          <w:p>
            <w:pPr>
              <w:spacing w:after="0"/>
              <w:rPr>
                <w:sz w:val="24"/>
                <w:szCs w:val="24"/>
                <w:color w:val="auto"/>
              </w:rPr>
            </w:pPr>
          </w:p>
        </w:tc>
        <w:tc>
          <w:tcPr>
            <w:tcW w:w="1920" w:type="dxa"/>
            <w:vAlign w:val="bottom"/>
            <w:tcBorders>
              <w:top w:val="single" w:sz="8" w:color="auto"/>
              <w:bottom w:val="single" w:sz="8" w:color="CCEEFF"/>
            </w:tcBorders>
          </w:tcPr>
          <w:p>
            <w:pPr>
              <w:spacing w:after="0"/>
              <w:rPr>
                <w:sz w:val="24"/>
                <w:szCs w:val="24"/>
                <w:color w:val="auto"/>
              </w:rPr>
            </w:pPr>
          </w:p>
        </w:tc>
        <w:tc>
          <w:tcPr>
            <w:tcW w:w="36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02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Prospectus Summary</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240" w:type="dxa"/>
            <w:vAlign w:val="bottom"/>
            <w:gridSpan w:val="3"/>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Risk Factors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02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Cautionary Note Regarding Forward Looking Statements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0240" w:type="dxa"/>
            <w:vAlign w:val="bottom"/>
            <w:gridSpan w:val="3"/>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Use of Proceeds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02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Selling Stockholder</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0240" w:type="dxa"/>
            <w:vAlign w:val="bottom"/>
            <w:gridSpan w:val="3"/>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Plan of Distribution</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02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Legal Matters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240" w:type="dxa"/>
            <w:vAlign w:val="bottom"/>
            <w:gridSpan w:val="3"/>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Experts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2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Incorporation of Certain Documents by Reference</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240" w:type="dxa"/>
            <w:vAlign w:val="bottom"/>
            <w:gridSpan w:val="3"/>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Disclosure of Commission Position on Indemnification For Securities Act Liabilities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024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Available Information to You</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8"/>
          <w:szCs w:val="18"/>
          <w:color w:val="auto"/>
        </w:rPr>
        <w:t>NO PERSON HAS BEEN AUTHORIZED TO GIVE ANY INFORMATION OR TO MAKE ANY REPRESENTATIONS, OTHER THAN THOSE CONTAINED IN THIS PROSPECTUS, IN CONNECTION WITH THE OFFERING MADE HEREBY, AND, IF GIVEN OR MADE, SUCH INFORMATION OR REPRESENTATION MUST NOT BE RELIED UPON AS HAVING BEEN AUTHORIZED BY THE COMPANY OR ANY OTHER PERSON. NEITHER THE DELIVERY OF THIS PROSPECTUS NOR ANY SALE MADE HEREUNDER SHALL UNDER ANY CIRCUMSTANCES CREATE ANY IMPLICATION THAT THERE HAS BEEN NO CHANGE IN THE AFFAIRS OF THE COMPANY SINCE THE DATE HEREOF. THIS PROSPECTUS DOES NOT CONSTITUTE AN OFFER TO SELL OR A SOLICITATION OF AN OFFER TO BUY ANY SECURITIES OFFERED HEREBY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summary highlights information contained elsewhere in this prospectus. You should read the entire prospectus carefully, including the section entitled “Risk Factors” before deciding to invest in our shares. In this prospectus, unless otherwise noted, the “Company,” “we,” “us,” “our company” and “our” refer to CLPS Inc. (together with its subsidiaries and affiliated entities, except as the context indicates otherwise).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Company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global information technology (“IT”) consulting and solutions service provider focused on delivering services to global institutions in banking, insurance and financial sectors, both in China and globally. For more than 10 years, we have served as an IT solutions provider to a growing network of clients in the global financial industry, including large financial institutions in the US, Europe, Australia and Hong Kong and their PRC-based IT centers.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CLPS Incorporation was incorporated under the laws of the Cayman Islands on May 11, 2017. Since our inception, we have aimed to build one of the largest sales and service delivery platforms for IT services and solutions in China. The nature of the Company’s services is such that it provides a majority of services to its banking and credit card clients in order to build new or modify existing clients’ own proprietary systems. We are fully committed of providing digital transformation services with focus on financial technology in the banking, wealth management, e-commerce, and automotive industries, among others, through the utilization of innovative technology to achieve our client’s goals. We maintain 18 delivery and/or R&amp;D centers, of which ten are located in Mainland China (Shanghai, Beijing, Dalian, Tianjin, Baoding Chengdu, Guangzhou, Shenzhen, Hangzhou, and Suzhou) and eight are located globally (Hong Kong SAR, USA, UK, Japan, Singapore, Malaysia, Australia, and India.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By serving both Chinese and global clients on a common platform, we are able to leverage the shared resources, management, industry expertise and technological know-how to attract new business and remain cost competitive.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Information</w:t>
      </w:r>
    </w:p>
    <w:p>
      <w:pPr>
        <w:spacing w:after="0" w:line="23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Our principal executive office is located at Unit 702,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Millennium City II, 378 Kwun Tong Road, Kwun Tong, Kowloon, Hong Kong SAR. Our telephone number is +852 37073600. Our website is as follows www.clpsglobal.com. </w:t>
      </w:r>
      <w:r>
        <w:rPr>
          <w:rFonts w:ascii="Times New Roman" w:cs="Times New Roman" w:eastAsia="Times New Roman" w:hAnsi="Times New Roman"/>
          <w:sz w:val="18"/>
          <w:szCs w:val="18"/>
          <w:b w:val="1"/>
          <w:bCs w:val="1"/>
          <w:color w:val="auto"/>
        </w:rPr>
        <w:t>The information on our website is not part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filing.</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and current reports, including amendments to such reports, as soon as reasonably practicable after we electronically file such material with, or furnish such material to, the SEC. Information contained on our website is not incorporated by reference into this prospectus supplement or the accompanying prospectus, and you should not consider information contained on our website as part of this prospectus supplement or the accompanying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About This Offering</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offering relates to the resale by the selling stockholders of up to 11,011,663 shares. The selling stockholders have acquired or will acquire such shares pursuant to grants made pursuant to the 2020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shares involves a high degree of risk</w:t>
      </w:r>
      <w:r>
        <w:rPr>
          <w:rFonts w:ascii="Times New Roman" w:cs="Times New Roman" w:eastAsia="Times New Roman" w:hAnsi="Times New Roman"/>
          <w:sz w:val="18"/>
          <w:szCs w:val="18"/>
          <w:color w:val="auto"/>
        </w:rPr>
        <w:t>. Before making an investment decision, you should consider carefully the risks, uncertainties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factors described in our most recent Annual Report on Form 20-F, as supplemented and updated by subsequent reports that we have filed or will file with the SEC, which are incorporated by reference into this prospectus. Our business, affairs, prospects, assets, financial condition, results of operations and cash flows could be materially and adversely affected by these risks. For more information about our SEC filings, please see “Additional Information Available to You.”</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Section 27A of the Securities Act and Section 21E of the Securities Exchange Act of 1934, as amended (the “Exchange Act”), and we intend that such forward-looking statements be subject to the safe harbors created thereby. All statements, other than statements of historical fact, including statements regarding our strategy, future operations, future financial position, future revenues, projected costs, prospects, plans and objectives of management, are forward-looking statements. The words “anticipate,” “believe,” “continue,” “should,” “estimate,” “expect,” “intend,” “may,” “plan,” “project,” “will,” and similar expressions are intended to identify forward-looking statements, although not all forward-looking statements contain these identifying words.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and incorporated by reference in this prospectus that we believe could cause actual results or events to differ materially from the forward-looking statements that we make. See the section entitled “Risk Factors” herein for more information. You should consider these factors and other cautionary statements made in this prospectus and in the documents we incorporate by reference as being applicable to all related forward-looking statements wherever they appear in the prospectus and in the documents incorporated by reference. We do not assume any obligation to update any forward-looking statements, except as may be required under applicable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not receive any proceeds from the sale of shares offered by the selling stockholders.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prospectus relates to the offering by the selling stockholders of up to 11,011,663 shares. These shares have been or will be granted to the selling stockholders under the 2020 Plan.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table sets forth, based on information provided to us by the selling stockholders or known to us, the name of the selling stockholders, the nature of any position, office or other material relationship, if any, which the selling stockholders has had, within the past three years, with us or with any of our predecessors or affiliates, and the number of shares beneficially owned by the selling stockholder before this offering. The number of shares owned are those beneficially owned, as determined under the rules of the SEC, and the information is not necessarily indicative of beneficial ownership for any other purpose. Under these rules, beneficial ownership includes any shares as to which a person has sole or shared voting power or investment power and any shares which the person has the right to acquire within 60 days through the exercise of any option, warrant or right, through conversion of any security or pursuant to the automatic termination of a power of attorney or revocation of a trust, discretionary account or similar arrangement. The selling stockholders are not a broker-dealer or an affiliate of a broker-dealer.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assumed all shares reflected on the table will be sold from time to time in the offering covered by this prospectus. Because the selling stockholders may offer all or any portions of the shares listed in the table below, no estimate can be given as to the amount of those shares covered by this prospectus that will be held by the selling stockholders upon the termination of the offering. As of November 4, 2020, the Company had 16,093,248 shares outstanding.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Shares</w:t>
            </w:r>
          </w:p>
        </w:tc>
      </w:tr>
      <w:tr>
        <w:trPr>
          <w:trHeight w:val="216"/>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16"/>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r>
      <w:tr>
        <w:trPr>
          <w:trHeight w:val="245"/>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Stockholder/Office Held</w:t>
            </w:r>
          </w:p>
        </w:tc>
        <w:tc>
          <w:tcPr>
            <w:tcW w:w="18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Offering (1)</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Offering (1)</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r>
      <w:tr>
        <w:trPr>
          <w:trHeight w:val="216"/>
        </w:trPr>
        <w:tc>
          <w:tcPr>
            <w:tcW w:w="5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 Feng Yang, Chairman</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5,093,773(2)(6)</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5,343,773</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33.21</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Ming Hui Lin, CEO and Director</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5,414,595(3)(5)(6)</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5,664,595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35.21</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 Li, COO</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24,178(4)(5)</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124,178</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Rui Yang, Acting CFO</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17,793(4)(5)</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67,793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auto"/>
        </w:rPr>
        <w:t>(1). Beneficial ownership is determined in accordance with the rules of the SEC and includes voting or investment power with respect to the common shares or the power to receive the economic benefit of the common shares.</w:t>
      </w:r>
    </w:p>
    <w:p>
      <w:pPr>
        <w:spacing w:after="0" w:line="162" w:lineRule="exact"/>
        <w:rPr>
          <w:sz w:val="20"/>
          <w:szCs w:val="20"/>
          <w:color w:val="auto"/>
        </w:rPr>
      </w:pPr>
    </w:p>
    <w:p>
      <w:pPr>
        <w:jc w:val="both"/>
        <w:ind w:left="340" w:hanging="323"/>
        <w:spacing w:after="0" w:line="258" w:lineRule="auto"/>
        <w:rPr>
          <w:sz w:val="20"/>
          <w:szCs w:val="20"/>
          <w:color w:val="auto"/>
        </w:rPr>
      </w:pPr>
      <w:r>
        <w:rPr>
          <w:rFonts w:ascii="Times New Roman" w:cs="Times New Roman" w:eastAsia="Times New Roman" w:hAnsi="Times New Roman"/>
          <w:sz w:val="18"/>
          <w:szCs w:val="18"/>
          <w:color w:val="auto"/>
        </w:rPr>
        <w:t>(2). A British Virgin Islands corporation with the mailing address of c/o Ogier Global (BVI) Ltd., Ritter House, Wickhams Cay II, PO Box 3170, Road Town, Tortola, VG 1110, British Virgin Islands, with Xiao Feng Yang as its sole shareholder. As such, Mr. Yang is deemed to be the owner of all shares of the Company held by this entity. Also includes the vested portion of the restricted stock granted dated as of July 12, 2018. The total grant of 220,823 common shares to Mr. Yang vests in three equal installments, with the first installment vesting upon grant, and the second and third – on the first and second anniversary of the grant.</w:t>
      </w:r>
    </w:p>
    <w:p>
      <w:pPr>
        <w:spacing w:after="0" w:line="183" w:lineRule="exact"/>
        <w:rPr>
          <w:sz w:val="20"/>
          <w:szCs w:val="20"/>
          <w:color w:val="auto"/>
        </w:rPr>
      </w:pPr>
    </w:p>
    <w:p>
      <w:pPr>
        <w:jc w:val="both"/>
        <w:ind w:left="340" w:hanging="323"/>
        <w:spacing w:after="0" w:line="258" w:lineRule="auto"/>
        <w:rPr>
          <w:sz w:val="20"/>
          <w:szCs w:val="20"/>
          <w:color w:val="auto"/>
        </w:rPr>
      </w:pPr>
      <w:r>
        <w:rPr>
          <w:rFonts w:ascii="Times New Roman" w:cs="Times New Roman" w:eastAsia="Times New Roman" w:hAnsi="Times New Roman"/>
          <w:sz w:val="18"/>
          <w:szCs w:val="18"/>
          <w:color w:val="auto"/>
        </w:rPr>
        <w:t>(3). A British Virgin Islands corporation with the mailing address of c/o Ogier Global (BVI) Ltd., Ritter House, Wickhams Cay II, PO Box 3170, Road Town, Tortola, VG 1110, British Virgin Islands, with Raymond Ming Hui Lin as its sole shareholder. As such, Mr. Lin is deemed to be the owner of all shares of the Company held by this entity. Also includes the vested portion of the restricted stock granted dated as of July 12, 2018. The total grant of 220,823 common shares to Mr. Lin vests in three equal installments, with the first installment vesting upon grant, and the second and third – on the first and second anniversary of the grant. Also includes 404,600 restricted shares granted to Mr. Lin on November 27, 2019 and vested immediately.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Acquired before becoming an officer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Director.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Timing of Sales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selling stockholders may offer and sell the shares covered by this prospectus at various times. The selling stockholders will act independently of our company in making decisions with respect to the timing, manner and size of each sale. To our knowledge, the selling stockholders have no agreement or understanding, directly or indirectly, with any person to resell the shares covered by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Price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sales price offered by the selling stockholders to the public may be:</w:t>
      </w:r>
    </w:p>
    <w:p>
      <w:pPr>
        <w:spacing w:after="0" w:line="225" w:lineRule="exact"/>
        <w:rPr>
          <w:sz w:val="20"/>
          <w:szCs w:val="20"/>
          <w:color w:val="auto"/>
        </w:rPr>
      </w:pPr>
    </w:p>
    <w:p>
      <w:pPr>
        <w:ind w:left="1240" w:hanging="328"/>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prevailing at the time of sale;</w:t>
      </w:r>
    </w:p>
    <w:p>
      <w:pPr>
        <w:spacing w:after="0" w:line="225" w:lineRule="exact"/>
        <w:rPr>
          <w:rFonts w:ascii="Times New Roman" w:cs="Times New Roman" w:eastAsia="Times New Roman" w:hAnsi="Times New Roman"/>
          <w:sz w:val="18"/>
          <w:szCs w:val="18"/>
          <w:color w:val="auto"/>
        </w:rPr>
      </w:pPr>
    </w:p>
    <w:p>
      <w:pPr>
        <w:ind w:left="1240" w:hanging="328"/>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price related to such prevailing market price; or</w:t>
      </w:r>
    </w:p>
    <w:p>
      <w:pPr>
        <w:spacing w:after="0" w:line="225" w:lineRule="exact"/>
        <w:rPr>
          <w:rFonts w:ascii="Times New Roman" w:cs="Times New Roman" w:eastAsia="Times New Roman" w:hAnsi="Times New Roman"/>
          <w:sz w:val="18"/>
          <w:szCs w:val="18"/>
          <w:color w:val="auto"/>
        </w:rPr>
      </w:pPr>
    </w:p>
    <w:p>
      <w:pPr>
        <w:ind w:left="1240" w:hanging="328"/>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price as the selling stockholders determine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Manner of Sale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shares may be sold by means of one or more of the following methods:</w:t>
      </w:r>
    </w:p>
    <w:p>
      <w:pPr>
        <w:spacing w:after="0" w:line="225" w:lineRule="exact"/>
        <w:rPr>
          <w:sz w:val="20"/>
          <w:szCs w:val="20"/>
          <w:color w:val="auto"/>
        </w:rPr>
      </w:pPr>
    </w:p>
    <w:p>
      <w:pPr>
        <w:ind w:left="1240" w:hanging="328"/>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in which the broker-dealer so engaged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1240" w:hanging="328"/>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that broker-dealer for its account pursuant to this prospectus;</w:t>
      </w:r>
    </w:p>
    <w:p>
      <w:pPr>
        <w:spacing w:after="0" w:line="225" w:lineRule="exact"/>
        <w:rPr>
          <w:rFonts w:ascii="Times New Roman" w:cs="Times New Roman" w:eastAsia="Times New Roman" w:hAnsi="Times New Roman"/>
          <w:sz w:val="18"/>
          <w:szCs w:val="18"/>
          <w:color w:val="auto"/>
        </w:rPr>
      </w:pPr>
    </w:p>
    <w:p>
      <w:pPr>
        <w:ind w:left="1240" w:hanging="328"/>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1240" w:hanging="328"/>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options, swaps or derivatives;</w:t>
      </w:r>
    </w:p>
    <w:p>
      <w:pPr>
        <w:spacing w:after="0" w:line="225" w:lineRule="exact"/>
        <w:rPr>
          <w:rFonts w:ascii="Times New Roman" w:cs="Times New Roman" w:eastAsia="Times New Roman" w:hAnsi="Times New Roman"/>
          <w:sz w:val="18"/>
          <w:szCs w:val="18"/>
          <w:color w:val="auto"/>
        </w:rPr>
      </w:pPr>
    </w:p>
    <w:p>
      <w:pPr>
        <w:ind w:left="1240" w:hanging="328"/>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to cover short sales;</w:t>
      </w:r>
    </w:p>
    <w:p>
      <w:pPr>
        <w:spacing w:after="0" w:line="225" w:lineRule="exact"/>
        <w:rPr>
          <w:rFonts w:ascii="Times New Roman" w:cs="Times New Roman" w:eastAsia="Times New Roman" w:hAnsi="Times New Roman"/>
          <w:sz w:val="18"/>
          <w:szCs w:val="18"/>
          <w:color w:val="auto"/>
        </w:rPr>
      </w:pPr>
    </w:p>
    <w:p>
      <w:pPr>
        <w:ind w:left="1240" w:hanging="328"/>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 or</w:t>
      </w:r>
    </w:p>
    <w:p>
      <w:pPr>
        <w:spacing w:after="0" w:line="225" w:lineRule="exact"/>
        <w:rPr>
          <w:rFonts w:ascii="Times New Roman" w:cs="Times New Roman" w:eastAsia="Times New Roman" w:hAnsi="Times New Roman"/>
          <w:sz w:val="18"/>
          <w:szCs w:val="18"/>
          <w:color w:val="auto"/>
        </w:rPr>
      </w:pPr>
    </w:p>
    <w:p>
      <w:pPr>
        <w:ind w:left="1240" w:hanging="328"/>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combination of any of the above methods.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selling stockholders may sell their shares directly to purchasers or may use brokers, dealers, underwriters or agents to sell shares. Brokers or dealers engaged by the selling stockholders may arrange for other brokers or dealers to participate. Brokers or dealers may receive commissions, discounts or concessions from the selling stockholders or, if any such broker-dealer acts as agent for the purchaser of shares, from the purchaser in amounts to be negotiated immediately prior to the sale. The compensation received by brokers or dealers may, but is not expected to, exceed that which is customary for the types of transactions involved. Broker-dealers may agree with a selling stockholder to sell a specified number of shares of shares at a stipulated price per common share, and, to the extent the broker-dealer is unable to do so acting as agent for a selling stockholder, to purchase as principal any unsold shares of shares at the price required to fulfill the broker-dealer commitment to the selling stockholders. Broker-dealers who acquire shares as principal may thereafter resell the shares from time to time in transactions, which may involve block transactions and sales to and through other broker-dealers, including transactions of the nature described above, on The NASDAQ Stock Market or otherwise at prices and on terms then prevailing at the time of sale, at prices then related to the then-current market price or in negotiated transactions. In connection with resales of the shares, broker-dealers may pay to or receive from the purchasers of shares commissions as described above. If the selling stockholders enter into arrangements with brokers or dealers, as described above, we are obligated to file a post-effective amendment to this registration statement disclosing such arrangements, including the names of any broker-dealers acting as underwriters.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participate with the selling stockholder in the sale of the shares may be deemed to be “underwriters” within the meaning of the Securities Act. In that event, any commissions received by broker-dealers or agents and any profit on the resale of the shares purchased by them may be deemed to be underwriting commissions or discounts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Pursuant to Rule 144</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shares covered by this prospectus which qualify for sale pursuant to Rule 144 under the Securities Act may be sold under Rule 144 rather than pursuant to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selling stockholders must comply with the requirements of the Securities Act and the Exchange Act in the offer and sale of the shares. In particular we will advise the selling stockholders that the anti-manipulation rules of Regulation M under the Exchange Act may apply to sales of shares in the market and to the activities of the selling stockholders and their affiliates. Regulation M under the Exchange Act prohibits, with certain exceptions, participants in a distribution from bidding for, or purchasing for an account in which the participant has a beneficial interest, any of the securities that are the subject of the distribution. Accordingly, during such times as selling stockholders may be deemed to be engaged in a distribution of the shares, and therefore be considered to be an underwriter, the selling stockholders must comply with applicable law and, among other things:</w:t>
      </w:r>
    </w:p>
    <w:p>
      <w:pPr>
        <w:spacing w:after="0" w:line="187"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engage in any stabilization activities in connection with our shares;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cover short sales by purchasing shares while the distribution is taking place; and</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bid for or purchase any of our securities or attempt to induce any person to purchase any of our securities other than as permitted under the Exchange Act.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we will make copies of this prospectus available to the selling stockholders for the purpose of satisfying the prospectus delivery requirements of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Securities Laws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shares may be sold in such states only through registered or licensed brokers or dealers. In addition, in some states the shares may not be sold unless the shares have been registered or qualified for sale in the state or an exemption from registration or qualification is available and is complied with.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Registration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bearing all costs relating to the registration of the shares. The selling stockholders, however, will pay any commissions or other fees payable to brokers or dealers in connection with any sale of the shares.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validity of the shares and certain legal matters relating to the offering as to Cayman Islands law will be passed upon for us by Ogier.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CLPS Incorporation at June 30, 2019 and 2020, and for each of the two years in the period ended June 30, 2020, appearing in CLPS Incorporation’s Annual Report (Form 20-F) for the year ended June 30, 2020, have been audited by Ernst &amp; Young Hua Ming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documents we file with, or furnish to, them, which means that we can disclose important information to you by referring you to these documents. The information that we incorporate by reference into this prospectus forms a part of this prospectus, and information that we file later with the SEC automatically updates and supersedes any information in this prospectus. We incorporate by reference into this prospectus the documents listed below:</w:t>
      </w:r>
    </w:p>
    <w:p>
      <w:pPr>
        <w:spacing w:after="0" w:line="180"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5">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June 30, 2020;</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shares set forth in our registration statement on Form F-1 (File No. 333-223956) filed with the SEC on </w:t>
      </w:r>
      <w:hyperlink r:id="rId26">
        <w:r>
          <w:rPr>
            <w:rFonts w:ascii="Times New Roman" w:cs="Times New Roman" w:eastAsia="Times New Roman" w:hAnsi="Times New Roman"/>
            <w:sz w:val="18"/>
            <w:szCs w:val="18"/>
            <w:u w:val="single" w:color="auto"/>
            <w:color w:val="0000EE"/>
          </w:rPr>
          <w:t>March 27, 2018</w:t>
        </w:r>
      </w:hyperlink>
      <w:r>
        <w:rPr>
          <w:rFonts w:ascii="Times New Roman" w:cs="Times New Roman" w:eastAsia="Times New Roman" w:hAnsi="Times New Roman"/>
          <w:sz w:val="18"/>
          <w:szCs w:val="18"/>
          <w:color w:val="auto"/>
        </w:rPr>
        <w:t xml:space="preserve"> and declared effective on May 23, 2018, and our Form 8-A filed with the SEC on </w:t>
      </w:r>
      <w:hyperlink r:id="rId27">
        <w:r>
          <w:rPr>
            <w:rFonts w:ascii="Times New Roman" w:cs="Times New Roman" w:eastAsia="Times New Roman" w:hAnsi="Times New Roman"/>
            <w:sz w:val="18"/>
            <w:szCs w:val="18"/>
            <w:u w:val="single" w:color="auto"/>
            <w:color w:val="0000EE"/>
          </w:rPr>
          <w:t>May 22, 2018</w:t>
        </w:r>
      </w:hyperlink>
      <w:r>
        <w:rPr>
          <w:rFonts w:ascii="Times New Roman" w:cs="Times New Roman" w:eastAsia="Times New Roman" w:hAnsi="Times New Roman"/>
          <w:sz w:val="18"/>
          <w:szCs w:val="18"/>
          <w:color w:val="auto"/>
        </w:rPr>
        <w:t>, including any amendment or report filed for the purpose of updating that description;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auto"/>
          </w:rPr>
          <w:t xml:space="preserve">our Report of Foreign Private Issuer on Form 6-K furnished to the SEC on </w:t>
        </w:r>
        <w:r>
          <w:rPr>
            <w:rFonts w:ascii="Times New Roman" w:cs="Times New Roman" w:eastAsia="Times New Roman" w:hAnsi="Times New Roman"/>
            <w:sz w:val="18"/>
            <w:szCs w:val="18"/>
            <w:u w:val="single" w:color="auto"/>
            <w:color w:val="0000EE"/>
          </w:rPr>
          <w:t>September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September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November 4, 2019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9">
        <w:r>
          <w:rPr>
            <w:rFonts w:ascii="Times New Roman" w:cs="Times New Roman" w:eastAsia="Times New Roman" w:hAnsi="Times New Roman"/>
            <w:sz w:val="18"/>
            <w:szCs w:val="18"/>
            <w:u w:val="single" w:color="auto"/>
            <w:color w:val="0000EE"/>
          </w:rPr>
          <w:t>March 12</w:t>
        </w:r>
      </w:hyperlink>
      <w:hyperlink r:id="rId2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0">
        <w:r>
          <w:rPr>
            <w:rFonts w:ascii="Times New Roman" w:cs="Times New Roman" w:eastAsia="Times New Roman" w:hAnsi="Times New Roman"/>
            <w:sz w:val="18"/>
            <w:szCs w:val="18"/>
            <w:u w:val="single" w:color="auto"/>
            <w:color w:val="0000EE"/>
          </w:rPr>
          <w:t>April 7</w:t>
        </w:r>
      </w:hyperlink>
      <w:hyperlink r:id="rId2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1">
        <w:r>
          <w:rPr>
            <w:rFonts w:ascii="Times New Roman" w:cs="Times New Roman" w:eastAsia="Times New Roman" w:hAnsi="Times New Roman"/>
            <w:sz w:val="18"/>
            <w:szCs w:val="18"/>
            <w:u w:val="single" w:color="auto"/>
            <w:color w:val="0000EE"/>
          </w:rPr>
          <w:t>June 29</w:t>
        </w:r>
      </w:hyperlink>
      <w:hyperlink r:id="rId2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2">
        <w:r>
          <w:rPr>
            <w:rFonts w:ascii="Times New Roman" w:cs="Times New Roman" w:eastAsia="Times New Roman" w:hAnsi="Times New Roman"/>
            <w:sz w:val="18"/>
            <w:szCs w:val="18"/>
            <w:u w:val="single" w:color="auto"/>
            <w:color w:val="0000EE"/>
          </w:rPr>
          <w:t>August 21</w:t>
        </w:r>
      </w:hyperlink>
      <w:hyperlink r:id="rId28">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33">
        <w:r>
          <w:rPr>
            <w:rFonts w:ascii="Times New Roman" w:cs="Times New Roman" w:eastAsia="Times New Roman" w:hAnsi="Times New Roman"/>
            <w:sz w:val="18"/>
            <w:szCs w:val="18"/>
            <w:u w:val="single" w:color="auto"/>
            <w:color w:val="0000EE"/>
          </w:rPr>
          <w:t>August 27, 2020</w:t>
        </w:r>
      </w:hyperlink>
      <w:hyperlink r:id="rId28">
        <w:r>
          <w:rPr>
            <w:rFonts w:ascii="Times New Roman" w:cs="Times New Roman" w:eastAsia="Times New Roman" w:hAnsi="Times New Roman"/>
            <w:sz w:val="18"/>
            <w:szCs w:val="18"/>
            <w:color w:val="000000"/>
          </w:rPr>
          <w:t>, respectively.</w:t>
        </w:r>
      </w:hyperlink>
    </w:p>
    <w:p>
      <w:pPr>
        <w:spacing w:after="0" w:line="162"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subsequent to the date of this prospectus and prior to the termination of the offering of the securities offered by this prospectus are incorporated by reference into this prospectus and form part of this prospectus from the date of filing or furnishing of these documents. Any documents that we furnish to the SEC on Form 6-K subsequent to the date of this prospectus will be incorporated by reference into this prospectus only to the extent specifically set forth in the Form 6-K.</w:t>
      </w:r>
    </w:p>
    <w:p>
      <w:pPr>
        <w:spacing w:after="0" w:line="180"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into this prospectus shall be deemed to be modified or superseded for purposes of this prospectus to the extent that a statement contained in this prospectus, in one of those other documents or in any other later filed document that is also incorporated by reference into this prospectus modifies or supersedes that statement. Any such statement so modified shall not be deemed, except as so modified, to constitute a part of this prospectus. Any such statement so superseded shall be deemed not to constitute a part of this prospectus.</w:t>
      </w:r>
    </w:p>
    <w:p>
      <w:pPr>
        <w:spacing w:after="0" w:line="180"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person receiving a copy of this prospectus, including any beneficial owner, may obtain without charge, upon written or oral request, a copy of any of the documents incorporated by reference into this prospectus, except for the exhibits to those documents unless the exhibits are specifically</w:t>
      </w:r>
    </w:p>
    <w:p>
      <w:pPr>
        <w:jc w:val="both"/>
        <w:spacing w:after="0" w:line="209" w:lineRule="auto"/>
        <w:rPr>
          <w:sz w:val="20"/>
          <w:szCs w:val="20"/>
          <w:color w:val="auto"/>
        </w:rPr>
      </w:pPr>
      <w:r>
        <w:rPr>
          <w:rFonts w:ascii="Times New Roman" w:cs="Times New Roman" w:eastAsia="Times New Roman" w:hAnsi="Times New Roman"/>
          <w:sz w:val="18"/>
          <w:szCs w:val="18"/>
          <w:color w:val="auto"/>
        </w:rPr>
        <w:t>incorporated by reference into those documents. Requests should be directed to our principal executive office, Unit 702,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Millennium City II, 378 Kwun Tong Road, Kwun Tong, Kowloon, Hong Kong SAR.</w:t>
      </w:r>
    </w:p>
    <w:p>
      <w:pPr>
        <w:spacing w:after="0" w:line="200" w:lineRule="exact"/>
        <w:rPr>
          <w:rFonts w:ascii="Times New Roman" w:cs="Times New Roman" w:eastAsia="Times New Roman" w:hAnsi="Times New Roman"/>
          <w:sz w:val="18"/>
          <w:szCs w:val="18"/>
          <w:color w:val="0000EE"/>
        </w:rPr>
      </w:pPr>
    </w:p>
    <w:p>
      <w:pPr>
        <w:spacing w:after="0" w:line="21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DISCLOSURE OF COMMISSION POSITION ON INDEMNIFICATION FOR SECURITIES ACT LIABILITIES</w:t>
      </w:r>
    </w:p>
    <w:p>
      <w:pPr>
        <w:spacing w:after="0" w:line="229" w:lineRule="exact"/>
        <w:rPr>
          <w:sz w:val="20"/>
          <w:szCs w:val="20"/>
          <w:color w:val="auto"/>
        </w:rPr>
      </w:pPr>
    </w:p>
    <w:p>
      <w:pPr>
        <w:jc w:val="both"/>
        <w:ind w:firstLine="694"/>
        <w:spacing w:after="0" w:line="256" w:lineRule="auto"/>
        <w:rPr>
          <w:sz w:val="20"/>
          <w:szCs w:val="20"/>
          <w:color w:val="auto"/>
        </w:rPr>
      </w:pPr>
      <w:r>
        <w:rPr>
          <w:rFonts w:ascii="Times New Roman" w:cs="Times New Roman" w:eastAsia="Times New Roman" w:hAnsi="Times New Roman"/>
          <w:sz w:val="18"/>
          <w:szCs w:val="18"/>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Securities Act, may be permitted to directors, officers or persons controlling the registrant pursuant to the foregoing provisions, the registrant has been informed that in the opinion of the Securities and Exchange Commission, or the SEC, such indemnification is against public policy as expressed in the Securities Act and is therefore unenforceable.</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ADDITIONAL INFORMATION AVAILABLE TO YOU</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S-8 that we filed with the SEC. Certain information in the Registration Statement has been omitted from this prospectus in accordance with the rules of the SEC. We file annual reports and other information with the SEC. You can inspect and copy the Registration Statement as well as other information we have filed with the SEC at the public reference room maintained by the SEC at 100 F Street N.E. Washington, D.C. 20549. You can obtain copies from the public reference room at the same address. 20549, upon payment of certain fees. You can call the SEC at 1-800-732-0330 for further information about the public reference room. We are also required to file electronic versions of these documents with the SEC, which may be accessed through the SEC’s World Wide Web site at http://www.sec.gov. No dealer, salesperson or other person is authorized to give any information or to make any representations other than those contained in this prospectus, and, if given or made, such information or representations must not be relied upon as having been authorized by us. This prospectus does not constitute an offer to buy any security other than the securities offered by this prospectus, or an offer to sell or a solicitation of an offer to buy any securities by any person in any jurisdiction where such offer or solicitation is not authorized or is unlawful. Neither delivery of this prospectus nor any sale hereunder shall, under any circumstances, create any implication that there has been no change in the affairs of our company since the date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Incorporation of Documents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documents we file with, or furnish to, them, which means that we can disclose important information to you by referring you to these documents. The information that we incorporate by reference into this prospectus forms a part of this prospectus, and information that we file later with the SEC automatically updates and supersedes any information in this prospectus. We incorporate by reference into this prospectus the documents listed below:</w:t>
      </w:r>
    </w:p>
    <w:p>
      <w:pPr>
        <w:spacing w:after="0" w:line="180"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5">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June 30, 2020;</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shares set forth in our registration statement on Form F-1 (File No. 333-223956) filed with the SEC on </w:t>
      </w:r>
      <w:hyperlink r:id="rId26">
        <w:r>
          <w:rPr>
            <w:rFonts w:ascii="Times New Roman" w:cs="Times New Roman" w:eastAsia="Times New Roman" w:hAnsi="Times New Roman"/>
            <w:sz w:val="18"/>
            <w:szCs w:val="18"/>
            <w:u w:val="single" w:color="auto"/>
            <w:color w:val="0000EE"/>
          </w:rPr>
          <w:t>March 27, 2018</w:t>
        </w:r>
      </w:hyperlink>
      <w:r>
        <w:rPr>
          <w:rFonts w:ascii="Times New Roman" w:cs="Times New Roman" w:eastAsia="Times New Roman" w:hAnsi="Times New Roman"/>
          <w:sz w:val="18"/>
          <w:szCs w:val="18"/>
          <w:color w:val="auto"/>
        </w:rPr>
        <w:t xml:space="preserve"> and declared effective on May 23, 2018, and our Form 8-A filed with the SEC on </w:t>
      </w:r>
      <w:hyperlink r:id="rId27">
        <w:r>
          <w:rPr>
            <w:rFonts w:ascii="Times New Roman" w:cs="Times New Roman" w:eastAsia="Times New Roman" w:hAnsi="Times New Roman"/>
            <w:sz w:val="18"/>
            <w:szCs w:val="18"/>
            <w:u w:val="single" w:color="auto"/>
            <w:color w:val="0000EE"/>
          </w:rPr>
          <w:t>May 22, 2018</w:t>
        </w:r>
      </w:hyperlink>
      <w:r>
        <w:rPr>
          <w:rFonts w:ascii="Times New Roman" w:cs="Times New Roman" w:eastAsia="Times New Roman" w:hAnsi="Times New Roman"/>
          <w:sz w:val="18"/>
          <w:szCs w:val="18"/>
          <w:color w:val="auto"/>
        </w:rPr>
        <w:t>, including any amendment or report filed for the purpose of updating that description;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auto"/>
          </w:rPr>
          <w:t xml:space="preserve">our Report of Foreign Private Issuer on Form 6-K furnished to the SEC on </w:t>
        </w:r>
        <w:r>
          <w:rPr>
            <w:rFonts w:ascii="Times New Roman" w:cs="Times New Roman" w:eastAsia="Times New Roman" w:hAnsi="Times New Roman"/>
            <w:sz w:val="18"/>
            <w:szCs w:val="18"/>
            <w:u w:val="single" w:color="auto"/>
            <w:color w:val="0000EE"/>
          </w:rPr>
          <w:t>September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September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November 4, 2019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9">
        <w:r>
          <w:rPr>
            <w:rFonts w:ascii="Times New Roman" w:cs="Times New Roman" w:eastAsia="Times New Roman" w:hAnsi="Times New Roman"/>
            <w:sz w:val="18"/>
            <w:szCs w:val="18"/>
            <w:u w:val="single" w:color="auto"/>
            <w:color w:val="0000EE"/>
          </w:rPr>
          <w:t>March 12</w:t>
        </w:r>
      </w:hyperlink>
      <w:hyperlink r:id="rId2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0">
        <w:r>
          <w:rPr>
            <w:rFonts w:ascii="Times New Roman" w:cs="Times New Roman" w:eastAsia="Times New Roman" w:hAnsi="Times New Roman"/>
            <w:sz w:val="18"/>
            <w:szCs w:val="18"/>
            <w:u w:val="single" w:color="auto"/>
            <w:color w:val="0000EE"/>
          </w:rPr>
          <w:t>April 7</w:t>
        </w:r>
      </w:hyperlink>
      <w:hyperlink r:id="rId2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1">
        <w:r>
          <w:rPr>
            <w:rFonts w:ascii="Times New Roman" w:cs="Times New Roman" w:eastAsia="Times New Roman" w:hAnsi="Times New Roman"/>
            <w:sz w:val="18"/>
            <w:szCs w:val="18"/>
            <w:u w:val="single" w:color="auto"/>
            <w:color w:val="0000EE"/>
          </w:rPr>
          <w:t>June 29</w:t>
        </w:r>
      </w:hyperlink>
      <w:hyperlink r:id="rId2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2">
        <w:r>
          <w:rPr>
            <w:rFonts w:ascii="Times New Roman" w:cs="Times New Roman" w:eastAsia="Times New Roman" w:hAnsi="Times New Roman"/>
            <w:sz w:val="18"/>
            <w:szCs w:val="18"/>
            <w:u w:val="single" w:color="auto"/>
            <w:color w:val="0000EE"/>
          </w:rPr>
          <w:t>August 21</w:t>
        </w:r>
      </w:hyperlink>
      <w:hyperlink r:id="rId28">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33">
        <w:r>
          <w:rPr>
            <w:rFonts w:ascii="Times New Roman" w:cs="Times New Roman" w:eastAsia="Times New Roman" w:hAnsi="Times New Roman"/>
            <w:sz w:val="18"/>
            <w:szCs w:val="18"/>
            <w:u w:val="single" w:color="auto"/>
            <w:color w:val="0000EE"/>
          </w:rPr>
          <w:t>August 27, 2020</w:t>
        </w:r>
      </w:hyperlink>
      <w:hyperlink r:id="rId28">
        <w:r>
          <w:rPr>
            <w:rFonts w:ascii="Times New Roman" w:cs="Times New Roman" w:eastAsia="Times New Roman" w:hAnsi="Times New Roman"/>
            <w:sz w:val="18"/>
            <w:szCs w:val="18"/>
            <w:color w:val="000000"/>
          </w:rPr>
          <w:t>, respectively.</w:t>
        </w:r>
      </w:hyperlink>
    </w:p>
    <w:p>
      <w:pPr>
        <w:spacing w:after="0" w:line="162"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subsequent to the date of this prospectus and prior to the termination of the offering of the securities offered by this prospectus are incorporated by reference into this prospectus and form part of this prospectus from the date of filing or furnishing of these documents. Any documents that we furnish to the SEC on Form 6-K subsequent to the date of this prospectus will be incorporated by reference into this prospectus only to the extent specifically set forth in the Form 6-K.</w:t>
      </w:r>
    </w:p>
    <w:p>
      <w:pPr>
        <w:spacing w:after="0" w:line="180"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into this prospectus shall be deemed to be modified or superseded for purposes of this prospectus to the extent that a statement contained in this prospectus, in one of those other documents or in any other later filed document that is also incorporated by reference into this prospectus modifies or supersedes that statement. Any such statement so modified shall not be deemed, except as so modified, to constitute a part of this prospectus. Any such statement so superseded shall be deemed not to constitute a part of this prospectus.</w:t>
      </w:r>
    </w:p>
    <w:p>
      <w:pPr>
        <w:spacing w:after="0" w:line="180"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person receiving a copy of this prospectus, including any beneficial owner, may obtain without charge, upon written or oral request, a copy of any of the documents incorporated by reference into this prospectus, except for the exhibits to those documents unless the exhibits are specifically</w:t>
      </w:r>
    </w:p>
    <w:p>
      <w:pPr>
        <w:jc w:val="both"/>
        <w:spacing w:after="0" w:line="209" w:lineRule="auto"/>
        <w:rPr>
          <w:sz w:val="20"/>
          <w:szCs w:val="20"/>
          <w:color w:val="auto"/>
        </w:rPr>
      </w:pPr>
      <w:r>
        <w:rPr>
          <w:rFonts w:ascii="Times New Roman" w:cs="Times New Roman" w:eastAsia="Times New Roman" w:hAnsi="Times New Roman"/>
          <w:sz w:val="18"/>
          <w:szCs w:val="18"/>
          <w:color w:val="auto"/>
        </w:rPr>
        <w:t>incorporated by reference into those documents. Requests should be directed to our principal executive office, Unit 702,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Millennium City 2, 378 Kwun Tong Road, Kwun Tong, Kowloon, Hong Kong SAR.</w:t>
      </w:r>
    </w:p>
    <w:p>
      <w:pPr>
        <w:spacing w:after="0" w:line="196" w:lineRule="exact"/>
        <w:rPr>
          <w:rFonts w:ascii="Times New Roman" w:cs="Times New Roman" w:eastAsia="Times New Roman" w:hAnsi="Times New Roman"/>
          <w:sz w:val="18"/>
          <w:szCs w:val="18"/>
          <w:color w:val="0000EE"/>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0000EE"/>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Interests of Named Experts and Counsel.</w:t>
      </w:r>
    </w:p>
    <w:p>
      <w:pPr>
        <w:spacing w:after="0" w:line="22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color w:val="0000EE"/>
        </w:rPr>
      </w:pPr>
    </w:p>
    <w:p>
      <w:pPr>
        <w:spacing w:after="0" w:line="23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Indemnification of Directors and Officers.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for liabilities arising under the Securities Act of 1933, as amended, or Securities Act, may be permitted to directors, officers or persons controlling the registrant pursuant to the foregoing provisions, the registrant has been informed that in the opinion of the Securities and Exchange Commission, or the SEC, such indemnification is against public policy as expressed in the Securities Act and is therefore unenforceable.</w:t>
      </w:r>
    </w:p>
    <w:p>
      <w:pPr>
        <w:spacing w:after="0" w:line="1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list of all exhibits filed or included as part of this Registration Statement, see “Index to Exhibits” at the end of this Registration Statement.</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Undertakings.</w:t>
      </w:r>
    </w:p>
    <w:p>
      <w:pPr>
        <w:spacing w:after="0" w:line="229" w:lineRule="exact"/>
        <w:rPr>
          <w:sz w:val="20"/>
          <w:szCs w:val="20"/>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“Securities Act”);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11"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300" w:firstLine="652"/>
        <w:spacing w:after="0" w:line="282" w:lineRule="auto"/>
        <w:tabs>
          <w:tab w:leader="none" w:pos="2286"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 </w:t>
      </w:r>
      <w:r>
        <w:rPr>
          <w:rFonts w:ascii="Times New Roman" w:cs="Times New Roman" w:eastAsia="Times New Roman" w:hAnsi="Times New Roman"/>
          <w:sz w:val="18"/>
          <w:szCs w:val="18"/>
          <w:color w:val="auto"/>
        </w:rPr>
        <w:t>that paragraphs (a)(1)(i) and (a)(1)(ii) above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SEC by the registrant pursuant to Section 13 or Section 15(d) of the Exchange Act that are incorporated by reference in the registration statement.</w:t>
      </w:r>
    </w:p>
    <w:p>
      <w:pPr>
        <w:spacing w:after="0" w:line="175" w:lineRule="exact"/>
        <w:rPr>
          <w:sz w:val="20"/>
          <w:szCs w:val="20"/>
          <w:color w:val="auto"/>
        </w:rPr>
      </w:pPr>
    </w:p>
    <w:p>
      <w:pPr>
        <w:jc w:val="both"/>
        <w:ind w:left="660" w:firstLine="644"/>
        <w:spacing w:after="0" w:line="266" w:lineRule="auto"/>
        <w:tabs>
          <w:tab w:leader="none" w:pos="156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this Post-Effective Amendment No. 1 to Form S-8 and has duly caused this registration statement to be signed on its behalf by the undersigned, thereunto duly authorized, in the People’s Republic of China, on November 6, 2020.</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6,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Ming Hui Lin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Director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9"/>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tcBorders>
            <w:shd w:val="clear" w:color="auto" w:fill="CCEEFF"/>
          </w:tcPr>
          <w:p>
            <w:pPr>
              <w:spacing w:after="0"/>
              <w:rPr>
                <w:rFonts w:ascii="Times New Roman" w:cs="Times New Roman" w:eastAsia="Times New Roman" w:hAnsi="Times New Roman"/>
                <w:sz w:val="18"/>
                <w:szCs w:val="18"/>
                <w:u w:val="single" w:color="auto"/>
                <w:color w:val="0000EE"/>
              </w:rPr>
            </w:pPr>
            <w:hyperlink r:id="rId40">
              <w:r>
                <w:rPr>
                  <w:rFonts w:ascii="Times New Roman" w:cs="Times New Roman" w:eastAsia="Times New Roman" w:hAnsi="Times New Roman"/>
                  <w:sz w:val="18"/>
                  <w:szCs w:val="18"/>
                  <w:u w:val="single" w:color="auto"/>
                  <w:color w:val="0000EE"/>
                </w:rPr>
                <w:t>Specimen share certificate (1).</w:t>
              </w:r>
            </w:hyperlink>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10100" w:type="dxa"/>
            <w:vAlign w:val="bottom"/>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Opinion of Oer.</w:t>
              </w:r>
            </w:hyperlink>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r:id="rId41">
              <w:r>
                <w:rPr>
                  <w:rFonts w:ascii="Times New Roman" w:cs="Times New Roman" w:eastAsia="Times New Roman" w:hAnsi="Times New Roman"/>
                  <w:sz w:val="18"/>
                  <w:szCs w:val="18"/>
                  <w:u w:val="single" w:color="auto"/>
                  <w:color w:val="0000EE"/>
                </w:rPr>
                <w:t>2020 Equity Incentive Plan (2).</w:t>
              </w:r>
            </w:hyperlink>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0"/>
                <w:szCs w:val="20"/>
                <w:color w:val="auto"/>
              </w:rPr>
            </w:pPr>
          </w:p>
        </w:tc>
        <w:tc>
          <w:tcPr>
            <w:tcW w:w="10100" w:type="dxa"/>
            <w:vAlign w:val="bottom"/>
          </w:tcPr>
          <w:p>
            <w:pPr>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Consent of Ernst &amp; Young Hua Ming LLP.</w:t>
              </w:r>
            </w:hyperlink>
          </w:p>
        </w:tc>
      </w:tr>
    </w:tbl>
    <w:p>
      <w:pPr>
        <w:spacing w:after="0" w:line="179" w:lineRule="exact"/>
        <w:rPr>
          <w:sz w:val="20"/>
          <w:szCs w:val="20"/>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of the same number filed with CLPS Incorporation’s Registration Statement on Form F-1 or amendments thereto (File No. 333-223956).</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of the same number filed with CLPS Incorporation’s Registration Statement on Form S-8 or amendments thereto (File No. 333-237846).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 - Ogier Global (Cayman) Limited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89 Nexus Way, Camana Bay</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Grand Cayman KY1-9009</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CLPS Incorporation (the Company)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156845</wp:posOffset>
            </wp:positionV>
            <wp:extent cx="1011555"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0115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Draft: 29 October 2020</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Subject to approval of opinions committee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+852 3656 6054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nathan.powell@ogier.com</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NMP/FYC/173339.00002</w:t>
      </w:r>
    </w:p>
    <w:p>
      <w:pPr>
        <w:spacing w:after="0" w:line="1505" w:lineRule="exact"/>
        <w:rPr>
          <w:sz w:val="20"/>
          <w:szCs w:val="20"/>
          <w:color w:val="auto"/>
        </w:rPr>
      </w:pPr>
    </w:p>
    <w:p>
      <w:pPr>
        <w:sectPr>
          <w:pgSz w:w="11900" w:h="16838" w:orient="portrait"/>
          <w:cols w:equalWidth="0" w:num="2">
            <w:col w:w="6020" w:space="720"/>
            <w:col w:w="4500"/>
          </w:cols>
          <w:pgMar w:left="320" w:top="117" w:right="339" w:bottom="1440" w:gutter="0" w:footer="0" w:header="0"/>
        </w:sectPr>
      </w:pP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acted as Cayman Islands counsel to the Company in connection with the Post-Effective Amendment No. 1 to Form S-8 Registration Statement, including all amendments or supplements thereto (the </w:t>
      </w:r>
      <w:r>
        <w:rPr>
          <w:rFonts w:ascii="Times New Roman" w:cs="Times New Roman" w:eastAsia="Times New Roman" w:hAnsi="Times New Roman"/>
          <w:sz w:val="18"/>
          <w:szCs w:val="18"/>
          <w:b w:val="1"/>
          <w:bCs w:val="1"/>
          <w:color w:val="auto"/>
        </w:rPr>
        <w:t>Form S-8</w:t>
      </w:r>
      <w:r>
        <w:rPr>
          <w:rFonts w:ascii="Times New Roman" w:cs="Times New Roman" w:eastAsia="Times New Roman" w:hAnsi="Times New Roman"/>
          <w:sz w:val="18"/>
          <w:szCs w:val="18"/>
          <w:color w:val="auto"/>
        </w:rPr>
        <w:t xml:space="preserve">) together with the Company’s re-offering prospectus forming part of the Form S-8 (the </w:t>
      </w:r>
      <w:r>
        <w:rPr>
          <w:rFonts w:ascii="Times New Roman" w:cs="Times New Roman" w:eastAsia="Times New Roman" w:hAnsi="Times New Roman"/>
          <w:sz w:val="18"/>
          <w:szCs w:val="18"/>
          <w:b w:val="1"/>
          <w:bCs w:val="1"/>
          <w:color w:val="auto"/>
        </w:rPr>
        <w:t>Reoffering Prospectus</w:t>
      </w:r>
      <w:r>
        <w:rPr>
          <w:rFonts w:ascii="Times New Roman" w:cs="Times New Roman" w:eastAsia="Times New Roman" w:hAnsi="Times New Roman"/>
          <w:sz w:val="18"/>
          <w:szCs w:val="18"/>
          <w:color w:val="auto"/>
        </w:rPr>
        <w:t>) relating to the sale of the Company’s shares that may be offered and re-sold from time to time by the Selling Stockholders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defined in the Reoffering Prospectus) for their own account, as filed by the Company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United States Securities Act of 1933, as amended (the</w:t>
      </w:r>
      <w:r>
        <w:rPr>
          <w:rFonts w:ascii="Times New Roman" w:cs="Times New Roman" w:eastAsia="Times New Roman" w:hAnsi="Times New Roman"/>
          <w:sz w:val="18"/>
          <w:szCs w:val="18"/>
          <w:b w:val="1"/>
          <w:bCs w:val="1"/>
          <w:color w:val="auto"/>
        </w:rPr>
        <w:t xml:space="preserve"> Act</w:t>
      </w:r>
      <w:r>
        <w:rPr>
          <w:rFonts w:ascii="Times New Roman" w:cs="Times New Roman" w:eastAsia="Times New Roman" w:hAnsi="Times New Roman"/>
          <w:sz w:val="18"/>
          <w:szCs w:val="18"/>
          <w:color w:val="auto"/>
        </w:rPr>
        <w:t>) on or about the date hereof. The Form S-8 relates to the registration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 aggregate of 11,011,663 ordinary shares of US$0.0001 par value each of the Company (the </w:t>
      </w:r>
      <w:r>
        <w:rPr>
          <w:rFonts w:ascii="Times New Roman" w:cs="Times New Roman" w:eastAsia="Times New Roman" w:hAnsi="Times New Roman"/>
          <w:sz w:val="18"/>
          <w:szCs w:val="18"/>
          <w:b w:val="1"/>
          <w:bCs w:val="1"/>
          <w:color w:val="auto"/>
        </w:rPr>
        <w:t>ESOP Shares</w:t>
      </w:r>
      <w:r>
        <w:rPr>
          <w:rFonts w:ascii="Times New Roman" w:cs="Times New Roman" w:eastAsia="Times New Roman" w:hAnsi="Times New Roman"/>
          <w:sz w:val="18"/>
          <w:szCs w:val="18"/>
          <w:color w:val="auto"/>
        </w:rPr>
        <w:t xml:space="preserve">) to be issued pursuant to the Company’s 2020 Equity Incentive Plan adopted by the board of directors of the Company and approved by the shareholders of the Company at the annual general meeting of the Company held on 3 April 2020 (the </w:t>
      </w:r>
      <w:r>
        <w:rPr>
          <w:rFonts w:ascii="Times New Roman" w:cs="Times New Roman" w:eastAsia="Times New Roman" w:hAnsi="Times New Roman"/>
          <w:sz w:val="18"/>
          <w:szCs w:val="18"/>
          <w:b w:val="1"/>
          <w:bCs w:val="1"/>
          <w:color w:val="auto"/>
        </w:rPr>
        <w:t>2020 Equity Incentive Plan</w:t>
      </w:r>
      <w:r>
        <w:rPr>
          <w:rFonts w:ascii="Times New Roman" w:cs="Times New Roman" w:eastAsia="Times New Roman" w:hAnsi="Times New Roman"/>
          <w:sz w:val="18"/>
          <w:szCs w:val="18"/>
          <w:color w:val="auto"/>
        </w:rPr>
        <w:t>, which term does not include any other document or agreement whether or not specifically referred to therein or attached as an exhibit or schedule thereto).</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a contrary intention appears, all capitalised terms used in this opinion have the respective meanings set forth in the Documents. A reference to a Schedule is a reference to a schedule to this opinion and the headings herein are for convenience only and do not affect the construction of this opinion.</w:t>
      </w:r>
    </w:p>
    <w:p>
      <w:pPr>
        <w:spacing w:after="0" w:line="158"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examined</w:t>
      </w:r>
    </w:p>
    <w:p>
      <w:pPr>
        <w:spacing w:after="0" w:line="225"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the purposes of giving this opinion, we have examined originals, copies, or drafts of the following documents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80" w:hanging="638"/>
        <w:spacing w:after="0" w:line="282" w:lineRule="auto"/>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incorporation of the Company dated 11 May 2017 issued by the Registrar of Companies of the Cayman Islands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Ogier</w:t>
            </w:r>
          </w:p>
        </w:tc>
        <w:tc>
          <w:tcPr>
            <w:tcW w:w="7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British Virgin Islands, Cayman Islands, Guernsey,</w:t>
            </w:r>
          </w:p>
        </w:tc>
        <w:tc>
          <w:tcPr>
            <w:tcW w:w="72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0" w:type="dxa"/>
            <w:vAlign w:val="bottom"/>
          </w:tcPr>
          <w:p>
            <w:pPr>
              <w:spacing w:after="0"/>
              <w:rPr>
                <w:sz w:val="1"/>
                <w:szCs w:val="1"/>
                <w:color w:val="auto"/>
              </w:rPr>
            </w:pP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Jersey and Luxembourg practitioners</w:t>
            </w:r>
          </w:p>
        </w:tc>
        <w:tc>
          <w:tcPr>
            <w:tcW w:w="7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Nicholas Plowman</w:t>
            </w:r>
          </w:p>
        </w:tc>
        <w:tc>
          <w:tcPr>
            <w:tcW w:w="0" w:type="dxa"/>
            <w:vAlign w:val="bottom"/>
          </w:tcPr>
          <w:p>
            <w:pPr>
              <w:spacing w:after="0"/>
              <w:rPr>
                <w:sz w:val="1"/>
                <w:szCs w:val="1"/>
                <w:color w:val="auto"/>
              </w:rPr>
            </w:pP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Floor 11 Central Tower</w:t>
            </w: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Nathan Powell</w:t>
            </w:r>
          </w:p>
        </w:tc>
        <w:tc>
          <w:tcPr>
            <w:tcW w:w="0" w:type="dxa"/>
            <w:vAlign w:val="bottom"/>
          </w:tcPr>
          <w:p>
            <w:pPr>
              <w:spacing w:after="0"/>
              <w:rPr>
                <w:sz w:val="1"/>
                <w:szCs w:val="1"/>
                <w:color w:val="auto"/>
              </w:rPr>
            </w:pP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28 Queen’s Road Central</w:t>
            </w: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Ray Ng</w:t>
            </w:r>
          </w:p>
        </w:tc>
        <w:tc>
          <w:tcPr>
            <w:tcW w:w="0" w:type="dxa"/>
            <w:vAlign w:val="bottom"/>
          </w:tcPr>
          <w:p>
            <w:pPr>
              <w:spacing w:after="0"/>
              <w:rPr>
                <w:sz w:val="1"/>
                <w:szCs w:val="1"/>
                <w:color w:val="auto"/>
              </w:rPr>
            </w:pP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Central</w:t>
            </w: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Kate Hodson</w:t>
            </w:r>
          </w:p>
        </w:tc>
        <w:tc>
          <w:tcPr>
            <w:tcW w:w="0" w:type="dxa"/>
            <w:vAlign w:val="bottom"/>
          </w:tcPr>
          <w:p>
            <w:pPr>
              <w:spacing w:after="0"/>
              <w:rPr>
                <w:sz w:val="1"/>
                <w:szCs w:val="1"/>
                <w:color w:val="auto"/>
              </w:rPr>
            </w:pP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Hong Kong</w:t>
            </w: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David Nelson</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Anthony Oakes</w:t>
            </w:r>
          </w:p>
        </w:tc>
        <w:tc>
          <w:tcPr>
            <w:tcW w:w="0" w:type="dxa"/>
            <w:vAlign w:val="bottom"/>
          </w:tcPr>
          <w:p>
            <w:pPr>
              <w:spacing w:after="0"/>
              <w:rPr>
                <w:sz w:val="1"/>
                <w:szCs w:val="1"/>
                <w:color w:val="auto"/>
              </w:rPr>
            </w:pP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 +852 3656 6000</w:t>
            </w: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Oliver Payne</w:t>
            </w:r>
          </w:p>
        </w:tc>
        <w:tc>
          <w:tcPr>
            <w:tcW w:w="0" w:type="dxa"/>
            <w:vAlign w:val="bottom"/>
          </w:tcPr>
          <w:p>
            <w:pPr>
              <w:spacing w:after="0"/>
              <w:rPr>
                <w:sz w:val="1"/>
                <w:szCs w:val="1"/>
                <w:color w:val="auto"/>
              </w:rPr>
            </w:pPr>
          </w:p>
        </w:tc>
      </w:tr>
      <w:tr>
        <w:trPr>
          <w:trHeight w:val="212"/>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 +852 3656 6001</w:t>
            </w: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James Bergstrom</w:t>
            </w:r>
          </w:p>
        </w:tc>
        <w:tc>
          <w:tcPr>
            <w:tcW w:w="0" w:type="dxa"/>
            <w:vAlign w:val="bottom"/>
          </w:tcPr>
          <w:p>
            <w:pPr>
              <w:spacing w:after="0"/>
              <w:rPr>
                <w:sz w:val="1"/>
                <w:szCs w:val="1"/>
                <w:color w:val="auto"/>
              </w:rPr>
            </w:pPr>
          </w:p>
        </w:tc>
      </w:tr>
      <w:tr>
        <w:trPr>
          <w:trHeight w:val="238"/>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ogier.com</w:t>
            </w: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Marcus Leese</w:t>
            </w:r>
          </w:p>
        </w:tc>
        <w:tc>
          <w:tcPr>
            <w:tcW w:w="0" w:type="dxa"/>
            <w:vAlign w:val="bottom"/>
          </w:tcPr>
          <w:p>
            <w:pPr>
              <w:spacing w:after="0"/>
              <w:rPr>
                <w:sz w:val="1"/>
                <w:szCs w:val="1"/>
                <w:color w:val="auto"/>
              </w:rPr>
            </w:pPr>
          </w:p>
        </w:tc>
      </w:tr>
      <w:tr>
        <w:trPr>
          <w:trHeight w:val="750"/>
        </w:trPr>
        <w:tc>
          <w:tcPr>
            <w:tcW w:w="404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4</w:t>
      </w:r>
    </w:p>
    <w:p>
      <w:pPr>
        <w:spacing w:after="0" w:line="229" w:lineRule="exact"/>
        <w:rPr>
          <w:sz w:val="20"/>
          <w:szCs w:val="20"/>
          <w:color w:val="auto"/>
        </w:rPr>
      </w:pPr>
    </w:p>
    <w:p>
      <w:pPr>
        <w:ind w:left="1280" w:hanging="638"/>
        <w:spacing w:after="0" w:line="282"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amended and restated memorandum and articles of association of the Company adopted by special resolutions of the Company dated 7 December 2017 (respectively, the </w:t>
      </w:r>
      <w:r>
        <w:rPr>
          <w:rFonts w:ascii="Times New Roman" w:cs="Times New Roman" w:eastAsia="Times New Roman" w:hAnsi="Times New Roman"/>
          <w:sz w:val="18"/>
          <w:szCs w:val="18"/>
          <w:b w:val="1"/>
          <w:bCs w:val="1"/>
          <w:color w:val="auto"/>
        </w:rPr>
        <w:t>Memorandum</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good standing dated 14 April 2020 (the </w:t>
      </w:r>
      <w:r>
        <w:rPr>
          <w:rFonts w:ascii="Times New Roman" w:cs="Times New Roman" w:eastAsia="Times New Roman" w:hAnsi="Times New Roman"/>
          <w:sz w:val="18"/>
          <w:szCs w:val="18"/>
          <w:b w:val="1"/>
          <w:bCs w:val="1"/>
          <w:color w:val="auto"/>
        </w:rPr>
        <w:t>Good Standing Certificate</w:t>
      </w:r>
      <w:r>
        <w:rPr>
          <w:rFonts w:ascii="Times New Roman" w:cs="Times New Roman" w:eastAsia="Times New Roman" w:hAnsi="Times New Roman"/>
          <w:sz w:val="18"/>
          <w:szCs w:val="18"/>
          <w:color w:val="auto"/>
        </w:rPr>
        <w:t>) issued by the Registrar in respect of the Company;</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register of directors of the Company as at 13 March 2020 (the </w:t>
      </w:r>
      <w:r>
        <w:rPr>
          <w:rFonts w:ascii="Times New Roman" w:cs="Times New Roman" w:eastAsia="Times New Roman" w:hAnsi="Times New Roman"/>
          <w:sz w:val="18"/>
          <w:szCs w:val="18"/>
          <w:b w:val="1"/>
          <w:bCs w:val="1"/>
          <w:color w:val="auto"/>
        </w:rPr>
        <w:t>ROD</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listed register of members of the Company maintained by Continental Stock Transfer &amp; Trust as at 6 February 2020 (the </w:t>
      </w:r>
      <w:r>
        <w:rPr>
          <w:rFonts w:ascii="Times New Roman" w:cs="Times New Roman" w:eastAsia="Times New Roman" w:hAnsi="Times New Roman"/>
          <w:sz w:val="18"/>
          <w:szCs w:val="18"/>
          <w:b w:val="1"/>
          <w:bCs w:val="1"/>
          <w:color w:val="auto"/>
        </w:rPr>
        <w:t>ROM</w:t>
      </w:r>
      <w:r>
        <w:rPr>
          <w:rFonts w:ascii="Times New Roman" w:cs="Times New Roman" w:eastAsia="Times New Roman" w:hAnsi="Times New Roman"/>
          <w:sz w:val="18"/>
          <w:szCs w:val="18"/>
          <w:color w:val="auto"/>
        </w:rPr>
        <w:t>, and together with the ROD, the</w:t>
      </w:r>
      <w:r>
        <w:rPr>
          <w:rFonts w:ascii="Times New Roman" w:cs="Times New Roman" w:eastAsia="Times New Roman" w:hAnsi="Times New Roman"/>
          <w:sz w:val="18"/>
          <w:szCs w:val="18"/>
          <w:b w:val="1"/>
          <w:bCs w:val="1"/>
          <w:color w:val="auto"/>
        </w:rPr>
        <w:t xml:space="preserve"> Registers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S-8 filed with the U.S. Securities and Exchange Commission on 27 April 2020;</w:t>
      </w:r>
    </w:p>
    <w:p>
      <w:pPr>
        <w:spacing w:after="0" w:line="22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minutes of the meeting of the board of directors of the Company held on 28 February 2020 (the </w:t>
      </w:r>
      <w:r>
        <w:rPr>
          <w:rFonts w:ascii="Times New Roman" w:cs="Times New Roman" w:eastAsia="Times New Roman" w:hAnsi="Times New Roman"/>
          <w:sz w:val="18"/>
          <w:szCs w:val="18"/>
          <w:b w:val="1"/>
          <w:bCs w:val="1"/>
          <w:color w:val="auto"/>
        </w:rPr>
        <w:t>Board Resolutions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80" w:hanging="638"/>
        <w:spacing w:after="0" w:line="286"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minutes of the annual general meeting of the Company held on 3 April 2020 (the </w:t>
      </w:r>
      <w:r>
        <w:rPr>
          <w:rFonts w:ascii="Times New Roman" w:cs="Times New Roman" w:eastAsia="Times New Roman" w:hAnsi="Times New Roman"/>
          <w:sz w:val="18"/>
          <w:szCs w:val="18"/>
          <w:b w:val="1"/>
          <w:bCs w:val="1"/>
          <w:color w:val="auto"/>
        </w:rPr>
        <w:t>Shareholders’ Resolutions</w:t>
      </w:r>
      <w:r>
        <w:rPr>
          <w:rFonts w:ascii="Times New Roman" w:cs="Times New Roman" w:eastAsia="Times New Roman" w:hAnsi="Times New Roman"/>
          <w:sz w:val="18"/>
          <w:szCs w:val="18"/>
          <w:color w:val="auto"/>
        </w:rPr>
        <w:t xml:space="preserve">, and together with the Board Resolutions,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2020 Equity Incentive Plan (attached as Exhibit A to the Board Resolutions).</w:t>
      </w:r>
    </w:p>
    <w:p>
      <w:pPr>
        <w:spacing w:after="0" w:line="221"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rFonts w:ascii="Times New Roman" w:cs="Times New Roman" w:eastAsia="Times New Roman" w:hAnsi="Times New Roman"/>
          <w:sz w:val="18"/>
          <w:szCs w:val="18"/>
          <w:b w:val="1"/>
          <w:bCs w:val="1"/>
          <w:color w:val="auto"/>
        </w:rPr>
      </w:pPr>
    </w:p>
    <w:p>
      <w:pPr>
        <w:ind w:left="64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giving this opinion we have relied upon the assumptions set forth in this paragraph 2 without having carried out any independent investigation or verification in respect of those assumptions:</w:t>
      </w:r>
    </w:p>
    <w:p>
      <w:pPr>
        <w:spacing w:after="0" w:line="161"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original documents examined by us are authentic and complete;</w:t>
      </w:r>
    </w:p>
    <w:p>
      <w:pPr>
        <w:spacing w:after="0" w:line="22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copy documents examined by us (whether in facsimile, electronic or other form) conform to the originals and those originals are authentic and complete;</w:t>
      </w:r>
    </w:p>
    <w:p>
      <w:pPr>
        <w:spacing w:after="0" w:line="161"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seals, dates, stamps and markings (whether on original or copy documents) are genuine;</w:t>
      </w:r>
    </w:p>
    <w:p>
      <w:pPr>
        <w:spacing w:after="0" w:line="22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Good Standing Certificate, the Registers and the 2020 Equity Incentive Plan is accurate and complete as at the date of this opinion;</w:t>
      </w:r>
    </w:p>
    <w:p>
      <w:pPr>
        <w:spacing w:after="0" w:line="16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Articles provided to you are in full force and effect and have not been amended, varied, supplemented or revoked in any respect;</w:t>
      </w:r>
    </w:p>
    <w:p>
      <w:pPr>
        <w:spacing w:after="0" w:line="161" w:lineRule="exact"/>
        <w:rPr>
          <w:rFonts w:ascii="Times New Roman" w:cs="Times New Roman" w:eastAsia="Times New Roman" w:hAnsi="Times New Roman"/>
          <w:sz w:val="18"/>
          <w:szCs w:val="18"/>
          <w:color w:val="auto"/>
        </w:rPr>
      </w:pPr>
    </w:p>
    <w:p>
      <w:pPr>
        <w:jc w:val="both"/>
        <w:ind w:left="1280" w:hanging="638"/>
        <w:spacing w:after="0" w:line="266" w:lineRule="auto"/>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copies of the Form S-8 are true and correct copies and the Form S-8 conform in every material respect to the latest drafts of the same produced to us and, where the Form S-8 has been provided to us in successive drafts marked-up to indicate changes to such documents, all such changes have been so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4</w:t>
      </w:r>
    </w:p>
    <w:p>
      <w:pPr>
        <w:spacing w:after="0" w:line="229" w:lineRule="exact"/>
        <w:rPr>
          <w:sz w:val="20"/>
          <w:szCs w:val="20"/>
          <w:color w:val="auto"/>
        </w:rPr>
      </w:pPr>
    </w:p>
    <w:p>
      <w:pPr>
        <w:jc w:val="both"/>
        <w:ind w:left="1280" w:hanging="638"/>
        <w:spacing w:after="0" w:line="261"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Resolutions remains in full force and effect and each of the directors of the Company has acted in good faith with a view to the best interests of the Company and has exercised the standard of care, diligence and skill that is required of him or her in approving the 2020 Equity Incentive Plan and no director has a financial interest in or other relationship to a party of the transactions contemplated by the 2020 Equity Incentive Plan which has not been properly disclosed in the Board Resolutions;</w:t>
      </w:r>
    </w:p>
    <w:p>
      <w:pPr>
        <w:spacing w:after="0" w:line="179" w:lineRule="exact"/>
        <w:rPr>
          <w:rFonts w:ascii="Times New Roman" w:cs="Times New Roman" w:eastAsia="Times New Roman" w:hAnsi="Times New Roman"/>
          <w:sz w:val="18"/>
          <w:szCs w:val="18"/>
          <w:color w:val="auto"/>
        </w:rPr>
      </w:pPr>
    </w:p>
    <w:p>
      <w:pPr>
        <w:ind w:left="1280" w:right="20" w:hanging="638"/>
        <w:spacing w:after="0" w:line="282"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Resolutions have been duly passed in accordance with the Memorandum and Articles and remains in full force and effect</w:t>
      </w:r>
    </w:p>
    <w:p>
      <w:pPr>
        <w:spacing w:after="0" w:line="16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directors and shareholders of the Company have taken any steps to wind up the Company or to appoint a liquidator of the Company and no receiver has been appointed over any of the Company’s property or assets;</w:t>
      </w:r>
    </w:p>
    <w:p>
      <w:pPr>
        <w:spacing w:after="0" w:line="161" w:lineRule="exact"/>
        <w:rPr>
          <w:rFonts w:ascii="Times New Roman" w:cs="Times New Roman" w:eastAsia="Times New Roman" w:hAnsi="Times New Roman"/>
          <w:sz w:val="18"/>
          <w:szCs w:val="18"/>
          <w:color w:val="auto"/>
        </w:rPr>
      </w:pPr>
    </w:p>
    <w:p>
      <w:pPr>
        <w:jc w:val="both"/>
        <w:ind w:left="1280" w:right="20" w:hanging="638"/>
        <w:spacing w:after="0" w:line="266"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which the Company is authorized to issue under the 2020 Equity Incentive Plan to fulfil its obligation is 11,011,663 ordinary shares of US$0.0001 par value each of the Company and the consideration payable for each ESOP Share shall be no less than the par value of US$0.0001 each; and</w:t>
      </w:r>
    </w:p>
    <w:p>
      <w:pPr>
        <w:spacing w:after="0" w:line="17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provision of the law of any jurisdiction, other than the Cayman Islands, which would have any implication in relation to the opinions expressed herein.</w:t>
      </w:r>
    </w:p>
    <w:p>
      <w:pPr>
        <w:spacing w:after="0" w:line="158" w:lineRule="exact"/>
        <w:rPr>
          <w:sz w:val="20"/>
          <w:szCs w:val="20"/>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29" w:lineRule="exact"/>
        <w:rPr>
          <w:rFonts w:ascii="Times New Roman" w:cs="Times New Roman" w:eastAsia="Times New Roman" w:hAnsi="Times New Roman"/>
          <w:sz w:val="18"/>
          <w:szCs w:val="18"/>
          <w:b w:val="1"/>
          <w:bCs w:val="1"/>
          <w:color w:val="auto"/>
        </w:rPr>
      </w:pPr>
    </w:p>
    <w:p>
      <w:pPr>
        <w:ind w:lef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basis of the examinations and assumptions referred to above and subject to the limitations and qualifications set forth in paragraph 4 below, we are of the opinion that:</w:t>
      </w:r>
    </w:p>
    <w:p>
      <w:pPr>
        <w:spacing w:after="0" w:line="157"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status</w:t>
      </w:r>
    </w:p>
    <w:p>
      <w:pPr>
        <w:spacing w:after="0" w:line="229" w:lineRule="exact"/>
        <w:rPr>
          <w:sz w:val="20"/>
          <w:szCs w:val="20"/>
          <w:color w:val="auto"/>
        </w:rPr>
      </w:pPr>
    </w:p>
    <w:p>
      <w:pPr>
        <w:ind w:left="1280" w:hanging="638"/>
        <w:spacing w:after="0" w:line="282"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as an exempted company and is validly existing and in good standing with the Registrar. It is a separate legal entity and is subject to suit in its own name.</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Authorised Shares</w:t>
      </w:r>
    </w:p>
    <w:p>
      <w:pPr>
        <w:spacing w:after="0" w:line="229" w:lineRule="exact"/>
        <w:rPr>
          <w:sz w:val="20"/>
          <w:szCs w:val="20"/>
          <w:color w:val="auto"/>
        </w:rPr>
      </w:pPr>
    </w:p>
    <w:p>
      <w:pPr>
        <w:ind w:left="1280" w:hanging="638"/>
        <w:spacing w:after="0" w:line="282"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Memorandum, the authorised share capital of the Company is US$10,000 divided into 100,000,000 shares of US$0.0001 par value.</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Valid Issuance of ESOP Shares</w:t>
      </w:r>
    </w:p>
    <w:p>
      <w:pPr>
        <w:spacing w:after="0" w:line="229" w:lineRule="exact"/>
        <w:rPr>
          <w:sz w:val="20"/>
          <w:szCs w:val="20"/>
          <w:color w:val="auto"/>
        </w:rPr>
      </w:pPr>
    </w:p>
    <w:p>
      <w:pPr>
        <w:jc w:val="both"/>
        <w:ind w:left="1280" w:hanging="638"/>
        <w:spacing w:after="0" w:line="255"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ESOP Shares to be issued under the 2020 Equity Incentive Plan have been duly authorised by all necessary corporate action of the Company under the Memorandum and Articles and, upon the issuance and delivery of the ESOP Shares in accordance with the Memorandum and Articles, Board Resolutions and the terms of the 2020 Equity Incentive Plan and once consideration of not less than the par value is paid per share to the Company, the ESOP Shares will be duly authorized, validly issued, fully paid and non-assessable. Once the register of members has been updated to reflect the issuance, the shareholders recorded in the register of members will be deemed to have legal title to the shares set against their respective name and such shares may be transferrable in accordance with Article 6 of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4</w:t>
      </w:r>
    </w:p>
    <w:p>
      <w:pPr>
        <w:spacing w:after="0" w:line="225" w:lineRule="exact"/>
        <w:rPr>
          <w:sz w:val="20"/>
          <w:szCs w:val="20"/>
          <w:color w:val="auto"/>
        </w:rPr>
      </w:pPr>
    </w:p>
    <w:p>
      <w:pPr>
        <w:ind w:left="640" w:hanging="632"/>
        <w:spacing w:after="0"/>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and Qualifications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We offer no opinion:</w:t>
      </w:r>
    </w:p>
    <w:p>
      <w:pPr>
        <w:spacing w:after="0" w:line="225" w:lineRule="exact"/>
        <w:rPr>
          <w:sz w:val="20"/>
          <w:szCs w:val="20"/>
          <w:color w:val="auto"/>
        </w:rPr>
      </w:pPr>
    </w:p>
    <w:p>
      <w:pPr>
        <w:jc w:val="both"/>
        <w:ind w:left="1280" w:hanging="638"/>
        <w:spacing w:after="0" w:line="266"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laws other than the laws of the Cayman Islands, and we have not, for the purposes of this opinion, made any investigation of the laws of any other jurisdiction, and we express no opinion as to the meaning, validity, or effect of references in the 2020 Equity Incentive Plan to statutes, rules, regulations, codes or judicial authority of any jurisdiction other than the Cayman Islands; or</w:t>
      </w:r>
    </w:p>
    <w:p>
      <w:pPr>
        <w:spacing w:after="0" w:line="175" w:lineRule="exact"/>
        <w:rPr>
          <w:rFonts w:ascii="Times New Roman" w:cs="Times New Roman" w:eastAsia="Times New Roman" w:hAnsi="Times New Roman"/>
          <w:sz w:val="18"/>
          <w:szCs w:val="18"/>
          <w:color w:val="auto"/>
        </w:rPr>
      </w:pPr>
    </w:p>
    <w:p>
      <w:pPr>
        <w:jc w:val="both"/>
        <w:ind w:left="1280" w:hanging="638"/>
        <w:spacing w:after="0" w:line="261"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this opinion expressly provides otherwise, as to the commercial terms of, or the validity, enforceability or effect of the Form S-8, the accuracy of representations, the fulfilment of warranties or conditions, the occurrence of events of default or terminating events or the existence of any conflicts or inconsistencies among the Form S-8 and any other agreements into which the Company may have entered or any other documents.</w:t>
      </w:r>
    </w:p>
    <w:p>
      <w:pPr>
        <w:spacing w:after="0" w:line="176" w:lineRule="exact"/>
        <w:rPr>
          <w:sz w:val="20"/>
          <w:szCs w:val="20"/>
          <w:color w:val="auto"/>
        </w:rPr>
      </w:pPr>
    </w:p>
    <w:p>
      <w:pPr>
        <w:jc w:val="both"/>
        <w:ind w:left="640" w:hanging="633"/>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Under the Companies Law (Revised) (</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76" w:lineRule="exact"/>
        <w:rPr>
          <w:sz w:val="20"/>
          <w:szCs w:val="20"/>
          <w:color w:val="auto"/>
        </w:rPr>
      </w:pPr>
    </w:p>
    <w:p>
      <w:pPr>
        <w:jc w:val="both"/>
        <w:ind w:left="640" w:hanging="633"/>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good standing</w:t>
      </w:r>
      <w:r>
        <w:rPr>
          <w:rFonts w:ascii="Times New Roman" w:cs="Times New Roman" w:eastAsia="Times New Roman" w:hAnsi="Times New Roman"/>
          <w:sz w:val="18"/>
          <w:szCs w:val="18"/>
          <w:color w:val="auto"/>
        </w:rPr>
        <w:t xml:space="preserve"> means only that as of the date of this opinion the Company is up-to-date with the filing of its annual returns and payment of annual fees with the Registrar of Companies. We have made no enquiries into the Company’s good standing with respect to any filings or payment of fees, or both, that it may be required to make under the laws of the Cayman Islands other than the Companies Law.</w:t>
      </w:r>
    </w:p>
    <w:p>
      <w:pPr>
        <w:spacing w:after="0" w:line="171" w:lineRule="exact"/>
        <w:rPr>
          <w:sz w:val="20"/>
          <w:szCs w:val="20"/>
          <w:color w:val="auto"/>
        </w:rPr>
      </w:pPr>
    </w:p>
    <w:p>
      <w:pPr>
        <w:ind w:left="640" w:hanging="632"/>
        <w:spacing w:after="0"/>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of this opinion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This opinion is:</w:t>
      </w:r>
    </w:p>
    <w:p>
      <w:pPr>
        <w:spacing w:after="0" w:line="225" w:lineRule="exact"/>
        <w:rPr>
          <w:sz w:val="20"/>
          <w:szCs w:val="20"/>
          <w:color w:val="auto"/>
        </w:rPr>
      </w:pPr>
    </w:p>
    <w:p>
      <w:pPr>
        <w:ind w:left="1280" w:hanging="638"/>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governed by, and shall be construed in accordance with, the laws of the Cayman Islands;</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to the matters expressly stated in it; and</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confined to, and given on the basis of, the laws and practice in the Cayman Islands at the date of this opinion.</w:t>
      </w:r>
    </w:p>
    <w:p>
      <w:pPr>
        <w:spacing w:after="0" w:line="225"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Unless otherwise indicated, a reference to any specific Cayman Islands legislation is a reference to that legislation as amended to, and as in force at, the date of this opinion.</w:t>
      </w:r>
    </w:p>
    <w:p>
      <w:pPr>
        <w:spacing w:after="0" w:line="158"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w:t>
      </w:r>
    </w:p>
    <w:p>
      <w:pPr>
        <w:spacing w:after="0" w:line="22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hereby consent to the filing of this opinion as an exhibit to the Form S-8.</w:t>
      </w:r>
    </w:p>
    <w:p>
      <w:pPr>
        <w:spacing w:after="0" w:line="225"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opinion may be used only in connection with the Form S-8 while the 2020 Equity Incentive Plan is effective.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(Post-Effective Amendment No. 1 to Form S-8 No. 333-237846) of CLPS Incorporation pertaining to the 2020 Equity Incentive Plan and to the incorporation by reference therein of our report dated October 22, 2020, with respect to the consolidated financial statements of CLPS Incorporation included in its Annual Report (Form 20-F) for the year ended June 30, 2020,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6, 2020</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
    <w:nsid w:val="25E45D32"/>
    <w:multiLevelType w:val="hybridMultilevel"/>
    <w:lvl w:ilvl="0">
      <w:lvlJc w:val="left"/>
      <w:lvlText w:val="%1"/>
      <w:numFmt w:val="lowerLetter"/>
      <w:start w:val="1"/>
    </w:lvl>
    <w:lvl w:ilvl="1">
      <w:lvlJc w:val="left"/>
      <w:lvlText w:val="(%2)"/>
      <w:numFmt w:val="decimal"/>
      <w:start w:val="2"/>
    </w:lvl>
  </w:abstractNum>
  <w:abstractNum w:abstractNumId="9">
    <w:nsid w:val="519B500D"/>
    <w:multiLevelType w:val="hybridMultilevel"/>
    <w:lvl w:ilvl="0">
      <w:lvlJc w:val="left"/>
      <w:lvlText w:val="(%1)"/>
      <w:numFmt w:val="lowerLetter"/>
      <w:start w:val="2"/>
    </w:lvl>
    <w:lvl w:ilvl="1">
      <w:lvlJc w:val="left"/>
      <w:lvlText w:val="%2"/>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bullet"/>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2"/>
    </w:lvl>
  </w:abstractNum>
  <w:abstractNum w:abstractNumId="14">
    <w:nsid w:val="62BBD95A"/>
    <w:multiLevelType w:val="hybridMultilevel"/>
    <w:lvl w:ilvl="0">
      <w:lvlJc w:val="left"/>
      <w:lvlText w:val="2"/>
      <w:numFmt w:val="bullet"/>
      <w:start w:val="1"/>
    </w:lvl>
    <w:lvl w:ilvl="1">
      <w:lvlJc w:val="left"/>
      <w:lvlText w:val="(%2)"/>
      <w:numFmt w:val="lowerLetter"/>
      <w:start w:val="1"/>
    </w:lvl>
  </w:abstractNum>
  <w:abstractNum w:abstractNumId="15">
    <w:nsid w:val="436C6125"/>
    <w:multiLevelType w:val="hybridMultilevel"/>
    <w:lvl w:ilvl="0">
      <w:lvlJc w:val="left"/>
      <w:lvlText w:val="(%1)"/>
      <w:numFmt w:val="lowerLetter"/>
      <w:start w:val="7"/>
    </w:lvl>
  </w:abstractNum>
  <w:abstractNum w:abstractNumId="16">
    <w:nsid w:val="628C895D"/>
    <w:multiLevelType w:val="hybridMultilevel"/>
    <w:lvl w:ilvl="0">
      <w:lvlJc w:val="left"/>
      <w:lvlText w:val="3"/>
      <w:numFmt w:val="bullet"/>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2"/>
    </w:lvl>
  </w:abstractNum>
  <w:abstractNum w:abstractNumId="19">
    <w:nsid w:val="2443A858"/>
    <w:multiLevelType w:val="hybridMultilevel"/>
    <w:lvl w:ilvl="0">
      <w:lvlJc w:val="left"/>
      <w:lvlText w:val="(%1)"/>
      <w:numFmt w:val="lowerLetter"/>
      <w:start w:val="3"/>
    </w:lvl>
  </w:abstractNum>
  <w:abstractNum w:abstractNumId="20">
    <w:nsid w:val="2D1D5AE9"/>
    <w:multiLevelType w:val="hybridMultilevel"/>
    <w:lvl w:ilvl="0">
      <w:lvlJc w:val="left"/>
      <w:lvlText w:val="4"/>
      <w:numFmt w:val="bullet"/>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5"/>
      <w:numFmt w:val="bullet"/>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jpe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25" Type="http://schemas.openxmlformats.org/officeDocument/2006/relationships/hyperlink" Target="http://www.sec.gov/Archives/edgar/data/1724542/000121390020032817/f20f2020_clpsincorporation.htm" TargetMode="External"/><Relationship Id="rId26" Type="http://schemas.openxmlformats.org/officeDocument/2006/relationships/hyperlink" Target="http://www.sec.gov/Archives/edgar/data/1724542/000121390018003524/ff12018_clpsincorporation.htm" TargetMode="External"/><Relationship Id="rId27" Type="http://schemas.openxmlformats.org/officeDocument/2006/relationships/hyperlink" Target="http://www.sec.gov/Archives/edgar/data/1724542/000121390018006724/f8a12b0518_clpsincorporation.htm" TargetMode="External"/><Relationship Id="rId28" Type="http://schemas.openxmlformats.org/officeDocument/2006/relationships/hyperlink" Target="http://www.sec.gov/Archives/edgar/data/1724542/000121390020005674/ea119416-6k_clpsincor.htm" TargetMode="External"/><Relationship Id="rId29" Type="http://schemas.openxmlformats.org/officeDocument/2006/relationships/hyperlink" Target="http://www.sec.gov/Archives/edgar/data/1724542/000121390020006063/ea119550-6k_clpsincorp.htm" TargetMode="External"/><Relationship Id="rId30" Type="http://schemas.openxmlformats.org/officeDocument/2006/relationships/hyperlink" Target="http://www.sec.gov/Archives/edgar/data/1724542/000121390020008731/ea120492-6k_clpsincorp.htm" TargetMode="External"/><Relationship Id="rId31" Type="http://schemas.openxmlformats.org/officeDocument/2006/relationships/hyperlink" Target="http://www.sec.gov/Archives/edgar/data/1724542/000121390020016044/ea123561-6k_clpscorp.htm" TargetMode="External"/><Relationship Id="rId32" Type="http://schemas.openxmlformats.org/officeDocument/2006/relationships/hyperlink" Target="http://www.sec.gov/Archives/edgar/data/1724542/000121390020023290/ea125874-6k_clpsincorp.htm" TargetMode="External"/><Relationship Id="rId33" Type="http://schemas.openxmlformats.org/officeDocument/2006/relationships/hyperlink" Target="http://www.sec.gov/Archives/edgar/data/1724542/000121390020023939/ea126099-6k_clpsincor.htm" TargetMode="External"/><Relationship Id="rId40" Type="http://schemas.openxmlformats.org/officeDocument/2006/relationships/hyperlink" Target="http://www.sec.gov/Archives/edgar/data/1724542/000121390018003524/ff12018ex4-1_clpsincorp.htm" TargetMode="External"/><Relationship Id="rId41" Type="http://schemas.openxmlformats.org/officeDocument/2006/relationships/hyperlink" Target="http://www.sec.gov/Archives/edgar/data/1724542/000121390020010075/ea121022ex10-1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2020-11-06T07:02:45Z</dcterms:created>
  <dcterms:modified xsi:type="dcterms:W3CDTF">2020-11-06T07:02:45Z</dcterms:modified>
</cp:coreProperties>
</file>