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24, 2018</w:t>
      </w:r>
    </w:p>
    <w:p>
      <w:pPr>
        <w:spacing w:after="0" w:line="10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 to</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F-1</w:t>
      </w: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CLPS Incorporation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Cayman Islands</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0001724542</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Classification Code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VCorp Services,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Robert Pitt Drive, Suite 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Monsey, NY 10952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528-2677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areas code, of agent for service)</w:t>
      </w:r>
    </w:p>
    <w:p>
      <w:pPr>
        <w:spacing w:after="0" w:line="89"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54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292"/>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Ralph V. De Martino, Esq.</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0"/>
              </w:rPr>
              <w:t>Louis Taubman, Esq.</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F. Alec Orudjev, Esq.</w:t>
            </w:r>
          </w:p>
        </w:tc>
        <w:tc>
          <w:tcPr>
            <w:tcW w:w="5420" w:type="dxa"/>
            <w:vAlign w:val="bottom"/>
          </w:tcPr>
          <w:p>
            <w:pPr>
              <w:jc w:val="center"/>
              <w:ind w:left="2552"/>
              <w:spacing w:after="0"/>
              <w:rPr>
                <w:sz w:val="20"/>
                <w:szCs w:val="20"/>
                <w:color w:val="auto"/>
              </w:rPr>
            </w:pPr>
            <w:r>
              <w:rPr>
                <w:rFonts w:ascii="Arial" w:cs="Arial" w:eastAsia="Arial" w:hAnsi="Arial"/>
                <w:sz w:val="18"/>
                <w:szCs w:val="18"/>
                <w:b w:val="1"/>
                <w:bCs w:val="1"/>
                <w:color w:val="auto"/>
                <w:w w:val="95"/>
              </w:rPr>
              <w:t>Hunter Taubman Fischer &amp; Li LLC</w:t>
            </w:r>
          </w:p>
        </w:tc>
      </w:tr>
      <w:tr>
        <w:trPr>
          <w:trHeight w:val="221"/>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6"/>
              </w:rPr>
              <w:t>Schiff Hardin LLP</w:t>
            </w:r>
          </w:p>
        </w:tc>
        <w:tc>
          <w:tcPr>
            <w:tcW w:w="5420" w:type="dxa"/>
            <w:vAlign w:val="bottom"/>
          </w:tcPr>
          <w:p>
            <w:pPr>
              <w:jc w:val="center"/>
              <w:ind w:left="2532"/>
              <w:spacing w:after="0" w:line="221" w:lineRule="exact"/>
              <w:rPr>
                <w:sz w:val="20"/>
                <w:szCs w:val="20"/>
                <w:color w:val="auto"/>
              </w:rPr>
            </w:pPr>
            <w:r>
              <w:rPr>
                <w:rFonts w:ascii="Arial" w:cs="Arial" w:eastAsia="Arial" w:hAnsi="Arial"/>
                <w:sz w:val="16"/>
                <w:szCs w:val="16"/>
                <w:b w:val="1"/>
                <w:bCs w:val="1"/>
                <w:color w:val="auto"/>
              </w:rPr>
              <w:t>1450 Broadway, 26</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901 K Street, NW, Suite 700</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2"/>
              </w:rPr>
              <w:t>New York, NY 10018</w:t>
            </w:r>
          </w:p>
        </w:tc>
      </w:tr>
      <w:tr>
        <w:trPr>
          <w:trHeight w:val="216"/>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Washington, DC 20001</w:t>
            </w:r>
          </w:p>
        </w:tc>
        <w:tc>
          <w:tcPr>
            <w:tcW w:w="5420" w:type="dxa"/>
            <w:vAlign w:val="bottom"/>
          </w:tcPr>
          <w:p>
            <w:pPr>
              <w:jc w:val="center"/>
              <w:ind w:left="2532"/>
              <w:spacing w:after="0"/>
              <w:rPr>
                <w:sz w:val="20"/>
                <w:szCs w:val="20"/>
                <w:color w:val="auto"/>
              </w:rPr>
            </w:pPr>
            <w:r>
              <w:rPr>
                <w:rFonts w:ascii="Arial" w:cs="Arial" w:eastAsia="Arial" w:hAnsi="Arial"/>
                <w:sz w:val="18"/>
                <w:szCs w:val="18"/>
                <w:b w:val="1"/>
                <w:bCs w:val="1"/>
                <w:color w:val="auto"/>
                <w:w w:val="91"/>
              </w:rPr>
              <w:t>Tel: 917-512-0827</w:t>
            </w:r>
          </w:p>
        </w:tc>
      </w:tr>
      <w:tr>
        <w:trPr>
          <w:trHeight w:val="234"/>
        </w:trPr>
        <w:tc>
          <w:tcPr>
            <w:tcW w:w="286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Tel: 202-724-6848</w:t>
            </w:r>
          </w:p>
        </w:tc>
        <w:tc>
          <w:tcPr>
            <w:tcW w:w="5420" w:type="dxa"/>
            <w:vAlign w:val="bottom"/>
          </w:tcPr>
          <w:p>
            <w:pPr>
              <w:spacing w:after="0"/>
              <w:rPr>
                <w:sz w:val="20"/>
                <w:szCs w:val="20"/>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this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becomes effective.</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as soon as practicable after this Registration Statement becomes effective.</w:t>
      </w:r>
    </w:p>
    <w:p>
      <w:pPr>
        <w:spacing w:after="0" w:line="10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61"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1" w:lineRule="exact"/>
        <w:rPr>
          <w:sz w:val="24"/>
          <w:szCs w:val="24"/>
          <w:color w:val="auto"/>
        </w:rPr>
      </w:pPr>
    </w:p>
    <w:p>
      <w:pPr>
        <w:ind w:right="400"/>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spacing w:after="0"/>
              <w:rPr>
                <w:sz w:val="18"/>
                <w:szCs w:val="18"/>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00"/>
              <w:spacing w:after="0"/>
              <w:rPr>
                <w:sz w:val="20"/>
                <w:szCs w:val="20"/>
                <w:color w:val="auto"/>
              </w:rPr>
            </w:pPr>
            <w:r>
              <w:rPr>
                <w:rFonts w:ascii="Arial" w:cs="Arial" w:eastAsia="Arial" w:hAnsi="Arial"/>
                <w:sz w:val="18"/>
                <w:szCs w:val="18"/>
                <w:color w:val="auto"/>
              </w:rPr>
              <w:t>(Do not check if a smaller reporting company)</w:t>
            </w:r>
          </w:p>
        </w:tc>
        <w:tc>
          <w:tcPr>
            <w:tcW w:w="310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0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58"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6"/>
              </w:rPr>
              <w:t>Proposed</w:t>
            </w: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80"/>
              <w:spacing w:after="0" w:line="205" w:lineRule="exact"/>
              <w:rPr>
                <w:sz w:val="20"/>
                <w:szCs w:val="20"/>
                <w:color w:val="auto"/>
              </w:rPr>
            </w:pPr>
            <w:r>
              <w:rPr>
                <w:rFonts w:ascii="Arial" w:cs="Arial" w:eastAsia="Arial" w:hAnsi="Arial"/>
                <w:sz w:val="18"/>
                <w:szCs w:val="18"/>
                <w:b w:val="1"/>
                <w:bCs w:val="1"/>
                <w:color w:val="auto"/>
                <w:w w:val="86"/>
              </w:rPr>
              <w:t>Proposed</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Offering</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Amount to Be</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Offering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41"/>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Title of Class of Securities to be Registered</w:t>
            </w: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Registered</w:t>
            </w:r>
          </w:p>
        </w:tc>
        <w:tc>
          <w:tcPr>
            <w:tcW w:w="12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per Share</w:t>
            </w:r>
          </w:p>
        </w:tc>
        <w:tc>
          <w:tcPr>
            <w:tcW w:w="1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Price (1)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Fee</w:t>
            </w:r>
          </w:p>
        </w:tc>
        <w:tc>
          <w:tcPr>
            <w:tcW w:w="0" w:type="dxa"/>
            <w:vAlign w:val="bottom"/>
          </w:tcPr>
          <w:p>
            <w:pPr>
              <w:spacing w:after="0"/>
              <w:rPr>
                <w:sz w:val="1"/>
                <w:szCs w:val="1"/>
                <w:color w:val="auto"/>
              </w:rPr>
            </w:pP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par value $0.0001 per share sold by the Registrant (2)</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1,574.92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Underwriters’ share purchase warrants (3)(5)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underlying underwriter’s warrants (3)(4)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0"/>
              </w:rPr>
              <w:t>(6)</w:t>
            </w:r>
          </w:p>
        </w:tc>
        <w:tc>
          <w:tcPr>
            <w:tcW w:w="0" w:type="dxa"/>
            <w:vAlign w:val="bottom"/>
          </w:tcPr>
          <w:p>
            <w:pPr>
              <w:spacing w:after="0" w:line="20" w:lineRule="exact"/>
              <w:rPr>
                <w:sz w:val="1"/>
                <w:szCs w:val="1"/>
                <w:color w:val="auto"/>
              </w:rPr>
            </w:pPr>
          </w:p>
        </w:tc>
      </w:tr>
      <w:tr>
        <w:trPr>
          <w:trHeight w:val="237"/>
        </w:trPr>
        <w:tc>
          <w:tcPr>
            <w:tcW w:w="60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13,409,000</w:t>
            </w:r>
          </w:p>
        </w:tc>
        <w:tc>
          <w:tcPr>
            <w:tcW w:w="2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1,669.41</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 as amended.</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300,000 shares of common stock which may be issued on exercise of a 45-day option granted to the underwriters to cover over-allotments, if any.</w:t>
      </w:r>
    </w:p>
    <w:p>
      <w:pPr>
        <w:spacing w:after="0" w:line="32" w:lineRule="exact"/>
        <w:rPr>
          <w:rFonts w:ascii="Arial" w:cs="Arial" w:eastAsia="Arial" w:hAnsi="Arial"/>
          <w:sz w:val="16"/>
          <w:szCs w:val="16"/>
          <w:color w:val="auto"/>
        </w:rPr>
      </w:pPr>
    </w:p>
    <w:p>
      <w:pPr>
        <w:jc w:val="both"/>
        <w:ind w:firstLine="8"/>
        <w:spacing w:after="0" w:line="281" w:lineRule="auto"/>
        <w:tabs>
          <w:tab w:leader="none" w:pos="266"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have agreed to issue to the underwriters, upon closing of this offering, warrants exercisable for a period of five years from the effective date of this registration statement entitling the representative to purchase: (i) up to 5% of the number of common shares sold to investors introduced by the underwriters in this offering; and (ii) up to 3% of the number of common shares issued to investors identified by the Company in this offering. Resales of shares of common stock issuable upon exercise of the underwriter warrants are being similarly registered on a delayed or continuous basis. See “Underwriting.”</w:t>
      </w:r>
    </w:p>
    <w:p>
      <w:pPr>
        <w:spacing w:after="0" w:line="2" w:lineRule="exact"/>
        <w:rPr>
          <w:rFonts w:ascii="Arial" w:cs="Arial" w:eastAsia="Arial" w:hAnsi="Arial"/>
          <w:sz w:val="16"/>
          <w:szCs w:val="16"/>
          <w:color w:val="auto"/>
        </w:rPr>
      </w:pPr>
    </w:p>
    <w:p>
      <w:pPr>
        <w:jc w:val="both"/>
        <w:ind w:firstLine="8"/>
        <w:spacing w:after="0" w:line="250" w:lineRule="auto"/>
        <w:tabs>
          <w:tab w:leader="none" w:pos="27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purposes of calculating the registration fee pursuant to Rule 457(g) under the Securities Act. We have calculated the proposed maximum aggregate offering price of the common stock underlying the underwriter’s warrants by assuming that such warrants are exercisable at a price per share equal to 120% of the price per share sold in this offering.</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separate registration fee required pursuant to Rule 457(g) under the Securities Act.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right="8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is filed with the Securities and Exchange Commission is effective. This prospectus is not an offer to sell these securities and is not soliciting an offer to buy these securities in any state or other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April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85725</wp:posOffset>
            </wp:positionV>
            <wp:extent cx="2358390" cy="1174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2,000,000 common shares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This is the initial public offering of CLPS Incorporation. We are offering 2,000,000 common shares. We expect that the initial public offering price will be between $5.00 and $5.50 per common share.</w:t>
      </w:r>
    </w:p>
    <w:p>
      <w:pPr>
        <w:spacing w:after="0" w:line="170"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 public market currently exists for our common shares. We have applied for approval for quotation on the NASDAQ Capital Market under the symbol “CLPS” for the common shares we are offering. We believe that upon the completion of the offering contemplated by this prospectus, we will meet the standards for listing on the NASDAQ Capital Market.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Act of 2012, as amended, and, as such, will be subject to reduced public company reporting requirements.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anticipate that following the completion of this initial public offering of our securities our Chairman, Xiao Feng Yang, and our Chief Executive Officer, Raymond Ming Hui Lin, each will beneficially own approximately 37.62% of the Company’s then outstanding securities. While under NASDAQ Marketplace Rules 5615(c), it may be deemed a “controlled company,” the Company does not intend to avail itself of the corporate governance exemptions afforded to a “controlled company” under the NASDAQ Marketplace Rules.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An investment in our securities is highly speculative, involves a high degree of risk and should be considered only by persons who can afford the loss of their entire investment. See “Risk Factors” beginning on page 12 of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 (1)(2)</w:t>
            </w:r>
          </w:p>
        </w:tc>
        <w:tc>
          <w:tcPr>
            <w:tcW w:w="3580" w:type="dxa"/>
            <w:vAlign w:val="bottom"/>
            <w:gridSpan w:val="2"/>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580" w:type="dxa"/>
            <w:vAlign w:val="bottom"/>
            <w:gridSpan w:val="2"/>
            <w:shd w:val="clear" w:color="auto" w:fill="CCEEFF"/>
          </w:tcPr>
          <w:p>
            <w:pPr>
              <w:jc w:val="right"/>
              <w:ind w:right="737"/>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jc w:val="both"/>
        <w:ind w:left="360" w:right="40" w:hanging="352"/>
        <w:spacing w:after="0" w:line="256"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underwriting discount and commissions equal to (i) 6.5% per share (or $[●] per share), which is the underwriting discount we have agreed to pay on all investors in this Offering introduced by the underwriters; and (ii) 4% per share (or $[●] per share), which is the underwriting discount we have agreed to pay on all investors in this Offering introduced by us.</w:t>
      </w:r>
    </w:p>
    <w:p>
      <w:pPr>
        <w:ind w:left="360" w:right="700" w:hanging="352"/>
        <w:spacing w:after="0" w:line="255"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Does not include a non-accountable expense allowance equal to 0.5% of the gross proceeds of this offering, payable the underwriters, or the reimbursement of certain expenses of the underwriters. See “Underwriting” beginning on page 105 of this prospectus for additional information regarding total underwriter compensation.</w:t>
      </w:r>
    </w:p>
    <w:p>
      <w:pPr>
        <w:spacing w:after="0" w:line="190" w:lineRule="exact"/>
        <w:rPr>
          <w:sz w:val="20"/>
          <w:szCs w:val="20"/>
          <w:color w:val="auto"/>
        </w:rPr>
      </w:pPr>
    </w:p>
    <w:p>
      <w:pPr>
        <w:jc w:val="both"/>
        <w:ind w:right="80" w:firstLine="648"/>
        <w:spacing w:after="0" w:line="291" w:lineRule="auto"/>
        <w:rPr>
          <w:sz w:val="20"/>
          <w:szCs w:val="20"/>
          <w:color w:val="auto"/>
        </w:rPr>
      </w:pPr>
      <w:r>
        <w:rPr>
          <w:rFonts w:ascii="Arial" w:cs="Arial" w:eastAsia="Arial" w:hAnsi="Arial"/>
          <w:sz w:val="16"/>
          <w:szCs w:val="16"/>
          <w:color w:val="auto"/>
        </w:rPr>
        <w:t>In addition to the underwriting discounts listed above and the non-accountable expense allowance described in the footnote, we have agreed to issue upon the closing of this offering, compensation warrants to The Benchmark Company, LLC, as representative of the underwriters, entitling them to purchase:</w:t>
      </w:r>
    </w:p>
    <w:p>
      <w:pPr>
        <w:ind w:right="300" w:firstLine="8"/>
        <w:spacing w:after="0" w:line="254"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up to 5% of the number of common shares sold to investors introduced by the underwriters in this offering; and (ii) up to 3% of the number of common shares issued to investors identified by the Company in this offering. The registration statement of which this prospectus is a part also covers the underwriters’ warrants and the common shares issuable upon the exercise thereof. For additional information regarding our arrangement with the underwriters, please see “Underwriting” beginning on page 105.</w:t>
      </w:r>
    </w:p>
    <w:p>
      <w:pPr>
        <w:spacing w:after="0" w:line="19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have granted the representative an option, exercisable for 45 days from the date of this prospectus, to purchase up to an additional 300,000 common shares on the same terms as the other shares being purchased by the underwriters from us.</w:t>
      </w:r>
    </w:p>
    <w:p>
      <w:pPr>
        <w:spacing w:after="0" w:line="170" w:lineRule="exact"/>
        <w:rPr>
          <w:sz w:val="20"/>
          <w:szCs w:val="20"/>
          <w:color w:val="auto"/>
        </w:rPr>
      </w:pPr>
    </w:p>
    <w:p>
      <w:pPr>
        <w:ind w:left="660"/>
        <w:spacing w:after="0"/>
        <w:tabs>
          <w:tab w:leader="none" w:pos="8320" w:val="left"/>
        </w:tabs>
        <w:rPr>
          <w:sz w:val="20"/>
          <w:szCs w:val="20"/>
          <w:color w:val="auto"/>
        </w:rPr>
      </w:pPr>
      <w:r>
        <w:rPr>
          <w:rFonts w:ascii="Arial" w:cs="Arial" w:eastAsia="Arial" w:hAnsi="Arial"/>
          <w:sz w:val="17"/>
          <w:szCs w:val="17"/>
          <w:color w:val="auto"/>
        </w:rPr>
        <w:t>The underwriters expect to deliver the common shares against payment in U.S. dollars on or about May</w:t>
      </w:r>
      <w:r>
        <w:rPr>
          <w:sz w:val="20"/>
          <w:szCs w:val="20"/>
          <w:color w:val="auto"/>
        </w:rPr>
        <w:tab/>
      </w:r>
      <w:r>
        <w:rPr>
          <w:rFonts w:ascii="Arial" w:cs="Arial" w:eastAsia="Arial" w:hAnsi="Arial"/>
          <w:sz w:val="16"/>
          <w:szCs w:val="16"/>
          <w:color w:val="auto"/>
        </w:rPr>
        <w:t>, 2018.</w:t>
      </w:r>
    </w:p>
    <w:p>
      <w:pPr>
        <w:spacing w:after="0" w:line="1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ectPr>
          <w:pgSz w:w="11900" w:h="16838" w:orient="portrait"/>
          <w:cols w:equalWidth="0" w:num="1">
            <w:col w:w="11420"/>
          </w:cols>
          <w:pgMar w:left="240" w:top="904" w:right="239" w:bottom="381" w:gutter="0" w:footer="0" w:header="0"/>
        </w:sectPr>
      </w:pPr>
    </w:p>
    <w:p>
      <w:pPr>
        <w:spacing w:after="0" w:line="175" w:lineRule="exact"/>
        <w:rPr>
          <w:sz w:val="20"/>
          <w:szCs w:val="20"/>
          <w:color w:val="auto"/>
        </w:rPr>
      </w:pPr>
    </w:p>
    <w:p>
      <w:pPr>
        <w:ind w:left="2240"/>
        <w:spacing w:after="0"/>
        <w:rPr>
          <w:sz w:val="20"/>
          <w:szCs w:val="20"/>
          <w:color w:val="auto"/>
        </w:rPr>
      </w:pPr>
      <w:r>
        <w:rPr>
          <w:rFonts w:ascii="Arial" w:cs="Arial" w:eastAsia="Arial" w:hAnsi="Arial"/>
          <w:sz w:val="23"/>
          <w:szCs w:val="23"/>
          <w:b w:val="1"/>
          <w:bCs w:val="1"/>
          <w:color w:val="auto"/>
        </w:rPr>
        <w:t>Benchmark</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Cuttone &amp; Co., LLC</w:t>
      </w:r>
    </w:p>
    <w:p>
      <w:pPr>
        <w:spacing w:after="0" w:line="53" w:lineRule="exact"/>
        <w:rPr>
          <w:sz w:val="20"/>
          <w:szCs w:val="20"/>
          <w:color w:val="auto"/>
        </w:rPr>
      </w:pPr>
    </w:p>
    <w:p>
      <w:pPr>
        <w:sectPr>
          <w:pgSz w:w="11900" w:h="16838" w:orient="portrait"/>
          <w:cols w:equalWidth="0" w:num="2">
            <w:col w:w="6740" w:space="720"/>
            <w:col w:w="3960"/>
          </w:cols>
          <w:pgMar w:left="240" w:top="904" w:right="239" w:bottom="381" w:gutter="0" w:footer="0" w:header="0"/>
          <w:type w:val="continuous"/>
        </w:sectPr>
      </w:pPr>
    </w:p>
    <w:p>
      <w:pPr>
        <w:ind w:left="2000"/>
        <w:spacing w:after="0"/>
        <w:rPr>
          <w:sz w:val="20"/>
          <w:szCs w:val="20"/>
          <w:color w:val="auto"/>
        </w:rPr>
      </w:pPr>
      <w:r>
        <w:rPr>
          <w:rFonts w:ascii="Arial" w:cs="Arial" w:eastAsia="Arial" w:hAnsi="Arial"/>
          <w:sz w:val="16"/>
          <w:szCs w:val="16"/>
          <w:i w:val="1"/>
          <w:iCs w:val="1"/>
          <w:color w:val="auto"/>
        </w:rPr>
        <w:t>Book Running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Co-Manager</w:t>
      </w:r>
    </w:p>
    <w:p>
      <w:pPr>
        <w:spacing w:after="0" w:line="113" w:lineRule="exact"/>
        <w:rPr>
          <w:sz w:val="20"/>
          <w:szCs w:val="20"/>
          <w:color w:val="auto"/>
        </w:rPr>
      </w:pPr>
    </w:p>
    <w:p>
      <w:pPr>
        <w:sectPr>
          <w:pgSz w:w="11900" w:h="16838" w:orient="portrait"/>
          <w:cols w:equalWidth="0" w:num="2">
            <w:col w:w="7380" w:space="720"/>
            <w:col w:w="3320"/>
          </w:cols>
          <w:pgMar w:left="240" w:top="904" w:right="239" w:bottom="381" w:gutter="0" w:footer="0" w:header="0"/>
          <w:type w:val="continuous"/>
        </w:sectPr>
      </w:pPr>
    </w:p>
    <w:p>
      <w:pPr>
        <w:ind w:left="408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2018</w:t>
      </w:r>
    </w:p>
    <w:p>
      <w:pPr>
        <w:sectPr>
          <w:pgSz w:w="11900" w:h="16838" w:orient="portrait"/>
          <w:cols w:equalWidth="0" w:num="2">
            <w:col w:w="6320" w:space="580"/>
            <w:col w:w="4520"/>
          </w:cols>
          <w:pgMar w:left="240" w:top="904" w:right="239" w:bottom="38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4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Prospectus Summary</w:t>
              </w:r>
            </w:hyperlink>
          </w:p>
        </w:tc>
        <w:tc>
          <w:tcPr>
            <w:tcW w:w="7220" w:type="dxa"/>
            <w:vAlign w:val="bottom"/>
            <w:tcBorders>
              <w:bottom w:val="single" w:sz="8" w:color="CCEEFF"/>
            </w:tcBorders>
            <w:gridSpan w:val="15"/>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Forward-Looking Statements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6640" w:type="dxa"/>
            <w:vAlign w:val="bottom"/>
            <w:tcBorders>
              <w:top w:val="single" w:sz="8" w:color="CCEEFF"/>
            </w:tcBorders>
            <w:gridSpan w:val="10"/>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Dividend Policy</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Exchange Rate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Capitalization</w:t>
              </w:r>
            </w:hyperlink>
          </w:p>
        </w:tc>
        <w:tc>
          <w:tcPr>
            <w:tcW w:w="7740" w:type="dxa"/>
            <w:vAlign w:val="bottom"/>
            <w:tcBorders>
              <w:bottom w:val="single" w:sz="8" w:color="CCEEFF"/>
            </w:tcBorders>
            <w:gridSpan w:val="18"/>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Dilution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Selected Historical Financial and Operating Data</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Post-Offering Ownership</w:t>
              </w:r>
            </w:hyperlink>
          </w:p>
        </w:tc>
        <w:tc>
          <w:tcPr>
            <w:tcW w:w="5220" w:type="dxa"/>
            <w:vAlign w:val="bottom"/>
            <w:tcBorders>
              <w:top w:val="single" w:sz="8" w:color="CCEEFF"/>
            </w:tcBorders>
            <w:gridSpan w:val="4"/>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Our Business</w:t>
              </w:r>
            </w:hyperlink>
          </w:p>
        </w:tc>
        <w:tc>
          <w:tcPr>
            <w:tcW w:w="2300" w:type="dxa"/>
            <w:vAlign w:val="bottom"/>
            <w:tcBorders>
              <w:top w:val="single" w:sz="8" w:color="CCEEFF"/>
            </w:tcBorders>
          </w:tcPr>
          <w:p>
            <w:pPr>
              <w:spacing w:after="0"/>
              <w:rPr>
                <w:sz w:val="15"/>
                <w:szCs w:val="15"/>
                <w:color w:val="auto"/>
              </w:rPr>
            </w:pPr>
          </w:p>
        </w:tc>
        <w:tc>
          <w:tcPr>
            <w:tcW w:w="2660" w:type="dxa"/>
            <w:vAlign w:val="bottom"/>
            <w:tcBorders>
              <w:top w:val="single" w:sz="8" w:color="CCEEFF"/>
            </w:tcBorders>
          </w:tcPr>
          <w:p>
            <w:pPr>
              <w:jc w:val="center"/>
              <w:ind w:left="1670"/>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1"/>
              </w:rPr>
            </w:pPr>
            <w:hyperlink w:anchor="page86">
              <w:r>
                <w:rPr>
                  <w:rFonts w:ascii="Arial" w:cs="Arial" w:eastAsia="Arial" w:hAnsi="Arial"/>
                  <w:sz w:val="18"/>
                  <w:szCs w:val="18"/>
                  <w:color w:val="0000EE"/>
                  <w:w w:val="91"/>
                </w:rPr>
                <w:t>Directors and Executive Officers</w:t>
              </w:r>
            </w:hyperlink>
          </w:p>
        </w:tc>
        <w:tc>
          <w:tcPr>
            <w:tcW w:w="6380" w:type="dxa"/>
            <w:vAlign w:val="bottom"/>
            <w:tcBorders>
              <w:bottom w:val="single" w:sz="8" w:color="CCEEFF"/>
            </w:tcBorders>
            <w:gridSpan w:val="7"/>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Related Party Transactions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Security Ownership of Certain Beneficial Owners and Management</w:t>
              </w:r>
            </w:hyperlink>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Description of Share Capital</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92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Shares Eligible for Future Sale</w:t>
              </w:r>
            </w:hyperlink>
          </w:p>
        </w:tc>
        <w:tc>
          <w:tcPr>
            <w:tcW w:w="2660" w:type="dxa"/>
            <w:vAlign w:val="bottom"/>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Tax Matters Applicable to U.S. Holders of Our Shares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Enforceability of Civil Liabilities</w:t>
              </w:r>
            </w:hyperlink>
          </w:p>
        </w:tc>
        <w:tc>
          <w:tcPr>
            <w:tcW w:w="6340" w:type="dxa"/>
            <w:vAlign w:val="bottom"/>
            <w:tcBorders>
              <w:bottom w:val="single" w:sz="8" w:color="CCEEFF"/>
            </w:tcBorders>
            <w:gridSpan w:val="6"/>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Determination of Offering Price</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Underwriting</w:t>
              </w:r>
            </w:hyperlink>
          </w:p>
        </w:tc>
        <w:tc>
          <w:tcPr>
            <w:tcW w:w="7780" w:type="dxa"/>
            <w:vAlign w:val="bottom"/>
            <w:tcBorders>
              <w:bottom w:val="single" w:sz="8" w:color="CCEEFF"/>
            </w:tcBorders>
            <w:gridSpan w:val="19"/>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Legal Matters</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5"/>
              </w:rPr>
            </w:pPr>
            <w:hyperlink w:anchor="page114">
              <w:r>
                <w:rPr>
                  <w:rFonts w:ascii="Arial" w:cs="Arial" w:eastAsia="Arial" w:hAnsi="Arial"/>
                  <w:sz w:val="18"/>
                  <w:szCs w:val="18"/>
                  <w:color w:val="0000EE"/>
                  <w:w w:val="85"/>
                </w:rPr>
                <w:t>Experts</w:t>
              </w:r>
            </w:hyperlink>
          </w:p>
        </w:tc>
        <w:tc>
          <w:tcPr>
            <w:tcW w:w="8200" w:type="dxa"/>
            <w:vAlign w:val="bottom"/>
            <w:tcBorders>
              <w:bottom w:val="single" w:sz="8" w:color="CCEEFF"/>
            </w:tcBorders>
            <w:gridSpan w:val="22"/>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40" w:type="dxa"/>
            <w:vAlign w:val="bottom"/>
            <w:gridSpan w:val="23"/>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Where You Can Find More Information</w:t>
              </w:r>
            </w:hyperlink>
          </w:p>
        </w:tc>
        <w:tc>
          <w:tcPr>
            <w:tcW w:w="2660" w:type="dxa"/>
            <w:vAlign w:val="bottom"/>
          </w:tcPr>
          <w:p>
            <w:pPr>
              <w:jc w:val="center"/>
              <w:ind w:left="1670"/>
              <w:spacing w:after="0" w:line="176" w:lineRule="exact"/>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40" w:type="dxa"/>
            <w:vAlign w:val="bottom"/>
            <w:gridSpan w:val="23"/>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Financial Statements</w:t>
              </w:r>
            </w:hyperlink>
          </w:p>
        </w:tc>
        <w:tc>
          <w:tcPr>
            <w:tcW w:w="2660" w:type="dxa"/>
            <w:vAlign w:val="bottom"/>
            <w:shd w:val="clear" w:color="auto" w:fill="CCEEFF"/>
          </w:tcPr>
          <w:p>
            <w:pPr>
              <w:ind w:left="20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firstLine="648"/>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or in any free writing prospectus we may authorize to be delivered or made available to you. Neither we, nor the underwriters have authorized anyone to provide you with different information. The information in this prospectus is accurate only as of the date of this prospectus, regardless of the time of delivery of this prospectus, or any free writing prospectus, as the case may be, or any sale of shares in the Company.</w:t>
      </w:r>
    </w:p>
    <w:p>
      <w:pPr>
        <w:spacing w:after="0" w:line="18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Neither we, nor the underwriters have done anything that would permit this offering or possession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shares and the distribution of this prospectus outside the United States.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283845</wp:posOffset>
            </wp:positionV>
            <wp:extent cx="7216140" cy="5878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140" cy="587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00" w:right="60" w:firstLine="648"/>
        <w:spacing w:after="0" w:line="271" w:lineRule="auto"/>
        <w:rPr>
          <w:sz w:val="20"/>
          <w:szCs w:val="20"/>
          <w:color w:val="auto"/>
        </w:rPr>
      </w:pPr>
      <w:r>
        <w:rPr>
          <w:rFonts w:ascii="Arial" w:cs="Arial" w:eastAsia="Arial" w:hAnsi="Arial"/>
          <w:sz w:val="17"/>
          <w:szCs w:val="17"/>
          <w:i w:val="1"/>
          <w:iCs w:val="1"/>
          <w:color w:val="auto"/>
        </w:rPr>
        <w:t>This summary highlights information that we present more fully in the rest of this prospectus. This summary does not contain all of the information you should consider before buying common shares in this offering. This summary contains forward-looking statements that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 You should read the entire prospectus carefully, including the “Risk Factors” section and the financial statements and the notes to those statements.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00" w:firstLine="648"/>
        <w:spacing w:after="0" w:line="286" w:lineRule="auto"/>
        <w:rPr>
          <w:sz w:val="20"/>
          <w:szCs w:val="20"/>
          <w:color w:val="auto"/>
        </w:rPr>
      </w:pPr>
      <w:r>
        <w:rPr>
          <w:rFonts w:ascii="Arial" w:cs="Arial" w:eastAsia="Arial" w:hAnsi="Arial"/>
          <w:sz w:val="16"/>
          <w:szCs w:val="16"/>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The nature of the Company’s services is such that it provides a majority of services to its banking and credit card clients in order to build new or modify existing clients’ own proprietary systems. On a very limited basis, the Company implements its own software systems, such as CLPS Virtual Banking Platform. We maintain eleven delivery and or research &amp;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1080" w:right="140" w:hanging="329"/>
        <w:spacing w:after="0" w:line="277" w:lineRule="auto"/>
        <w:tabs>
          <w:tab w:leader="none" w:pos="10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Banking or their China-based IT centers – </w:t>
      </w:r>
      <w:r>
        <w:rPr>
          <w:rFonts w:ascii="Arial" w:cs="Arial" w:eastAsia="Arial" w:hAnsi="Arial"/>
          <w:sz w:val="18"/>
          <w:szCs w:val="18"/>
          <w:color w:val="auto"/>
        </w:rPr>
        <w:t>Citibank, Standard Chartered Bank (China) Ltd., ANZ Bank, Commonwealth Bank of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Bank of Communications.</w:t>
      </w:r>
    </w:p>
    <w:p>
      <w:pPr>
        <w:spacing w:after="0" w:line="170" w:lineRule="exact"/>
        <w:rPr>
          <w:rFonts w:ascii="Arial" w:cs="Arial" w:eastAsia="Arial" w:hAnsi="Arial"/>
          <w:sz w:val="18"/>
          <w:szCs w:val="18"/>
          <w:i w:val="1"/>
          <w:iCs w:val="1"/>
          <w:color w:val="auto"/>
        </w:rPr>
      </w:pPr>
    </w:p>
    <w:p>
      <w:pPr>
        <w:ind w:left="1080" w:right="260" w:hanging="329"/>
        <w:spacing w:after="0" w:line="277" w:lineRule="auto"/>
        <w:tabs>
          <w:tab w:leader="none" w:pos="10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 </w:t>
      </w:r>
      <w:r>
        <w:rPr>
          <w:rFonts w:ascii="Arial" w:cs="Arial" w:eastAsia="Arial" w:hAnsi="Arial"/>
          <w:sz w:val="18"/>
          <w:szCs w:val="18"/>
          <w:color w:val="auto"/>
        </w:rPr>
        <w:t>AIA, China Life Insurance, First Data, Haitong Securities, Orient Securities and China Universal Asset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rFonts w:ascii="Arial" w:cs="Arial" w:eastAsia="Arial" w:hAnsi="Arial"/>
          <w:sz w:val="18"/>
          <w:szCs w:val="18"/>
          <w:i w:val="1"/>
          <w:iCs w:val="1"/>
          <w:color w:val="auto"/>
        </w:rPr>
      </w:pPr>
    </w:p>
    <w:p>
      <w:pPr>
        <w:ind w:left="1080" w:hanging="329"/>
        <w:spacing w:after="0"/>
        <w:tabs>
          <w:tab w:leader="none" w:pos="10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 </w:t>
      </w:r>
      <w:r>
        <w:rPr>
          <w:rFonts w:ascii="Arial" w:cs="Arial" w:eastAsia="Arial" w:hAnsi="Arial"/>
          <w:sz w:val="18"/>
          <w:szCs w:val="18"/>
          <w:color w:val="auto"/>
        </w:rPr>
        <w:t>eBay, CRIF Information Technology, Experian, AGFA Healthcare and Neusoft.</w:t>
      </w:r>
    </w:p>
    <w:p>
      <w:pPr>
        <w:spacing w:after="0" w:line="225" w:lineRule="exact"/>
        <w:rPr>
          <w:sz w:val="20"/>
          <w:szCs w:val="20"/>
          <w:color w:val="auto"/>
        </w:rPr>
      </w:pPr>
    </w:p>
    <w:p>
      <w:pPr>
        <w:ind w:left="100" w:right="120"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technological know-how to attract new business and remain cost competitive.</w:t>
      </w: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034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9034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Credit Card Services</w:t>
      </w:r>
    </w:p>
    <w:p>
      <w:pPr>
        <w:spacing w:after="0" w:line="144" w:lineRule="exact"/>
        <w:rPr>
          <w:sz w:val="20"/>
          <w:szCs w:val="20"/>
          <w:color w:val="auto"/>
        </w:rPr>
      </w:pPr>
    </w:p>
    <w:p>
      <w:pPr>
        <w:ind w:left="100" w:right="160" w:firstLine="648"/>
        <w:spacing w:after="0" w:line="259" w:lineRule="auto"/>
        <w:rPr>
          <w:sz w:val="20"/>
          <w:szCs w:val="20"/>
          <w:color w:val="auto"/>
        </w:rPr>
      </w:pPr>
      <w:r>
        <w:rPr>
          <w:rFonts w:ascii="Arial" w:cs="Arial" w:eastAsia="Arial" w:hAnsi="Arial"/>
          <w:sz w:val="18"/>
          <w:szCs w:val="18"/>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06" w:lineRule="exact"/>
        <w:rPr>
          <w:sz w:val="20"/>
          <w:szCs w:val="20"/>
          <w:color w:val="auto"/>
        </w:rPr>
      </w:pPr>
    </w:p>
    <w:p>
      <w:pPr>
        <w:ind w:left="100" w:right="200" w:firstLine="648"/>
        <w:spacing w:after="0" w:line="302" w:lineRule="auto"/>
        <w:rPr>
          <w:sz w:val="20"/>
          <w:szCs w:val="20"/>
          <w:color w:val="auto"/>
        </w:rPr>
      </w:pPr>
      <w:r>
        <w:rPr>
          <w:rFonts w:ascii="Arial" w:cs="Arial" w:eastAsia="Arial" w:hAnsi="Arial"/>
          <w:sz w:val="16"/>
          <w:szCs w:val="16"/>
          <w:color w:val="auto"/>
        </w:rPr>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a credit card processing solution. We offer expertise in customizing these credit card tools and platforms to suit a variety of business models.</w:t>
      </w:r>
    </w:p>
    <w:p>
      <w:pPr>
        <w:spacing w:after="0" w:line="73" w:lineRule="exact"/>
        <w:rPr>
          <w:sz w:val="20"/>
          <w:szCs w:val="20"/>
          <w:color w:val="auto"/>
        </w:rPr>
      </w:pPr>
    </w:p>
    <w:p>
      <w:pPr>
        <w:ind w:left="100" w:firstLine="648"/>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these comprehensive credit card services. The IT consulting professional teams provide credit card services from Shanghai, Dalian and Hong Kong. We offer this experience and expertise in various currencies, across different geographical regions, including, but not limited to China, Singapore, UK, Philippine, Indonesia, and Latin America. In addition, we have developed a series of credit card solutions in order meet the needs of our clients better.</w:t>
      </w:r>
    </w:p>
    <w:p>
      <w:pPr>
        <w:spacing w:after="0" w:line="10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Core Banking Services</w:t>
      </w:r>
    </w:p>
    <w:p>
      <w:pPr>
        <w:spacing w:after="0" w:line="144" w:lineRule="exact"/>
        <w:rPr>
          <w:sz w:val="20"/>
          <w:szCs w:val="20"/>
          <w:color w:val="auto"/>
        </w:rPr>
      </w:pPr>
    </w:p>
    <w:p>
      <w:pPr>
        <w:ind w:left="100" w:right="8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86" w:lineRule="exact"/>
        <w:rPr>
          <w:sz w:val="20"/>
          <w:szCs w:val="20"/>
          <w:color w:val="auto"/>
        </w:rPr>
      </w:pPr>
    </w:p>
    <w:p>
      <w:pPr>
        <w:ind w:left="100" w:firstLine="648"/>
        <w:spacing w:after="0" w:line="257" w:lineRule="auto"/>
        <w:rPr>
          <w:sz w:val="20"/>
          <w:szCs w:val="20"/>
          <w:color w:val="auto"/>
        </w:rPr>
      </w:pPr>
      <w:r>
        <w:rPr>
          <w:rFonts w:ascii="Arial" w:cs="Arial" w:eastAsia="Arial" w:hAnsi="Arial"/>
          <w:sz w:val="18"/>
          <w:szCs w:val="18"/>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144" w:lineRule="exact"/>
        <w:rPr>
          <w:sz w:val="20"/>
          <w:szCs w:val="20"/>
          <w:color w:val="auto"/>
        </w:rPr>
      </w:pPr>
    </w:p>
    <w:p>
      <w:pPr>
        <w:ind w:left="100" w:right="100" w:firstLine="648"/>
        <w:spacing w:after="0" w:line="302" w:lineRule="auto"/>
        <w:rPr>
          <w:sz w:val="20"/>
          <w:szCs w:val="20"/>
          <w:color w:val="auto"/>
        </w:rPr>
      </w:pPr>
      <w:r>
        <w:rPr>
          <w:rFonts w:ascii="Arial" w:cs="Arial" w:eastAsia="Arial" w:hAnsi="Arial"/>
          <w:sz w:val="16"/>
          <w:szCs w:val="16"/>
          <w:color w:val="auto"/>
        </w:rPr>
        <w:t>We are also an IT solution services provider for China and global financial institutions.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73" w:lineRule="exact"/>
        <w:rPr>
          <w:sz w:val="20"/>
          <w:szCs w:val="20"/>
          <w:color w:val="auto"/>
        </w:rPr>
      </w:pPr>
    </w:p>
    <w:p>
      <w:pPr>
        <w:ind w:left="100" w:right="160" w:firstLine="648"/>
        <w:spacing w:after="0" w:line="302" w:lineRule="auto"/>
        <w:rPr>
          <w:sz w:val="20"/>
          <w:szCs w:val="20"/>
          <w:color w:val="auto"/>
        </w:rPr>
      </w:pPr>
      <w:r>
        <w:rPr>
          <w:rFonts w:ascii="Arial" w:cs="Arial" w:eastAsia="Arial" w:hAnsi="Arial"/>
          <w:sz w:val="16"/>
          <w:szCs w:val="16"/>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quality and efficiency testing, and (iii) providing onshore and offshore IT solution services to ensure turn-key delivery.</w:t>
      </w:r>
    </w:p>
    <w:p>
      <w:pPr>
        <w:spacing w:after="0" w:line="73" w:lineRule="exact"/>
        <w:rPr>
          <w:sz w:val="20"/>
          <w:szCs w:val="20"/>
          <w:color w:val="auto"/>
        </w:rPr>
      </w:pPr>
    </w:p>
    <w:p>
      <w:pPr>
        <w:ind w:left="100" w:right="40" w:firstLine="648"/>
        <w:spacing w:after="0" w:line="264" w:lineRule="auto"/>
        <w:rPr>
          <w:sz w:val="20"/>
          <w:szCs w:val="20"/>
          <w:color w:val="auto"/>
        </w:rPr>
      </w:pPr>
      <w:r>
        <w:rPr>
          <w:rFonts w:ascii="Arial" w:cs="Arial" w:eastAsia="Arial" w:hAnsi="Arial"/>
          <w:sz w:val="18"/>
          <w:szCs w:val="18"/>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100" w:lineRule="exact"/>
        <w:rPr>
          <w:sz w:val="20"/>
          <w:szCs w:val="20"/>
          <w:color w:val="auto"/>
        </w:rPr>
      </w:pPr>
    </w:p>
    <w:p>
      <w:pPr>
        <w:ind w:left="100" w:right="260" w:firstLine="648"/>
        <w:spacing w:after="0" w:line="257" w:lineRule="auto"/>
        <w:rPr>
          <w:sz w:val="20"/>
          <w:szCs w:val="20"/>
          <w:color w:val="auto"/>
        </w:rPr>
      </w:pPr>
      <w:r>
        <w:rPr>
          <w:rFonts w:ascii="Arial" w:cs="Arial" w:eastAsia="Arial" w:hAnsi="Arial"/>
          <w:sz w:val="18"/>
          <w:szCs w:val="18"/>
          <w:color w:val="auto"/>
        </w:rPr>
        <w:t xml:space="preserve">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w:t>
      </w:r>
      <w:r>
        <w:rPr>
          <w:rFonts w:ascii="Arial" w:cs="Arial" w:eastAsia="Arial" w:hAnsi="Arial"/>
          <w:sz w:val="18"/>
          <w:szCs w:val="18"/>
          <w:color w:val="auto"/>
          <w:highlight w:val="white"/>
        </w:rPr>
        <w:t>There are four layers in the overall architecture in this solution which includes the blockchain core layer, the</w:t>
      </w:r>
      <w:r>
        <w:rPr>
          <w:rFonts w:ascii="Arial" w:cs="Arial" w:eastAsia="Arial" w:hAnsi="Arial"/>
          <w:sz w:val="18"/>
          <w:szCs w:val="18"/>
          <w:color w:val="auto"/>
        </w:rPr>
        <w:t xml:space="preserve"> </w:t>
      </w:r>
      <w:r>
        <w:rPr>
          <w:rFonts w:ascii="Arial" w:cs="Arial" w:eastAsia="Arial" w:hAnsi="Arial"/>
          <w:sz w:val="18"/>
          <w:szCs w:val="18"/>
          <w:color w:val="auto"/>
          <w:highlight w:val="white"/>
        </w:rPr>
        <w:t>blockchain SDK layer, the application system layer and the front-end layer. The consensus mechanism, P2P protocol, distributed ledger and storage mechanism of core layer are used to record transactions and prevent fraud.</w:t>
      </w:r>
    </w:p>
    <w:p>
      <w:pPr>
        <w:spacing w:after="0" w:line="107" w:lineRule="exact"/>
        <w:rPr>
          <w:sz w:val="20"/>
          <w:szCs w:val="20"/>
          <w:color w:val="auto"/>
        </w:rPr>
      </w:pPr>
    </w:p>
    <w:p>
      <w:pPr>
        <w:ind w:left="100" w:right="220" w:firstLine="648"/>
        <w:spacing w:after="0" w:line="277" w:lineRule="auto"/>
        <w:rPr>
          <w:sz w:val="20"/>
          <w:szCs w:val="20"/>
          <w:color w:val="auto"/>
        </w:rPr>
      </w:pPr>
      <w:r>
        <w:rPr>
          <w:rFonts w:ascii="Arial" w:cs="Arial" w:eastAsia="Arial" w:hAnsi="Arial"/>
          <w:sz w:val="18"/>
          <w:szCs w:val="18"/>
          <w:color w:val="auto"/>
        </w:rPr>
        <w:t>We will continue to develop our new IT solutions to meet the evolving needs of our Chinese and global financial institutional clientele drawing upon the forward-looking research of our R&amp;D center.</w:t>
      </w:r>
    </w:p>
    <w:p>
      <w:pPr>
        <w:spacing w:after="0" w:line="89" w:lineRule="exact"/>
        <w:rPr>
          <w:sz w:val="20"/>
          <w:szCs w:val="20"/>
          <w:color w:val="auto"/>
        </w:rPr>
      </w:pPr>
    </w:p>
    <w:p>
      <w:pPr>
        <w:ind w:left="100" w:right="100" w:firstLine="648"/>
        <w:spacing w:after="0" w:line="257"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ectPr>
          <w:pgSz w:w="11900" w:h="16838" w:orient="portrait"/>
          <w:cols w:equalWidth="0" w:num="1">
            <w:col w:w="11280"/>
          </w:cols>
          <w:pgMar w:left="240" w:top="226" w:right="379" w:bottom="969"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969" w:gutter="0" w:footer="0" w:header="0"/>
          <w:type w:val="continuous"/>
        </w:sectPr>
      </w:pPr>
    </w:p>
    <w:bookmarkStart w:id="6" w:name="page7"/>
    <w:bookmarkEnd w:id="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866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9866630"/>
                    </a:xfrm>
                    <a:prstGeom prst="rect">
                      <a:avLst/>
                    </a:prstGeom>
                    <a:noFill/>
                  </pic:spPr>
                </pic:pic>
              </a:graphicData>
            </a:graphic>
          </wp:anchor>
        </w:drawing>
      </w:r>
    </w:p>
    <w:p>
      <w:pPr>
        <w:spacing w:after="0" w:line="288"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left="100" w:right="60" w:firstLine="648"/>
        <w:spacing w:after="0" w:line="255" w:lineRule="auto"/>
        <w:rPr>
          <w:sz w:val="20"/>
          <w:szCs w:val="20"/>
          <w:color w:val="auto"/>
        </w:rPr>
      </w:pPr>
      <w:r>
        <w:rPr>
          <w:rFonts w:ascii="Arial" w:cs="Arial" w:eastAsia="Arial" w:hAnsi="Arial"/>
          <w:sz w:val="18"/>
          <w:szCs w:val="18"/>
          <w:i w:val="1"/>
          <w:iCs w:val="1"/>
          <w:color w:val="auto"/>
        </w:rPr>
        <w:t xml:space="preserve">CLPS Virtual Banking Platform (CLB) – </w:t>
      </w:r>
      <w:r>
        <w:rPr>
          <w:rFonts w:ascii="Arial" w:cs="Arial" w:eastAsia="Arial" w:hAnsi="Arial"/>
          <w:sz w:val="18"/>
          <w:szCs w:val="18"/>
          <w:color w:val="auto"/>
        </w:rPr>
        <w:t>CLB is a unique and successful training platform for IT talents owned by CLPS. For more than ten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12" w:lineRule="exact"/>
        <w:rPr>
          <w:sz w:val="20"/>
          <w:szCs w:val="20"/>
          <w:color w:val="auto"/>
        </w:rPr>
      </w:pPr>
    </w:p>
    <w:p>
      <w:pPr>
        <w:ind w:left="100" w:right="200" w:firstLine="648"/>
        <w:spacing w:after="0" w:line="279" w:lineRule="auto"/>
        <w:rPr>
          <w:sz w:val="20"/>
          <w:szCs w:val="20"/>
          <w:color w:val="auto"/>
        </w:rPr>
      </w:pPr>
      <w:r>
        <w:rPr>
          <w:rFonts w:ascii="Arial" w:cs="Arial" w:eastAsia="Arial" w:hAnsi="Arial"/>
          <w:sz w:val="17"/>
          <w:szCs w:val="17"/>
          <w:color w:val="auto"/>
        </w:rPr>
        <w:t>In fiscal years 2017 and 2016, revenue from other services was approximately USD$0.4 million and USD$0.08 million, respectively. Revenues from other services accounted for 1.2% and 0.3% of our total revenues in fiscal years 2017 and 2016, respectively. For six months ended December 31, 2017 and 2016, revenue from other services was approximately USD$0.04 million and USD$0.3 million, respectively. Revenues from other services accounted for 0.2% and 2% of our total revenues for six months ended December 31, 2017 and 2016, respectively.</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left="100" w:right="580"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serve our Chinese and global clients’ needs better, we focus on exploring and researching new and advanced technologies and how to integrate them into our existing and new solutions.</w:t>
      </w:r>
    </w:p>
    <w:p>
      <w:pPr>
        <w:spacing w:after="0" w:line="89" w:lineRule="exact"/>
        <w:rPr>
          <w:sz w:val="20"/>
          <w:szCs w:val="20"/>
          <w:color w:val="auto"/>
        </w:rPr>
      </w:pPr>
    </w:p>
    <w:p>
      <w:pPr>
        <w:ind w:left="100" w:right="20" w:firstLine="648"/>
        <w:spacing w:after="0" w:line="270" w:lineRule="auto"/>
        <w:rPr>
          <w:sz w:val="20"/>
          <w:szCs w:val="20"/>
          <w:color w:val="auto"/>
        </w:rPr>
      </w:pPr>
      <w:r>
        <w:rPr>
          <w:rFonts w:ascii="Arial" w:cs="Arial" w:eastAsia="Arial" w:hAnsi="Arial"/>
          <w:sz w:val="17"/>
          <w:szCs w:val="17"/>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offerings by improving existing solutions and inventing new solutions, which drive new revenue opportunities and improve our core competency.</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During fiscal years 2017 and 2016, our R&amp;D expense were approximately USD$4.2 million and USD$5.6 million, respectively, representing</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13.5% and 19.2% of our total revenues for fiscal years 2017 and 2016, respectively. During six months ended December 2017 and 2016, our R&amp;D expense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were approximately USD$3.6 million and USD$2.0 million, respectively, representing 16% and 14% of our total revenues for six months ended December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 2017 and 2016, respectively.</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Significant Customers</w:t>
      </w:r>
    </w:p>
    <w:p>
      <w:pPr>
        <w:spacing w:after="0" w:line="148" w:lineRule="exact"/>
        <w:rPr>
          <w:sz w:val="20"/>
          <w:szCs w:val="20"/>
          <w:color w:val="auto"/>
        </w:rPr>
      </w:pPr>
    </w:p>
    <w:p>
      <w:pPr>
        <w:ind w:left="100" w:right="80" w:firstLine="648"/>
        <w:spacing w:after="0" w:line="297"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same fiscal periods, Citibank and eBay, accounted in the aggregate for 53.9% and 71.6% of the Company’s total revenues, respectively. For the six months ended December 31, 2017 and 2016, Citibank and its affiliates accounted for 30.7% and 41% of the Company’s total revenues, respectively. For the same periods, Citibank and eBay, accounted in the aggregate for 40.3% and 56.5% of the Company’s total revenues, respectively.</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Industry and Market Background</w:t>
      </w:r>
    </w:p>
    <w:p>
      <w:pPr>
        <w:spacing w:after="0" w:line="148" w:lineRule="exact"/>
        <w:rPr>
          <w:sz w:val="20"/>
          <w:szCs w:val="20"/>
          <w:color w:val="auto"/>
        </w:rPr>
      </w:pPr>
    </w:p>
    <w:p>
      <w:pPr>
        <w:ind w:left="100" w:firstLine="648"/>
        <w:spacing w:after="0" w:line="277" w:lineRule="auto"/>
        <w:rPr>
          <w:sz w:val="20"/>
          <w:szCs w:val="20"/>
          <w:color w:val="auto"/>
        </w:rPr>
      </w:pPr>
      <w:r>
        <w:rPr>
          <w:rFonts w:ascii="Arial" w:cs="Arial" w:eastAsia="Arial" w:hAnsi="Arial"/>
          <w:sz w:val="18"/>
          <w:szCs w:val="18"/>
          <w:color w:val="auto"/>
        </w:rPr>
        <w:t>Businesses, both domestically in China and globally, are outsourcing a growing portion of their IT services and business processes to China-based IT providers.</w:t>
      </w:r>
    </w:p>
    <w:p>
      <w:pPr>
        <w:spacing w:after="0" w:line="89" w:lineRule="exact"/>
        <w:rPr>
          <w:sz w:val="20"/>
          <w:szCs w:val="20"/>
          <w:color w:val="auto"/>
        </w:rPr>
      </w:pPr>
    </w:p>
    <w:p>
      <w:pPr>
        <w:jc w:val="both"/>
        <w:ind w:left="100" w:right="420" w:firstLine="648"/>
        <w:spacing w:after="0" w:line="264" w:lineRule="auto"/>
        <w:rPr>
          <w:sz w:val="20"/>
          <w:szCs w:val="20"/>
          <w:color w:val="auto"/>
        </w:rPr>
      </w:pPr>
      <w:r>
        <w:rPr>
          <w:rFonts w:ascii="Arial" w:cs="Arial" w:eastAsia="Arial" w:hAnsi="Arial"/>
          <w:sz w:val="18"/>
          <w:szCs w:val="18"/>
          <w:color w:val="auto"/>
        </w:rPr>
        <w:t>According to PRC’s Ministry of Industry and Information Technology (MIIT) data, the software industry revenues reached RMB 4.9 trillion (USD$723 billion) in 2016. IT service market has developed and grown rapidly in recent years with the revenue reached RMB 2.5 trillion (USD$369 billion) in 2016, accounting for 51.8% of the whole software industry.</w:t>
      </w:r>
    </w:p>
    <w:p>
      <w:pPr>
        <w:sectPr>
          <w:pgSz w:w="11900" w:h="16838" w:orient="portrait"/>
          <w:cols w:equalWidth="0" w:num="1">
            <w:col w:w="11280"/>
          </w:cols>
          <w:pgMar w:left="240" w:top="2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0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280"/>
          </w:cols>
          <w:pgMar w:left="240" w:top="226" w:right="379" w:bottom="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958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695896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Financial institutions/banking IT services market is composed of software and services, which are shown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Data source: Wind Terminal</w:t>
      </w:r>
    </w:p>
    <w:p>
      <w:pPr>
        <w:spacing w:after="0" w:line="225" w:lineRule="exact"/>
        <w:rPr>
          <w:sz w:val="20"/>
          <w:szCs w:val="20"/>
          <w:color w:val="auto"/>
        </w:rPr>
      </w:pPr>
    </w:p>
    <w:p>
      <w:pPr>
        <w:ind w:left="100" w:firstLine="648"/>
        <w:spacing w:after="0" w:line="270" w:lineRule="auto"/>
        <w:rPr>
          <w:sz w:val="20"/>
          <w:szCs w:val="20"/>
          <w:color w:val="auto"/>
        </w:rPr>
      </w:pPr>
      <w:r>
        <w:rPr>
          <w:rFonts w:ascii="Arial" w:cs="Arial" w:eastAsia="Arial" w:hAnsi="Arial"/>
          <w:sz w:val="17"/>
          <w:szCs w:val="17"/>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comprised the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178" w:lineRule="exact"/>
        <w:rPr>
          <w:sz w:val="20"/>
          <w:szCs w:val="20"/>
          <w:color w:val="auto"/>
        </w:rPr>
      </w:pPr>
    </w:p>
    <w:p>
      <w:pPr>
        <w:ind w:left="100" w:right="20" w:firstLine="648"/>
        <w:spacing w:after="0" w:line="273" w:lineRule="auto"/>
        <w:rPr>
          <w:sz w:val="20"/>
          <w:szCs w:val="20"/>
          <w:color w:val="auto"/>
        </w:rPr>
      </w:pPr>
      <w:r>
        <w:rPr>
          <w:rFonts w:ascii="Arial" w:cs="Arial" w:eastAsia="Arial" w:hAnsi="Arial"/>
          <w:sz w:val="17"/>
          <w:szCs w:val="17"/>
          <w:color w:val="auto"/>
        </w:rPr>
        <w:t>There are several factors driving the overall growth of China’s IT services industry, including the rapid growth of China’s economy and domestic demand for IT services, the strategic importance of China as a target market for global clients, strong offshore outsourcing demand, availability of low-cost qualified IT professionals with global and regional language skills, well-developed infrastructure in China and strong government support and spending. We believe that the market development trends include a growing emphasis on big data services, innovation in channel solutions, risk management and prevention, more customer-oriented services, and globalization of the financial services industry. We believe we are well positioned to capture the significant market opportunities in the IT services industry both in China and globally.</w:t>
      </w: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6" w:right="4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153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140" cy="61531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left="100" w:firstLine="651"/>
        <w:spacing w:after="0" w:line="273" w:lineRule="auto"/>
        <w:tabs>
          <w:tab w:leader="none" w:pos="108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Grow revenue with existing and new clients </w:t>
      </w:r>
      <w:r>
        <w:rPr>
          <w:rFonts w:ascii="Arial" w:cs="Arial" w:eastAsia="Arial" w:hAnsi="Arial"/>
          <w:sz w:val="17"/>
          <w:szCs w:val="17"/>
          <w:color w:val="auto"/>
        </w:rPr>
        <w:t>- We intend to pursue additional revenue opportunities from existing Chinese and global clients,</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Chinese and global markets to benefit both groups of clients.</w:t>
      </w:r>
    </w:p>
    <w:p>
      <w:pPr>
        <w:spacing w:after="0" w:line="178" w:lineRule="exact"/>
        <w:rPr>
          <w:rFonts w:ascii="Arial" w:cs="Arial" w:eastAsia="Arial" w:hAnsi="Arial"/>
          <w:sz w:val="17"/>
          <w:szCs w:val="17"/>
          <w:color w:val="auto"/>
        </w:rPr>
      </w:pPr>
    </w:p>
    <w:p>
      <w:pPr>
        <w:ind w:left="100" w:right="60" w:firstLine="651"/>
        <w:spacing w:after="0" w:line="276" w:lineRule="auto"/>
        <w:tabs>
          <w:tab w:leader="none" w:pos="108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will 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left="100" w:firstLine="651"/>
        <w:spacing w:after="0" w:line="269" w:lineRule="auto"/>
        <w:tabs>
          <w:tab w:leader="none" w:pos="1082"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results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left="100" w:right="60" w:firstLine="651"/>
        <w:spacing w:after="0" w:line="255" w:lineRule="auto"/>
        <w:tabs>
          <w:tab w:leader="none" w:pos="108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w:t>
      </w:r>
      <w:r>
        <w:rPr>
          <w:rFonts w:ascii="Arial" w:cs="Arial" w:eastAsia="Arial" w:hAnsi="Arial"/>
          <w:sz w:val="18"/>
          <w:szCs w:val="18"/>
          <w:i w:val="1"/>
          <w:iCs w:val="1"/>
          <w:color w:val="auto"/>
        </w:rPr>
        <w:t xml:space="preserve"> </w:t>
      </w:r>
      <w:r>
        <w:rPr>
          <w:rFonts w:ascii="Arial" w:cs="Arial" w:eastAsia="Arial" w:hAnsi="Arial"/>
          <w:sz w:val="18"/>
          <w:szCs w:val="18"/>
          <w:color w:val="auto"/>
        </w:rPr>
        <w:t>leveraging 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89" w:lineRule="exact"/>
        <w:rPr>
          <w:rFonts w:ascii="Arial" w:cs="Arial" w:eastAsia="Arial" w:hAnsi="Arial"/>
          <w:sz w:val="18"/>
          <w:szCs w:val="18"/>
          <w:color w:val="auto"/>
        </w:rPr>
      </w:pPr>
    </w:p>
    <w:p>
      <w:pPr>
        <w:ind w:left="100" w:right="20" w:firstLine="651"/>
        <w:spacing w:after="0" w:line="257" w:lineRule="auto"/>
        <w:tabs>
          <w:tab w:leader="none" w:pos="1082"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9998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140" cy="8999855"/>
                    </a:xfrm>
                    <a:prstGeom prst="rect">
                      <a:avLst/>
                    </a:prstGeom>
                    <a:noFill/>
                  </pic:spPr>
                </pic:pic>
              </a:graphicData>
            </a:graphic>
          </wp:anchor>
        </w:drawing>
      </w:r>
    </w:p>
    <w:p>
      <w:pPr>
        <w:spacing w:after="0" w:line="3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100" w:right="480"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believe that there are several key strengths that differentiate us from our competitors and will continue to contribute to our growth and</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success.</w:t>
      </w:r>
    </w:p>
    <w:p>
      <w:pPr>
        <w:spacing w:after="0" w:line="211" w:lineRule="exact"/>
        <w:rPr>
          <w:sz w:val="20"/>
          <w:szCs w:val="20"/>
          <w:color w:val="auto"/>
        </w:rPr>
      </w:pPr>
    </w:p>
    <w:p>
      <w:pPr>
        <w:ind w:left="100" w:firstLine="648"/>
        <w:spacing w:after="0" w:line="268" w:lineRule="auto"/>
        <w:rPr>
          <w:sz w:val="20"/>
          <w:szCs w:val="20"/>
          <w:color w:val="auto"/>
        </w:rPr>
      </w:pPr>
      <w:r>
        <w:rPr>
          <w:rFonts w:ascii="Arial" w:cs="Arial" w:eastAsia="Arial" w:hAnsi="Arial"/>
          <w:sz w:val="17"/>
          <w:szCs w:val="17"/>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85" w:lineRule="exact"/>
        <w:rPr>
          <w:sz w:val="20"/>
          <w:szCs w:val="20"/>
          <w:color w:val="auto"/>
        </w:rPr>
      </w:pPr>
    </w:p>
    <w:p>
      <w:pPr>
        <w:jc w:val="both"/>
        <w:ind w:left="100" w:right="240" w:firstLine="648"/>
        <w:spacing w:after="0" w:line="302" w:lineRule="auto"/>
        <w:rPr>
          <w:sz w:val="20"/>
          <w:szCs w:val="20"/>
          <w:color w:val="auto"/>
        </w:rPr>
      </w:pPr>
      <w:r>
        <w:rPr>
          <w:rFonts w:ascii="Arial" w:cs="Arial" w:eastAsia="Arial" w:hAnsi="Arial"/>
          <w:sz w:val="16"/>
          <w:szCs w:val="16"/>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54" w:lineRule="exact"/>
        <w:rPr>
          <w:sz w:val="20"/>
          <w:szCs w:val="20"/>
          <w:color w:val="auto"/>
        </w:rPr>
      </w:pPr>
    </w:p>
    <w:p>
      <w:pPr>
        <w:ind w:left="100" w:firstLine="648"/>
        <w:spacing w:after="0" w:line="286" w:lineRule="auto"/>
        <w:rPr>
          <w:sz w:val="20"/>
          <w:szCs w:val="20"/>
          <w:color w:val="auto"/>
        </w:rPr>
      </w:pPr>
      <w:r>
        <w:rPr>
          <w:rFonts w:ascii="Arial" w:cs="Arial" w:eastAsia="Arial" w:hAnsi="Arial"/>
          <w:sz w:val="17"/>
          <w:szCs w:val="17"/>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57" w:lineRule="exact"/>
        <w:rPr>
          <w:sz w:val="20"/>
          <w:szCs w:val="20"/>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which have been with us since our inception;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and Challenges</w:t>
      </w:r>
    </w:p>
    <w:p>
      <w:pPr>
        <w:spacing w:after="0" w:line="94" w:lineRule="exact"/>
        <w:rPr>
          <w:sz w:val="20"/>
          <w:szCs w:val="20"/>
          <w:color w:val="auto"/>
        </w:rPr>
      </w:pPr>
    </w:p>
    <w:p>
      <w:pPr>
        <w:ind w:left="100" w:right="20" w:firstLine="648"/>
        <w:spacing w:after="0" w:line="342" w:lineRule="auto"/>
        <w:rPr>
          <w:sz w:val="20"/>
          <w:szCs w:val="20"/>
          <w:color w:val="auto"/>
        </w:rPr>
      </w:pPr>
      <w:r>
        <w:rPr>
          <w:rFonts w:ascii="Arial" w:cs="Arial" w:eastAsia="Arial" w:hAnsi="Arial"/>
          <w:sz w:val="16"/>
          <w:szCs w:val="16"/>
          <w:color w:val="auto"/>
        </w:rPr>
        <w:t>Our prospects should be considered in light of the risks, uncertainties, expenses and difficulties frequently encountered by similar companies. Our ability to realize our business objectives and execute our strategies is subject to risks and uncertainties, including, among others, the following:</w:t>
      </w:r>
    </w:p>
    <w:p>
      <w:pPr>
        <w:spacing w:after="0" w:line="124"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inability to effectively manage our rapid growth, which could place significant strain on our management personnel, systems and resources</w:t>
      </w:r>
    </w:p>
    <w:p>
      <w:pPr>
        <w:spacing w:after="0" w:line="126" w:lineRule="exact"/>
        <w:rPr>
          <w:rFonts w:ascii="Arial" w:cs="Arial" w:eastAsia="Arial" w:hAnsi="Arial"/>
          <w:sz w:val="16"/>
          <w:szCs w:val="16"/>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the economic environment either in China or globally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intense competition from onshore and offshore IT services companies</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intense competition for highly skilled personnel</w:t>
      </w:r>
    </w:p>
    <w:p>
      <w:pPr>
        <w:spacing w:after="0" w:line="103" w:lineRule="exact"/>
        <w:rPr>
          <w:rFonts w:ascii="Arial" w:cs="Arial" w:eastAsia="Arial" w:hAnsi="Arial"/>
          <w:sz w:val="18"/>
          <w:szCs w:val="18"/>
          <w:color w:val="auto"/>
        </w:rPr>
      </w:pPr>
    </w:p>
    <w:p>
      <w:pPr>
        <w:ind w:left="760" w:right="580" w:hanging="333"/>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a relatively small number of major clients, including Citibank and its affiliates accounted for 38.6% and 59.2% of our total revenue for fiscal years 2017 and 2016, respectively.</w:t>
      </w:r>
    </w:p>
    <w:p>
      <w:pPr>
        <w:spacing w:after="0" w:line="48"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anticipate and develop new services and enhance existing services to keep pace with rapid changes in technology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integrate or manage acquired companies efficiently</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new clients for our services and/or growing revenues from existing clients</w:t>
      </w:r>
    </w:p>
    <w:p>
      <w:pPr>
        <w:spacing w:after="0" w:line="103" w:lineRule="exact"/>
        <w:rPr>
          <w:rFonts w:ascii="Arial" w:cs="Arial" w:eastAsia="Arial" w:hAnsi="Arial"/>
          <w:sz w:val="18"/>
          <w:szCs w:val="18"/>
          <w:color w:val="auto"/>
        </w:rPr>
      </w:pPr>
    </w:p>
    <w:p>
      <w:pPr>
        <w:ind w:left="760" w:right="240" w:hanging="333"/>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having a long selling and implementation cycle for our services that require us to make significant resource commitments prior to realizing revenues for those services</w:t>
      </w:r>
    </w:p>
    <w:p>
      <w:pPr>
        <w:spacing w:after="0" w:line="48"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wages for professionals in China</w:t>
      </w:r>
    </w:p>
    <w:p>
      <w:pPr>
        <w:spacing w:after="0" w:line="103" w:lineRule="exact"/>
        <w:rPr>
          <w:rFonts w:ascii="Arial" w:cs="Arial" w:eastAsia="Arial" w:hAnsi="Arial"/>
          <w:sz w:val="18"/>
          <w:szCs w:val="18"/>
          <w:color w:val="auto"/>
        </w:rPr>
      </w:pPr>
    </w:p>
    <w:p>
      <w:pPr>
        <w:ind w:left="760" w:hanging="33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international nature of our business</w:t>
      </w:r>
    </w:p>
    <w:p>
      <w:pPr>
        <w:sectPr>
          <w:pgSz w:w="11900" w:h="16838" w:orient="portrait"/>
          <w:cols w:equalWidth="0" w:num="1">
            <w:col w:w="11280"/>
          </w:cols>
          <w:pgMar w:left="240" w:top="226" w:right="379" w:bottom="1023"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023" w:gutter="0" w:footer="0" w:header="0"/>
          <w:type w:val="continuous"/>
        </w:sectPr>
      </w:pPr>
    </w:p>
    <w:bookmarkStart w:id="10" w:name="page11"/>
    <w:bookmarkEnd w:id="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8862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140" cy="8862695"/>
                    </a:xfrm>
                    <a:prstGeom prst="rect">
                      <a:avLst/>
                    </a:prstGeom>
                    <a:noFill/>
                  </pic:spPr>
                </pic:pic>
              </a:graphicData>
            </a:graphic>
          </wp:anchor>
        </w:drawing>
      </w:r>
    </w:p>
    <w:p>
      <w:pPr>
        <w:spacing w:after="0" w:line="288" w:lineRule="exact"/>
        <w:rPr>
          <w:sz w:val="20"/>
          <w:szCs w:val="20"/>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unauthorized disclosure of sensitive and confidential information</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intellectual property infringement claims</w:t>
      </w:r>
    </w:p>
    <w:p>
      <w:pPr>
        <w:spacing w:after="0" w:line="225" w:lineRule="exact"/>
        <w:rPr>
          <w:rFonts w:ascii="Arial" w:cs="Arial" w:eastAsia="Arial" w:hAnsi="Arial"/>
          <w:sz w:val="18"/>
          <w:szCs w:val="18"/>
          <w:color w:val="auto"/>
        </w:rPr>
      </w:pPr>
    </w:p>
    <w:p>
      <w:pPr>
        <w:ind w:left="760" w:right="140" w:hanging="333"/>
        <w:spacing w:after="0" w:line="308" w:lineRule="auto"/>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related to material weakness in our internal control over financial reporting such that if we fail to develop and maintain an effective system of internal control over financial reporting, we may be unable to accurately report our financial results or prevent fraud.</w:t>
      </w:r>
    </w:p>
    <w:p>
      <w:pPr>
        <w:spacing w:after="0" w:line="146" w:lineRule="exact"/>
        <w:rPr>
          <w:rFonts w:ascii="Arial" w:cs="Arial" w:eastAsia="Arial" w:hAnsi="Arial"/>
          <w:sz w:val="17"/>
          <w:szCs w:val="17"/>
          <w:color w:val="auto"/>
        </w:rPr>
      </w:pPr>
    </w:p>
    <w:p>
      <w:pPr>
        <w:ind w:left="760" w:hanging="333"/>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resulting from business interruptions resulting from occurrence of natural disasters, health epidemics and other outbreaks or events</w:t>
      </w:r>
    </w:p>
    <w:p>
      <w:pPr>
        <w:spacing w:after="0" w:line="236" w:lineRule="exact"/>
        <w:rPr>
          <w:rFonts w:ascii="Arial" w:cs="Arial" w:eastAsia="Arial" w:hAnsi="Arial"/>
          <w:sz w:val="17"/>
          <w:szCs w:val="17"/>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 in the value of the Renminbi and other currencies</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telecommunications or significant failure in our IT systems that could harm our service model</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vulnerabilities to security risks that could disrupt our services and adversely affect our results of operations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addition, we face other risks and uncertainties that may materially affect our business prospect, financial condition, and results of operations.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 should consider the risks discussed in “Risk Factors” and elsewhere in this prospectus before investing in our common shares.</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 xml:space="preserve">Our principal executive office is located at the 2nd Floor, Building 18, Shanghai Pudong Software Park, 498 Guoshoujing Road, Pudong, Shanghai 201203, PRC. Our telephone number is (+86)21-31268010. Our website is as follows www.clpsglobal.com. </w:t>
      </w:r>
      <w:r>
        <w:rPr>
          <w:rFonts w:ascii="Arial" w:cs="Arial" w:eastAsia="Arial" w:hAnsi="Arial"/>
          <w:sz w:val="18"/>
          <w:szCs w:val="18"/>
          <w:b w:val="1"/>
          <w:bCs w:val="1"/>
          <w:color w:val="auto"/>
        </w:rPr>
        <w:t>The information on our website is</w:t>
      </w:r>
      <w:r>
        <w:rPr>
          <w:rFonts w:ascii="Arial" w:cs="Arial" w:eastAsia="Arial" w:hAnsi="Arial"/>
          <w:sz w:val="18"/>
          <w:szCs w:val="18"/>
          <w:color w:val="auto"/>
        </w:rPr>
        <w:t xml:space="preserve"> </w:t>
      </w:r>
      <w:r>
        <w:rPr>
          <w:rFonts w:ascii="Arial" w:cs="Arial" w:eastAsia="Arial" w:hAnsi="Arial"/>
          <w:sz w:val="18"/>
          <w:szCs w:val="18"/>
          <w:b w:val="1"/>
          <w:bCs w:val="1"/>
          <w:color w:val="auto"/>
        </w:rPr>
        <w:t>not part of this prospectus.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100" w:right="80" w:firstLine="648"/>
        <w:spacing w:after="0" w:line="277" w:lineRule="auto"/>
        <w:rPr>
          <w:sz w:val="20"/>
          <w:szCs w:val="20"/>
          <w:color w:val="auto"/>
        </w:rPr>
      </w:pPr>
      <w:r>
        <w:rPr>
          <w:rFonts w:ascii="Arial" w:cs="Arial" w:eastAsia="Arial" w:hAnsi="Arial"/>
          <w:sz w:val="18"/>
          <w:szCs w:val="18"/>
          <w:color w:val="auto"/>
        </w:rPr>
        <w:t>The following diagram illustrates our corporate structure as of the date of this prospectus. For more detail on our corporate history please refer to “Corporate History and Background” appearing on p. 53 of this prospectus.</w:t>
      </w:r>
    </w:p>
    <w:p>
      <w:pPr>
        <w:sectPr>
          <w:pgSz w:w="11900" w:h="16838" w:orient="portrait"/>
          <w:cols w:equalWidth="0" w:num="1">
            <w:col w:w="11280"/>
          </w:cols>
          <w:pgMar w:left="240" w:top="2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type w:val="continuous"/>
        </w:sectPr>
      </w:pPr>
    </w:p>
    <w:bookmarkStart w:id="11" w:name="page12"/>
    <w:bookmarkEnd w:id="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6701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140" cy="67017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00" w:right="140" w:firstLine="648"/>
        <w:spacing w:after="0" w:line="264"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spacing w:after="0" w:line="181" w:lineRule="exact"/>
        <w:rPr>
          <w:sz w:val="20"/>
          <w:szCs w:val="20"/>
          <w:color w:val="auto"/>
        </w:rPr>
      </w:pPr>
    </w:p>
    <w:p>
      <w:pPr>
        <w:ind w:left="760" w:hanging="33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our SEC filings;</w:t>
      </w:r>
    </w:p>
    <w:p>
      <w:pPr>
        <w:spacing w:after="0" w:line="170" w:lineRule="exact"/>
        <w:rPr>
          <w:rFonts w:ascii="Arial" w:cs="Arial" w:eastAsia="Arial" w:hAnsi="Arial"/>
          <w:sz w:val="18"/>
          <w:szCs w:val="18"/>
          <w:color w:val="auto"/>
        </w:rPr>
      </w:pPr>
    </w:p>
    <w:p>
      <w:pPr>
        <w:ind w:left="760" w:hanging="33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periodic reports, proxy statements and registration statements; and</w:t>
      </w:r>
    </w:p>
    <w:p>
      <w:pPr>
        <w:spacing w:after="0" w:line="236" w:lineRule="exact"/>
        <w:rPr>
          <w:rFonts w:ascii="Arial" w:cs="Arial" w:eastAsia="Arial" w:hAnsi="Arial"/>
          <w:sz w:val="17"/>
          <w:szCs w:val="17"/>
          <w:color w:val="auto"/>
        </w:rPr>
      </w:pPr>
    </w:p>
    <w:p>
      <w:pPr>
        <w:ind w:left="760" w:right="320" w:hanging="33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100" w:right="220" w:firstLine="648"/>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However, if certain events occur before the end of such five-year period, including if we become a “large accelerated filer,” our annual gross revenues exceed $1.07 billion or we issue more than $1.00 billion of non-convertible debt in any three-year period, we will cease to be an emerging growth company before the end of such five-year period.</w:t>
      </w:r>
    </w:p>
    <w:p>
      <w:pPr>
        <w:spacing w:after="0" w:line="188" w:lineRule="exact"/>
        <w:rPr>
          <w:sz w:val="20"/>
          <w:szCs w:val="20"/>
          <w:color w:val="auto"/>
        </w:rPr>
      </w:pPr>
    </w:p>
    <w:p>
      <w:pPr>
        <w:ind w:left="100" w:right="100" w:firstLine="648"/>
        <w:spacing w:after="0" w:line="259"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Foreign Private Issuer Status</w:t>
      </w:r>
    </w:p>
    <w:p>
      <w:pPr>
        <w:spacing w:after="0" w:line="229" w:lineRule="exact"/>
        <w:rPr>
          <w:sz w:val="20"/>
          <w:szCs w:val="20"/>
          <w:color w:val="auto"/>
        </w:rPr>
      </w:pPr>
    </w:p>
    <w:p>
      <w:pPr>
        <w:ind w:left="100" w:right="60" w:firstLine="648"/>
        <w:spacing w:after="0" w:line="272" w:lineRule="auto"/>
        <w:rPr>
          <w:sz w:val="20"/>
          <w:szCs w:val="20"/>
          <w:color w:val="auto"/>
        </w:rPr>
      </w:pPr>
      <w:r>
        <w:rPr>
          <w:rFonts w:ascii="Arial" w:cs="Arial" w:eastAsia="Arial" w:hAnsi="Arial"/>
          <w:sz w:val="17"/>
          <w:szCs w:val="17"/>
          <w:color w:val="auto"/>
        </w:rPr>
        <w:t>We are incorporated in the Cayman Islands, and more than 50 percent of our outstanding voting securities are not directly or indirectly held by residents of the United States. Therefore, we are a “foreign private issuer,” as defined in Rule 405 under the Securities Act and Rule 3b-4(c) under the Exchange Act.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on Prospectus Presentation</w:t>
      </w:r>
    </w:p>
    <w:p>
      <w:pPr>
        <w:spacing w:after="0" w:line="229" w:lineRule="exact"/>
        <w:rPr>
          <w:sz w:val="20"/>
          <w:szCs w:val="20"/>
          <w:color w:val="auto"/>
        </w:rPr>
      </w:pPr>
    </w:p>
    <w:p>
      <w:pPr>
        <w:ind w:left="100" w:right="40" w:firstLine="648"/>
        <w:spacing w:after="0" w:line="255"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 Certain market data and other statistical information contained in this prospectus are based on information from independent industry organizations, publications, surveys and forecasts. Some market data and statistical information contained in this prospectus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146685</wp:posOffset>
            </wp:positionV>
            <wp:extent cx="7216140" cy="9171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140" cy="91719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00" w:right="360" w:firstLine="648"/>
        <w:spacing w:after="0" w:line="277" w:lineRule="auto"/>
        <w:rPr>
          <w:sz w:val="20"/>
          <w:szCs w:val="20"/>
          <w:color w:val="auto"/>
        </w:rPr>
      </w:pPr>
      <w:r>
        <w:rPr>
          <w:rFonts w:ascii="Arial" w:cs="Arial" w:eastAsia="Arial" w:hAnsi="Arial"/>
          <w:sz w:val="18"/>
          <w:szCs w:val="18"/>
          <w:color w:val="auto"/>
        </w:rPr>
        <w:t>For the sake of clarity, this prospectus follows the English naming convention of first name followed by last name, regardless of whether an individual’s name is Chinese or English.</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25" w:lineRule="exact"/>
        <w:rPr>
          <w:sz w:val="20"/>
          <w:szCs w:val="20"/>
          <w:color w:val="auto"/>
        </w:rPr>
      </w:pPr>
    </w:p>
    <w:p>
      <w:pPr>
        <w:ind w:left="760" w:right="320" w:hanging="333"/>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Hong Kong” refers to CLPS Technology (HK) Co., Ltd., a Hong Kong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1080" w:hanging="329"/>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1080" w:right="140" w:hanging="329"/>
        <w:spacing w:after="0" w:line="182" w:lineRule="auto"/>
        <w:tabs>
          <w:tab w:leader="none" w:pos="1080" w:val="left"/>
        </w:tabs>
        <w:numPr>
          <w:ilvl w:val="1"/>
          <w:numId w:val="10"/>
        </w:numPr>
        <w:rPr>
          <w:rFonts w:ascii="Arial" w:cs="Arial" w:eastAsia="Arial" w:hAnsi="Arial"/>
          <w:sz w:val="34"/>
          <w:szCs w:val="34"/>
          <w:color w:val="auto"/>
          <w:vertAlign w:val="subscript"/>
        </w:rPr>
      </w:pPr>
      <w:r>
        <w:rPr>
          <w:rFonts w:ascii="Arial" w:cs="Arial" w:eastAsia="Arial" w:hAnsi="Arial"/>
          <w:sz w:val="17"/>
          <w:szCs w:val="17"/>
          <w:color w:val="auto"/>
        </w:rPr>
        <w:t>“China” and “PRC” refer to the People’s Republic of China, excluding, for the purposes of this prospectus only, Macau, Taiwan and Hong Kong; and</w:t>
      </w:r>
    </w:p>
    <w:p>
      <w:pPr>
        <w:spacing w:after="0" w:line="203" w:lineRule="exact"/>
        <w:rPr>
          <w:rFonts w:ascii="Arial" w:cs="Arial" w:eastAsia="Arial" w:hAnsi="Arial"/>
          <w:sz w:val="34"/>
          <w:szCs w:val="34"/>
          <w:color w:val="auto"/>
          <w:vertAlign w:val="subscript"/>
        </w:rPr>
      </w:pPr>
    </w:p>
    <w:p>
      <w:pPr>
        <w:ind w:left="1080" w:right="100" w:hanging="329"/>
        <w:spacing w:after="0" w:line="182" w:lineRule="auto"/>
        <w:tabs>
          <w:tab w:leader="none" w:pos="1080" w:val="left"/>
        </w:tabs>
        <w:numPr>
          <w:ilvl w:val="1"/>
          <w:numId w:val="10"/>
        </w:numPr>
        <w:rPr>
          <w:rFonts w:ascii="Arial" w:cs="Arial" w:eastAsia="Arial" w:hAnsi="Arial"/>
          <w:sz w:val="34"/>
          <w:szCs w:val="34"/>
          <w:color w:val="auto"/>
          <w:vertAlign w:val="subscript"/>
        </w:rPr>
      </w:pPr>
      <w:r>
        <w:rPr>
          <w:rFonts w:ascii="Arial" w:cs="Arial" w:eastAsia="Arial" w:hAnsi="Arial"/>
          <w:sz w:val="17"/>
          <w:szCs w:val="17"/>
          <w:color w:val="auto"/>
        </w:rPr>
        <w:t>all references to “RMB,” “yuan” and “Renminbi” are to the legal currency of China, and all references to “USD,” and “U.S. dollars” are to the legal currency of the United States.</w:t>
      </w:r>
    </w:p>
    <w:p>
      <w:pPr>
        <w:spacing w:after="0" w:line="204" w:lineRule="exact"/>
        <w:rPr>
          <w:sz w:val="20"/>
          <w:szCs w:val="20"/>
          <w:color w:val="auto"/>
        </w:rPr>
      </w:pPr>
    </w:p>
    <w:p>
      <w:pPr>
        <w:ind w:left="100" w:right="200" w:firstLine="648"/>
        <w:spacing w:after="0" w:line="277" w:lineRule="auto"/>
        <w:rPr>
          <w:sz w:val="20"/>
          <w:szCs w:val="20"/>
          <w:color w:val="auto"/>
        </w:rPr>
      </w:pPr>
      <w:r>
        <w:rPr>
          <w:rFonts w:ascii="Arial" w:cs="Arial" w:eastAsia="Arial" w:hAnsi="Arial"/>
          <w:sz w:val="18"/>
          <w:szCs w:val="18"/>
          <w:color w:val="auto"/>
        </w:rPr>
        <w:t>Unless otherwise noted, all currency figures in this filing are in U.S. dollars. Any discrepancies in any table between the amounts identified as total amounts and the sum of the amounts listed therein are due to rounding.</w:t>
      </w:r>
    </w:p>
    <w:p>
      <w:pPr>
        <w:spacing w:after="0" w:line="170" w:lineRule="exact"/>
        <w:rPr>
          <w:sz w:val="20"/>
          <w:szCs w:val="20"/>
          <w:color w:val="auto"/>
        </w:rPr>
      </w:pPr>
    </w:p>
    <w:p>
      <w:pPr>
        <w:ind w:left="100" w:firstLine="648"/>
        <w:spacing w:after="0" w:line="255" w:lineRule="auto"/>
        <w:rPr>
          <w:sz w:val="20"/>
          <w:szCs w:val="20"/>
          <w:color w:val="auto"/>
        </w:rPr>
      </w:pPr>
      <w:r>
        <w:rPr>
          <w:rFonts w:ascii="Arial" w:cs="Arial" w:eastAsia="Arial" w:hAnsi="Arial"/>
          <w:sz w:val="18"/>
          <w:szCs w:val="18"/>
          <w:color w:val="auto"/>
        </w:rPr>
        <w:t>Our reporting currency is U.S. dollar and our functional currency is Renminbi. This prospectus contains translations of certain foreign currency amounts into U.S. dollars for the convenience of the reader. Other than in accordance with relevant accounting rules and as otherwise stated, all translations of Renminbi into U.S. dollars in this prospectus were made at the rate of RMB6.7793 to USD1.00, the noon buying rate on June 30, 2017,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prospectus could have been or could be converted into U.S. dollars or Renminbi, as the case may be, at any particular rate or at all.</w:t>
      </w:r>
    </w:p>
    <w:p>
      <w:pPr>
        <w:sectPr>
          <w:pgSz w:w="11900" w:h="16838" w:orient="portrait"/>
          <w:cols w:equalWidth="0" w:num="1">
            <w:col w:w="11180"/>
          </w:cols>
          <w:pgMar w:left="240" w:top="226" w:right="479" w:bottom="753"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240" w:top="226" w:right="479" w:bottom="753" w:gutter="0" w:footer="0" w:header="0"/>
          <w:type w:val="continuous"/>
        </w:sectPr>
      </w:pPr>
    </w:p>
    <w:bookmarkStart w:id="13" w:name="page14"/>
    <w:bookmarkEnd w:id="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146685</wp:posOffset>
            </wp:positionV>
            <wp:extent cx="7147560" cy="9171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7560" cy="91719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Offering</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Shares Offered</w:t>
      </w:r>
      <w:r>
        <w:rPr>
          <w:sz w:val="20"/>
          <w:szCs w:val="20"/>
          <w:color w:val="auto"/>
        </w:rPr>
        <w:tab/>
      </w:r>
      <w:r>
        <w:rPr>
          <w:rFonts w:ascii="Arial" w:cs="Arial" w:eastAsia="Arial" w:hAnsi="Arial"/>
          <w:sz w:val="15"/>
          <w:szCs w:val="15"/>
          <w:color w:val="auto"/>
        </w:rPr>
        <w:t>2,000,000 common shares</w:t>
      </w:r>
    </w:p>
    <w:p>
      <w:pPr>
        <w:spacing w:after="0" w:line="225"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Over-allotment Option</w:t>
      </w:r>
      <w:r>
        <w:rPr>
          <w:sz w:val="20"/>
          <w:szCs w:val="20"/>
          <w:color w:val="auto"/>
        </w:rPr>
        <w:tab/>
      </w:r>
      <w:r>
        <w:rPr>
          <w:rFonts w:ascii="Arial" w:cs="Arial" w:eastAsia="Arial" w:hAnsi="Arial"/>
          <w:sz w:val="16"/>
          <w:szCs w:val="16"/>
          <w:color w:val="auto"/>
        </w:rPr>
        <w:t>We have granted the underwriters 45 days from the date of this prospectus to</w:t>
      </w:r>
    </w:p>
    <w:p>
      <w:pPr>
        <w:spacing w:after="0" w:line="27" w:lineRule="exact"/>
        <w:rPr>
          <w:sz w:val="20"/>
          <w:szCs w:val="20"/>
          <w:color w:val="auto"/>
        </w:rPr>
      </w:pPr>
    </w:p>
    <w:p>
      <w:pPr>
        <w:ind w:left="5160" w:right="200"/>
        <w:spacing w:after="0" w:line="261" w:lineRule="auto"/>
        <w:rPr>
          <w:sz w:val="20"/>
          <w:szCs w:val="20"/>
          <w:color w:val="auto"/>
        </w:rPr>
      </w:pPr>
      <w:r>
        <w:rPr>
          <w:rFonts w:ascii="Arial" w:cs="Arial" w:eastAsia="Arial" w:hAnsi="Arial"/>
          <w:sz w:val="18"/>
          <w:szCs w:val="18"/>
          <w:color w:val="auto"/>
        </w:rPr>
        <w:t>purchase up to an additional 300,000 shares on the same terms as the other shares being purchased by the underwriters from us.</w:t>
      </w:r>
    </w:p>
    <w:p>
      <w:pPr>
        <w:sectPr>
          <w:pgSz w:w="11900" w:h="16838" w:orient="portrait"/>
          <w:cols w:equalWidth="0" w:num="1">
            <w:col w:w="11220"/>
          </w:cols>
          <w:pgMar w:left="240" w:top="226" w:right="439" w:bottom="447" w:gutter="0" w:footer="0" w:header="0"/>
        </w:sectPr>
      </w:pPr>
    </w:p>
    <w:p>
      <w:pPr>
        <w:spacing w:after="0" w:line="180" w:lineRule="exact"/>
        <w:rPr>
          <w:sz w:val="20"/>
          <w:szCs w:val="20"/>
          <w:color w:val="auto"/>
        </w:rPr>
      </w:pPr>
    </w:p>
    <w:p>
      <w:pPr>
        <w:ind w:left="180" w:right="1280"/>
        <w:spacing w:after="0" w:line="687" w:lineRule="auto"/>
        <w:rPr>
          <w:sz w:val="20"/>
          <w:szCs w:val="20"/>
          <w:color w:val="auto"/>
        </w:rPr>
      </w:pPr>
      <w:r>
        <w:rPr>
          <w:rFonts w:ascii="Arial" w:cs="Arial" w:eastAsia="Arial" w:hAnsi="Arial"/>
          <w:sz w:val="15"/>
          <w:szCs w:val="15"/>
          <w:b w:val="1"/>
          <w:bCs w:val="1"/>
          <w:color w:val="auto"/>
        </w:rPr>
        <w:t>Shares outstanding before this offering Shares outstanding after this offering</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11,290,000 shares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13,290,000 shares (or 13,590,000 shares assuming that the underwriters’ over-allotment option is exercised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our net proceeds from this offering will be approximately</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$10,500,000, based on an assumed initial public offering price of $5.25 per share, which is the midpoint of the range set forth on the cover page of this prospectus, and after deducting estimated underwriting discounts and commissions and estimated offering expenses and assuming no exercise of the over-allotment option granted to the underwriters. We intend to use the net proceeds from this offering for global expansion, R&amp;D, talent development and working capital and general corporate purposes. See “Use of Proceeds” for more information.</w:t>
      </w:r>
    </w:p>
    <w:p>
      <w:pPr>
        <w:spacing w:after="0" w:line="165" w:lineRule="exact"/>
        <w:rPr>
          <w:sz w:val="20"/>
          <w:szCs w:val="20"/>
          <w:color w:val="auto"/>
        </w:rPr>
      </w:pPr>
    </w:p>
    <w:p>
      <w:pPr>
        <w:sectPr>
          <w:pgSz w:w="11900" w:h="16838" w:orient="portrait"/>
          <w:cols w:equalWidth="0" w:num="2">
            <w:col w:w="4440" w:space="720"/>
            <w:col w:w="6060"/>
          </w:cols>
          <w:pgMar w:left="240" w:top="226" w:right="439" w:bottom="447" w:gutter="0" w:footer="0" w:header="0"/>
          <w:type w:val="continuous"/>
        </w:sect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Underwriters’ Warrants</w:t>
      </w:r>
      <w:r>
        <w:rPr>
          <w:sz w:val="20"/>
          <w:szCs w:val="20"/>
          <w:color w:val="auto"/>
        </w:rPr>
        <w:tab/>
      </w:r>
      <w:r>
        <w:rPr>
          <w:rFonts w:ascii="Arial" w:cs="Arial" w:eastAsia="Arial" w:hAnsi="Arial"/>
          <w:sz w:val="16"/>
          <w:szCs w:val="16"/>
          <w:color w:val="auto"/>
        </w:rPr>
        <w:t>Upon the closing of this offering, we will issue to The Benchmark Company, LLC,</w:t>
      </w:r>
    </w:p>
    <w:p>
      <w:pPr>
        <w:spacing w:after="0" w:line="27" w:lineRule="exact"/>
        <w:rPr>
          <w:sz w:val="20"/>
          <w:szCs w:val="20"/>
          <w:color w:val="auto"/>
        </w:rPr>
      </w:pPr>
    </w:p>
    <w:p>
      <w:pPr>
        <w:ind w:left="5160"/>
        <w:spacing w:after="0" w:line="290" w:lineRule="auto"/>
        <w:rPr>
          <w:sz w:val="20"/>
          <w:szCs w:val="20"/>
          <w:color w:val="auto"/>
        </w:rPr>
      </w:pPr>
      <w:r>
        <w:rPr>
          <w:rFonts w:ascii="Arial" w:cs="Arial" w:eastAsia="Arial" w:hAnsi="Arial"/>
          <w:sz w:val="16"/>
          <w:szCs w:val="16"/>
          <w:color w:val="auto"/>
        </w:rPr>
        <w:t>as representative of the underwriters, warrants entitling the representative to purchase: (i) up to 5% of the number of common shares sold to investors introduced by the underwriters in this offering; and (ii) up to 3% of the number of common shares issued to investors identified by the Company in this offering. The warrants shall be exercisable for a period of five years from the effective date of the Registration Statement on Form F-1 of which this prospectus forms a part.</w:t>
      </w:r>
    </w:p>
    <w:p>
      <w:pPr>
        <w:spacing w:after="0" w:line="160"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Lock-up</w:t>
      </w:r>
      <w:r>
        <w:rPr>
          <w:sz w:val="20"/>
          <w:szCs w:val="20"/>
          <w:color w:val="auto"/>
        </w:rPr>
        <w:tab/>
      </w:r>
      <w:r>
        <w:rPr>
          <w:rFonts w:ascii="Arial" w:cs="Arial" w:eastAsia="Arial" w:hAnsi="Arial"/>
          <w:sz w:val="16"/>
          <w:szCs w:val="16"/>
          <w:color w:val="auto"/>
        </w:rPr>
        <w:t>Our executive officers, directors, and stockholders, have agreed with the</w:t>
      </w:r>
    </w:p>
    <w:p>
      <w:pPr>
        <w:spacing w:after="0" w:line="27" w:lineRule="exact"/>
        <w:rPr>
          <w:sz w:val="20"/>
          <w:szCs w:val="20"/>
          <w:color w:val="auto"/>
        </w:rPr>
      </w:pPr>
    </w:p>
    <w:p>
      <w:pPr>
        <w:ind w:left="5160" w:right="140"/>
        <w:spacing w:after="0" w:line="255" w:lineRule="auto"/>
        <w:rPr>
          <w:sz w:val="20"/>
          <w:szCs w:val="20"/>
          <w:color w:val="auto"/>
        </w:rPr>
      </w:pPr>
      <w:r>
        <w:rPr>
          <w:rFonts w:ascii="Arial" w:cs="Arial" w:eastAsia="Arial" w:hAnsi="Arial"/>
          <w:sz w:val="18"/>
          <w:szCs w:val="18"/>
          <w:color w:val="auto"/>
        </w:rPr>
        <w:t>underwriters not to sell, transfer or dispose of any shares or similar securities for a period of [twelve] months following the closing of this offering. See “Underwriting.”</w:t>
      </w:r>
    </w:p>
    <w:p>
      <w:pPr>
        <w:spacing w:after="0" w:line="186"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NASDAQ Trading symbol</w:t>
      </w:r>
      <w:r>
        <w:rPr>
          <w:sz w:val="20"/>
          <w:szCs w:val="20"/>
          <w:color w:val="auto"/>
        </w:rPr>
        <w:tab/>
      </w:r>
      <w:r>
        <w:rPr>
          <w:rFonts w:ascii="Arial" w:cs="Arial" w:eastAsia="Arial" w:hAnsi="Arial"/>
          <w:sz w:val="16"/>
          <w:szCs w:val="16"/>
          <w:color w:val="auto"/>
        </w:rPr>
        <w:t>We intend to apply for listing of our common shares on the NASDAQ Capital</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Market under the symbol “CLPS”.</w:t>
      </w:r>
    </w:p>
    <w:p>
      <w:pPr>
        <w:spacing w:after="0" w:line="207"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Indemnification Escrow</w:t>
      </w:r>
      <w:r>
        <w:rPr>
          <w:sz w:val="20"/>
          <w:szCs w:val="20"/>
          <w:color w:val="auto"/>
        </w:rPr>
        <w:tab/>
      </w:r>
      <w:r>
        <w:rPr>
          <w:rFonts w:ascii="Arial" w:cs="Arial" w:eastAsia="Arial" w:hAnsi="Arial"/>
          <w:sz w:val="16"/>
          <w:szCs w:val="16"/>
          <w:color w:val="auto"/>
        </w:rPr>
        <w:t>We estimate that our net proceeds from this offering will be approximately</w:t>
      </w:r>
    </w:p>
    <w:p>
      <w:pPr>
        <w:spacing w:after="0" w:line="27" w:lineRule="exact"/>
        <w:rPr>
          <w:sz w:val="20"/>
          <w:szCs w:val="20"/>
          <w:color w:val="auto"/>
        </w:rPr>
      </w:pPr>
    </w:p>
    <w:p>
      <w:pPr>
        <w:ind w:left="5160"/>
        <w:spacing w:after="0" w:line="286" w:lineRule="auto"/>
        <w:rPr>
          <w:sz w:val="20"/>
          <w:szCs w:val="20"/>
          <w:color w:val="auto"/>
        </w:rPr>
      </w:pPr>
      <w:r>
        <w:rPr>
          <w:rFonts w:ascii="Arial" w:cs="Arial" w:eastAsia="Arial" w:hAnsi="Arial"/>
          <w:sz w:val="16"/>
          <w:szCs w:val="16"/>
          <w:color w:val="auto"/>
        </w:rPr>
        <w:t>$10,500,000, based on an assumed initial public offering price of $5.25 per share, before deducting estimated underwriting discounts and commissions and estimated offering expenses and assuming no exercise of the over-allotment option granted to the underwriters. The above-referenced net proceeds figure does not include the $200,000 of the offering proceeds to be used to fund an escrow account to indemnify the underwriters). Proceeds of this offering in the amount of $200,000 shall be used to fund an escrow account for a period of 18 months following the closing date of this offering, which account shall be used in the event we have to indemnify the underwriters pursuant to the terms of an underwriting agreement with the underwriters. See “Use of Proceeds” for more information.</w:t>
      </w:r>
    </w:p>
    <w:p>
      <w:pPr>
        <w:spacing w:after="0" w:line="166" w:lineRule="exact"/>
        <w:rPr>
          <w:sz w:val="20"/>
          <w:szCs w:val="20"/>
          <w:color w:val="auto"/>
        </w:rPr>
      </w:pPr>
    </w:p>
    <w:p>
      <w:pPr>
        <w:ind w:left="180"/>
        <w:spacing w:after="0"/>
        <w:tabs>
          <w:tab w:leader="none" w:pos="514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5"/>
          <w:szCs w:val="15"/>
          <w:b w:val="1"/>
          <w:bCs w:val="1"/>
          <w:color w:val="auto"/>
        </w:rPr>
        <w:t xml:space="preserve">Investing in these securities involves a high degree of risk. </w:t>
      </w:r>
      <w:r>
        <w:rPr>
          <w:rFonts w:ascii="Arial" w:cs="Arial" w:eastAsia="Arial" w:hAnsi="Arial"/>
          <w:sz w:val="15"/>
          <w:szCs w:val="15"/>
          <w:color w:val="auto"/>
        </w:rPr>
        <w:t>As an investor, you</w:t>
      </w:r>
    </w:p>
    <w:p>
      <w:pPr>
        <w:spacing w:after="0" w:line="27" w:lineRule="exact"/>
        <w:rPr>
          <w:sz w:val="20"/>
          <w:szCs w:val="20"/>
          <w:color w:val="auto"/>
        </w:rPr>
      </w:pPr>
    </w:p>
    <w:p>
      <w:pPr>
        <w:ind w:left="5160" w:right="220"/>
        <w:spacing w:after="0" w:line="255" w:lineRule="auto"/>
        <w:rPr>
          <w:sz w:val="20"/>
          <w:szCs w:val="20"/>
          <w:color w:val="auto"/>
        </w:rPr>
      </w:pPr>
      <w:r>
        <w:rPr>
          <w:rFonts w:ascii="Arial" w:cs="Arial" w:eastAsia="Arial" w:hAnsi="Arial"/>
          <w:sz w:val="18"/>
          <w:szCs w:val="18"/>
          <w:color w:val="auto"/>
        </w:rPr>
        <w:t>should be able to bear a complete loss of your investment. You should carefully consider the information set forth in the “Risk Factors” section of this prospectus before deciding to invest in our common shares.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180" w:right="60" w:firstLine="648"/>
        <w:spacing w:after="0" w:line="279" w:lineRule="auto"/>
        <w:rPr>
          <w:sz w:val="20"/>
          <w:szCs w:val="20"/>
          <w:color w:val="auto"/>
        </w:rPr>
      </w:pPr>
      <w:r>
        <w:rPr>
          <w:rFonts w:ascii="Arial" w:cs="Arial" w:eastAsia="Arial" w:hAnsi="Arial"/>
          <w:sz w:val="17"/>
          <w:szCs w:val="17"/>
          <w:color w:val="auto"/>
        </w:rPr>
        <w:t>The following summary consolidated statements of operations and cash flow data for the years ended June 30, 2017 and 2016 and the summary consolidated balance sheet data as of June 30, 2017 and June 30, 2016 have been derived from our audited consolidated financial statements included elsewhere in this prospectus. The following summary consolidated financial statements for the six months ended December 31, 2017 and 2016 are derived from our unaudited consolidated financial statements included elsewhere in this prospectus.</w:t>
      </w:r>
    </w:p>
    <w:p>
      <w:pPr>
        <w:spacing w:after="0" w:line="171" w:lineRule="exact"/>
        <w:rPr>
          <w:sz w:val="20"/>
          <w:szCs w:val="20"/>
          <w:color w:val="auto"/>
        </w:rPr>
      </w:pPr>
    </w:p>
    <w:p>
      <w:pPr>
        <w:ind w:left="180" w:right="260" w:firstLine="648"/>
        <w:spacing w:after="0" w:line="312" w:lineRule="auto"/>
        <w:rPr>
          <w:sz w:val="20"/>
          <w:szCs w:val="20"/>
          <w:color w:val="auto"/>
        </w:rPr>
      </w:pPr>
      <w:r>
        <w:rPr>
          <w:rFonts w:ascii="Arial" w:cs="Arial" w:eastAsia="Arial" w:hAnsi="Arial"/>
          <w:sz w:val="16"/>
          <w:szCs w:val="16"/>
          <w:color w:val="auto"/>
        </w:rPr>
        <w:t>Our management believes that the assumptions underlying our financial statements and the above allocations are reasonable. Our financial statements, however, may not necessarily reflect our results of operations, financial position and cash flows as if we had operated as a separate, stand-alone company during the periods presented. You should not view our historical results as an indicator of our future performance.</w:t>
      </w:r>
    </w:p>
    <w:p>
      <w:pPr>
        <w:sectPr>
          <w:pgSz w:w="11900" w:h="16838" w:orient="portrait"/>
          <w:cols w:equalWidth="0" w:num="1">
            <w:col w:w="11220"/>
          </w:cols>
          <w:pgMar w:left="240" w:top="226" w:right="439" w:bottom="447"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226" w:right="439" w:bottom="447" w:gutter="0" w:footer="0" w:header="0"/>
          <w:type w:val="continuous"/>
        </w:sectPr>
      </w:pPr>
    </w:p>
    <w:bookmarkStart w:id="14" w:name="page15"/>
    <w:bookmarkEnd w:id="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327025</wp:posOffset>
            </wp:positionV>
            <wp:extent cx="7147560" cy="9060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7560" cy="906018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80" w:right="320" w:firstLine="648"/>
        <w:spacing w:after="0" w:line="277" w:lineRule="auto"/>
        <w:rPr>
          <w:sz w:val="20"/>
          <w:szCs w:val="20"/>
          <w:color w:val="auto"/>
        </w:rPr>
      </w:pPr>
      <w:r>
        <w:rPr>
          <w:rFonts w:ascii="Arial" w:cs="Arial" w:eastAsia="Arial" w:hAnsi="Arial"/>
          <w:sz w:val="18"/>
          <w:szCs w:val="18"/>
          <w:color w:val="auto"/>
        </w:rPr>
        <w:t>The following table presents our summary consolidated statements of income and comprehensive income for the fiscal years ended June 30, 2017 and 2016, and the six months ended December 31, 2017 and 2016.</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Consolidated Statement of Income and Comprehensive Income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U.S. dollars, except number of shares)</w:t>
      </w:r>
    </w:p>
    <w:p>
      <w:pPr>
        <w:spacing w:after="0" w:line="211"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color w:val="auto"/>
              </w:rPr>
              <w:t>For the years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8"/>
                <w:szCs w:val="18"/>
                <w:color w:val="auto"/>
                <w:w w:val="97"/>
              </w:rPr>
              <w:t>For the Six Months ended</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June 30,</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31,361,976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29,024,178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22,199,995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14,323,938</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Less: Cost of revenues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(18,669,812)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(17,463,416)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(13,341,978)</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(8,483,897)</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11,560,762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1,206,493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1,132,931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282,618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4,232,788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3,562,988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5,647,790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4,955,037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3,064,232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3,032,589</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10,947,111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5,321,973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6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1,097,866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518,068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455,009</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(13,213)</w:t>
            </w: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2,102,811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2,054,124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970,931</w:t>
            </w:r>
          </w:p>
        </w:tc>
        <w:tc>
          <w:tcPr>
            <w:tcW w:w="0" w:type="dxa"/>
            <w:vAlign w:val="bottom"/>
          </w:tcPr>
          <w:p>
            <w:pPr>
              <w:spacing w:after="0"/>
              <w:rPr>
                <w:sz w:val="1"/>
                <w:szCs w:val="1"/>
                <w:color w:val="auto"/>
              </w:rPr>
            </w:pPr>
          </w:p>
        </w:tc>
      </w:tr>
      <w:tr>
        <w:trPr>
          <w:trHeight w:val="25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269,153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1,325,391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1,024,973</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2,047,445</w:t>
            </w:r>
          </w:p>
        </w:tc>
        <w:tc>
          <w:tcPr>
            <w:tcW w:w="14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1,826,112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1,331,329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1,025,448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(387,100)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202"/>
        </w:trPr>
        <w:tc>
          <w:tcPr>
            <w:tcW w:w="5660" w:type="dxa"/>
            <w:vAlign w:val="bottom"/>
          </w:tcPr>
          <w:p>
            <w:pPr>
              <w:spacing w:after="0" w:line="201" w:lineRule="exact"/>
              <w:rPr>
                <w:sz w:val="20"/>
                <w:szCs w:val="20"/>
                <w:color w:val="auto"/>
              </w:rPr>
            </w:pPr>
            <w:r>
              <w:rPr>
                <w:rFonts w:ascii="Arial" w:cs="Arial" w:eastAsia="Arial" w:hAnsi="Arial"/>
                <w:sz w:val="18"/>
                <w:szCs w:val="18"/>
                <w:color w:val="auto"/>
                <w:w w:val="95"/>
              </w:rPr>
              <w:t>Less: foreign currency translation (loss) gain attributable to Non-controlling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60" w:type="dxa"/>
            <w:vAlign w:val="bottom"/>
          </w:tcPr>
          <w:p>
            <w:pPr>
              <w:ind w:left="80"/>
              <w:spacing w:after="0"/>
              <w:rPr>
                <w:sz w:val="20"/>
                <w:szCs w:val="20"/>
                <w:color w:val="auto"/>
              </w:rPr>
            </w:pPr>
            <w:r>
              <w:rPr>
                <w:rFonts w:ascii="Arial" w:cs="Arial" w:eastAsia="Arial" w:hAnsi="Arial"/>
                <w:sz w:val="18"/>
                <w:szCs w:val="18"/>
                <w:color w:val="auto"/>
              </w:rPr>
              <w:t>interests</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7"/>
        </w:trPr>
        <w:tc>
          <w:tcPr>
            <w:tcW w:w="56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8"/>
              </w:rPr>
              <w:t>Other comprehensive (loss) income attributable to CLPS Incorporation’s</w:t>
            </w: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56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(385,629</w:t>
            </w:r>
            <w:r>
              <w:rPr>
                <w:rFonts w:ascii="Arial" w:cs="Arial" w:eastAsia="Arial" w:hAnsi="Arial"/>
                <w:sz w:val="36"/>
                <w:szCs w:val="36"/>
                <w:color w:val="auto"/>
                <w:vertAlign w:val="superscript"/>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(94,909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vMerge w:val="continue"/>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(226,776)</w:t>
            </w:r>
          </w:p>
        </w:tc>
        <w:tc>
          <w:tcPr>
            <w:tcW w:w="0" w:type="dxa"/>
            <w:vAlign w:val="bottom"/>
          </w:tcPr>
          <w:p>
            <w:pPr>
              <w:spacing w:after="0"/>
              <w:rPr>
                <w:sz w:val="1"/>
                <w:szCs w:val="1"/>
                <w:color w:val="auto"/>
              </w:rPr>
            </w:pPr>
          </w:p>
        </w:tc>
      </w:tr>
      <w:tr>
        <w:trPr>
          <w:trHeight w:val="21"/>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1,952,536</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1,440,483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1,541,780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798,672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14,835</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
        </w:trPr>
        <w:tc>
          <w:tcPr>
            <w:tcW w:w="5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2,128,180</w:t>
            </w:r>
          </w:p>
        </w:tc>
        <w:tc>
          <w:tcPr>
            <w:tcW w:w="14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1,397,871</w:t>
            </w:r>
          </w:p>
        </w:tc>
        <w:tc>
          <w:tcPr>
            <w:tcW w:w="1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1,556,615</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791,148</w:t>
            </w:r>
          </w:p>
        </w:tc>
        <w:tc>
          <w:tcPr>
            <w:tcW w:w="0" w:type="dxa"/>
            <w:vAlign w:val="bottom"/>
          </w:tcPr>
          <w:p>
            <w:pPr>
              <w:spacing w:after="0"/>
              <w:rPr>
                <w:sz w:val="1"/>
                <w:szCs w:val="1"/>
                <w:color w:val="auto"/>
              </w:rPr>
            </w:pPr>
          </w:p>
        </w:tc>
      </w:tr>
      <w:tr>
        <w:trPr>
          <w:trHeight w:val="216"/>
        </w:trPr>
        <w:tc>
          <w:tcPr>
            <w:tcW w:w="5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6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 and diluted</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our summary consolidated balance sheet data as of June 30, 2017 and 2016, and December 31, 2017.</w:t>
      </w:r>
    </w:p>
    <w:p>
      <w:pPr>
        <w:spacing w:after="0" w:line="237"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As of</w:t>
            </w:r>
          </w:p>
        </w:tc>
      </w:tr>
      <w:tr>
        <w:trPr>
          <w:trHeight w:val="251"/>
        </w:trPr>
        <w:tc>
          <w:tcPr>
            <w:tcW w:w="5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40" w:type="dxa"/>
            <w:vAlign w:val="bottom"/>
            <w:gridSpan w:val="5"/>
          </w:tcPr>
          <w:p>
            <w:pPr>
              <w:ind w:left="500"/>
              <w:spacing w:after="0"/>
              <w:rPr>
                <w:sz w:val="20"/>
                <w:szCs w:val="20"/>
                <w:color w:val="auto"/>
              </w:rPr>
            </w:pPr>
            <w:r>
              <w:rPr>
                <w:rFonts w:ascii="Arial" w:cs="Arial" w:eastAsia="Arial" w:hAnsi="Arial"/>
                <w:sz w:val="18"/>
                <w:szCs w:val="18"/>
                <w:color w:val="auto"/>
              </w:rPr>
              <w:t>As of 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7"/>
        </w:trPr>
        <w:tc>
          <w:tcPr>
            <w:tcW w:w="5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r>
      <w:tr>
        <w:trPr>
          <w:trHeight w:val="216"/>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4,814,568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4,659,037</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Current Assets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12,325,296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9,910,841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16,619,705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13,521,923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10,471,529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17,853,399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Liabilities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8,210,625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6,264,005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10,985,416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4,834,188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4,203,490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6,375,968</w:t>
            </w: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477,110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492,015</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5,311,298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4,207,524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6,867,983</w:t>
            </w:r>
          </w:p>
        </w:tc>
        <w:tc>
          <w:tcPr>
            <w:tcW w:w="120" w:type="dxa"/>
            <w:vAlign w:val="bottom"/>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13,521,923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10,471,529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17,853,399</w:t>
            </w:r>
          </w:p>
        </w:tc>
      </w:tr>
    </w:tbl>
    <w:p>
      <w:pPr>
        <w:spacing w:after="0" w:line="200" w:lineRule="exact"/>
        <w:rPr>
          <w:sz w:val="20"/>
          <w:szCs w:val="20"/>
          <w:color w:val="auto"/>
        </w:rPr>
      </w:pPr>
    </w:p>
    <w:p>
      <w:pPr>
        <w:sectPr>
          <w:pgSz w:w="11900" w:h="16838" w:orient="portrait"/>
          <w:cols w:equalWidth="0" w:num="1">
            <w:col w:w="11240"/>
          </w:cols>
          <w:pgMar w:left="240" w:top="226" w:right="419" w:bottom="645" w:gutter="0" w:footer="0" w:header="0"/>
        </w:sectPr>
      </w:pP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226" w:right="419" w:bottom="645" w:gutter="0" w:footer="0" w:header="0"/>
          <w:type w:val="continuous"/>
        </w:sectPr>
      </w:pPr>
    </w:p>
    <w:bookmarkStart w:id="15" w:name="page16"/>
    <w:bookmarkEnd w:id="1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Investment in our securities involves a high degree of risk. You should carefully consider the risks described below together with all of the other information included in this prospectus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 You should not invest in this offering unless you can afford to lose your entire investment.</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7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have significantly grown and expanded our business recently. Our revenues grew from $29.0 million in fiscal 2016 to $31.4 million in fiscal 2017. As of the date of this prospectus, we maintain eleven delivery and or R&amp;D centers, of which seven are located in China (Shanghai, Beijing, Dalian, Tianjin, Chengdu, Guangzhou and Shenzhen) and four are located globally (Hong Kong, Taiwan, Singapore and Australia), to serve different customers in various geographic locations. The number of our total employees grew from 1,055 in fiscal 2016 to 1,248 in fiscal 2017. As of March 25, 2018 we had 1,606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talents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adhering to and further improving our high quality and process execution standards and maintaining high levels of client satisfaction.</w:t>
      </w:r>
    </w:p>
    <w:p>
      <w:pPr>
        <w:spacing w:after="0" w:line="15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problems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8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IT services industry is particularly sensitive to the economic environment, either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0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ectPr>
          <w:pgSz w:w="11900" w:h="16838" w:orient="portrait"/>
          <w:cols w:equalWidth="0" w:num="1">
            <w:col w:w="11420"/>
          </w:cols>
          <w:pgMar w:left="240" w:top="226" w:right="23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7"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18% and 15% per annum in 2016 and 2017, respectively.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believe that in the foreseeable future we will continue to derive a significant portion of our revenues from a small number of major clients. For the years ended June 30, 2017 and 2016, Citibank and its affiliates accounted for 38.6% and 59.2% of the Company’s total revenues, respectively. For the six months ended December 31, 2017 and 2016, Citibank accounted for 30.7% and 41% of the Company’s total revenues, respectively. For fiscal 2017 and 2016, substantially all the service provided by the Company to Citibank was IT consulting service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team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business depends on our ability to successfully obtain payment from our clients of the amounts they owe us for work performed. As of June 30, 2017 and 2016, our accounts receivable balance, net of allowance, amounted to approximately $6.6 million and $4.4 million, respectively. As of December 31, 2017 and 2016, our accounts receivable balance, net of allowance, amounted to approximately $10.8 million and $5.8 million, respectively. For the year ended June 30, 2017, Citibank accounted for 39.1% of the Company’s total accounts receivable balance. For the year ended June 30, 2016, Citibank and eBay accounted for 47.3% and 10.0% of the Company’s total accounts receivable balance, respectively. For the six months ended December 31, 2017, Citibank and its affiliates accounted for 33.8% of the Company’s total accounts receivable balance. For the six months ended December 31, 2016, Citibank and eBay accounted for 41.6% and 14.0% of the Company’s total accounts receivable balance, respectively.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implementing our strategy and modifying it from time to time to respond effectively to competition and changes in client preferences;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0" w:name="page21"/>
    <w:bookmarkEnd w:id="2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2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660" w:righ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potentially adverse tax consequences, such as scrutiny of transfer pricing arrangements by authorities in the countries in which we operate;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w:t>
      </w:r>
    </w:p>
    <w:p>
      <w:pPr>
        <w:spacing w:after="0" w:line="14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17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4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proceeds from this offering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1"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resulting from business interruptions resulting from occurrence of natural disasters, health epidemics and other outbreaks or events.</w:t>
      </w:r>
    </w:p>
    <w:p>
      <w:pPr>
        <w:spacing w:after="0" w:line="26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w:t>
      </w:r>
    </w:p>
    <w:p>
      <w:pPr>
        <w:spacing w:after="0" w:line="165" w:lineRule="exact"/>
        <w:rPr>
          <w:sz w:val="20"/>
          <w:szCs w:val="20"/>
          <w:color w:val="auto"/>
        </w:rPr>
      </w:pPr>
    </w:p>
    <w:p>
      <w:pPr>
        <w:jc w:val="both"/>
        <w:ind w:right="340" w:firstLine="648"/>
        <w:spacing w:after="0" w:line="312" w:lineRule="auto"/>
        <w:rPr>
          <w:sz w:val="20"/>
          <w:szCs w:val="20"/>
          <w:color w:val="auto"/>
        </w:rPr>
      </w:pPr>
      <w:r>
        <w:rPr>
          <w:rFonts w:ascii="Arial" w:cs="Arial" w:eastAsia="Arial" w:hAnsi="Arial"/>
          <w:sz w:val="16"/>
          <w:szCs w:val="16"/>
          <w:color w:val="auto"/>
        </w:rPr>
        <w:t>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4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receive from this offering into for our operations, appreciation of the RMB against the U.S. dollar would have an adverse effect on the RMB amount we receive from the conversion. Conversely, if we decide to convert our RMB into U.S. dollars for the purpose of making payments for dividends on our common share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 we receive from our offering into RMB for our operations, appreciation of the RMB against the U.S. dollar would have an adverse effect on the RMB amount we would receive from the conversion. Conversely, if we decide to convert our RMB into U.S. dollar for the purpose of paying dividends on our common stock or for other business purposes, appreciation of the U.S. dollar against the RMB would have a negative effect on the U.S. dollar amount available to us.</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w:t>
      </w:r>
    </w:p>
    <w:p>
      <w:pPr>
        <w:spacing w:after="0" w:line="18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15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w:t>
      </w:r>
    </w:p>
    <w:p>
      <w:pPr>
        <w:spacing w:after="0" w:line="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10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we fail to develop and maintain an effective system of internal control over financial reporting, we may be unable to accurately report our financial results or prevent fraud.</w:t>
      </w:r>
    </w:p>
    <w:p>
      <w:pPr>
        <w:spacing w:after="0" w:line="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our review of our financial statements for the six months ended December 31, 2017, our independent registered public accounting firm identified a material weakness in the design and operation of our internal controls. As defined in the standards established by the Public Company Accounting Oversight Board of the United States,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 (See Note 10 to the financial statements). Although the Company was aware of such transactions referenced in the Note, the relevant information was not provided to the financial accounting and reporting personnel, and, as a result, was not reflected in the subsequent note disclosures to the Company’s financial statements.</w:t>
      </w:r>
    </w:p>
    <w:p>
      <w:pPr>
        <w:spacing w:after="0" w:line="10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After review and the performance of additional analysis and other procedures, no material adjustments, restatement or other revisions to our previously issued financial statements were required.</w:t>
      </w:r>
    </w:p>
    <w:p>
      <w:pPr>
        <w:spacing w:after="0" w:line="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in order to address the material weakness and to further strengthen our accounting staff and internal controls, we have designated a “point” person within the Company’s accounting and finance reporting structure to whom all information relating to material transactions after the balance sheet closing date is reported to ensure that it is then properly and timely disclosure as subsequent event(s) in notes to the Company’s financial statements; the foregoing measure has been implemented immediately to further enhance and revise the design and operation of our existing controls and procedures in the near term.</w:t>
      </w:r>
    </w:p>
    <w:p>
      <w:pPr>
        <w:spacing w:after="0" w:line="10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cannot be certain that these measures will successfully remediate the material weakness or that other material weaknesses will not be discovered in the future. If our efforts are not successful or other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common stock to decline. In addition, it could in turn limit our access to capital markets, harm our results of operations, and lead to a decline in the trading price of our securities.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Because of our status as an emerging growth company, you will not be able to depend on any attestation from our independent registered public accountants as to our internal control over financial reporting for the foreseeable future.</w:t>
      </w:r>
    </w:p>
    <w:p>
      <w:pPr>
        <w:sectPr>
          <w:pgSz w:w="11900" w:h="16838" w:orient="portrait"/>
          <w:cols w:equalWidth="0" w:num="1">
            <w:col w:w="11400"/>
          </w:cols>
          <w:pgMar w:left="240" w:top="226" w:right="259" w:bottom="1440" w:gutter="0" w:footer="0" w:header="0"/>
        </w:sect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8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Pursuant to Company Law of P.R. China (2013 Revision), Wholly Foreign-Owned Enterprise Law of the P.R. China (2000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failure to obtain prior approval of the China Securities Regulatory Commission (“CSRC”) for the listing and trading of our common shares on a foreign stock exchange could delay this offering or could have a material adverse effect upon our business, operating results, reputation and trading price of our common shares.</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If the CSRC requires that we obtain its approval prior to the completion of this offering, the offering will be delayed until we obtain CSRC approval, which may take several months. There is also the possibility that we may not be able to obtain such approval. If prior CSRC approval was required, we may face regulatory actions or other sanctions from the CSRC or other Chinese regulatory authorities. These authorities may impose fines and penalties upon our operations in China, limit our operating privileges in China, delay or restrict the repatriation of the proceeds from this offering into China, or take other actions that could have a material adverse effect upon our business, financial condition, results of operations, reputation and prospects, as well as the trading price of our common shares. The CSRC or other Chinese regulatory agencies may also take actions requiring us, or making it advisable for us, to terminate this offering prior to closing.</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7" w:name="page28"/>
    <w:bookmarkEnd w:id="2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8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ectPr>
          <w:pgSz w:w="11900" w:h="16838" w:orient="portrait"/>
          <w:cols w:equalWidth="0" w:num="1">
            <w:col w:w="11420"/>
          </w:cols>
          <w:pgMar w:left="240" w:top="226" w:right="23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8" w:name="page29"/>
    <w:bookmarkEnd w:id="2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3"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The approval of the China Securities Regulatory Commission, or the CSRC, may be required in connection with this offering under a recently adopted PRC regulation; any requirement to obtain prior CSRC approval could delay this offering and failure to obtain such approval, if required, could have a material adverse effect on our business, results of operation and reputation and could also create uncertainties for this offering.</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2006, the CSRC and five other PRC regulatory agencies jointly promulgated the Provisions Regarding Mergers and Acquisitions of Domestic Enterprises by Foreign Investors, or the M&amp;A Rule, which regulates foreign investment in PRC domestic enterprises. The M&amp;A Rule requires offshore special purpose vehicles formed for the purposes of overseas listing of equity interests in PRC companies and controlled directly or indirectly by PRC companies or individuals to obtain the approval of the CSRC prior to the listing and trading of the special purpose vehicle’s securities on an overseas stock exchange. The interpretation and application of the M&amp;A Rule is currently unclear. If the CSRC or another PRC regulatory agency subsequently determines that prior CSRC approval was required, we may face regulatory actions or other sanctions from the CSRC or other PRC regulatory agencies. These regulatory agencies may impose fines and penalties on our operations, limit our operating privileges, delay or restrict the repatriation of the proceeds from this offering into China or the payment or distribution of dividends by our PRC subsidiaries, or take other actions that could have a material adverse effect on our business, financial condition, results of operations, reputation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majority of our operations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regarding the PRC tax reporting obligations and consequences for certain indirect transfers of the stock of our operating company.</w:t>
      </w:r>
    </w:p>
    <w:p>
      <w:pPr>
        <w:spacing w:after="0" w:line="26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Pursuant to the Notice on Strengthening Administration of Enterprise Income Tax for Share Transfers by Non-PRC Resident Enterprises issued by the PRC State Administration of Taxation on December 10, 2009, or Circular 698, where a foreign investor transfers the equity interests of a PRC resident enterprise indirectly by way of the sale of equity interests of an overseas holding company, or an Indirect Transfer, and such overseas holding company is located in a tax jurisdiction that: (i) has an effective tax rate less than 12.5% or (ii) does not tax foreign income of its residents, the foreign investor should report such Indirect Transfer to the competent tax authority of the PRC resident enterprise. The PRC tax authority will examine the true nature of the Indirect Transfer, and if the tax authority considers that the foreign investor has adopted an abusive arrangement in order to avoid PRC tax, they will disregard the existence of the overseas holding company and re-characterize the Indirect Transfer and as a result, gains derived from such Indirect Transfer may be subject to PRC withholding tax at the rate of up to 10%. In addition, the PRC resident enterprise is supposed to provide necessary assistance to support the enforcement of Circular 698. At present, the PRC tax authorities will neither confirm nor deny that they would enforce Circular 698, in conjunction with other tax collection and tax withholding rules, to make claims against our PRC subsidiary as being indirectly liable for unpaid taxes, if any, arising from Indirect Transfers by shareholders who did not obtain their shares in the public offering of our shares.</w:t>
      </w:r>
    </w:p>
    <w:p>
      <w:pPr>
        <w:sectPr>
          <w:pgSz w:w="11900" w:h="16838" w:orient="portrait"/>
          <w:cols w:equalWidth="0" w:num="1">
            <w:col w:w="11420"/>
          </w:cols>
          <w:pgMar w:left="240" w:top="226" w:right="23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PRC State Administration of Foreign Exchange, or SAFE, issued a public notice in 2005 known as Circular 75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In addition, any PRC resident that is the shareholder of an offshore special purpose company is required to amend its SAFE registration with the local SAFE branch with respect to that offshore special purpose company in connection with any increase or decrease of capital, transfer of shares, merger, division, equity investment or creation of any security interest over any assets located in China. If these shareholders fail to comply, the PRC subsidiaries of the offshore special purpose company may be prohibited from distributing their profits and proceeds from any reduction in capital, share transfer or liquidation to their offshore parent company and the offshore parent company may be restricted in its ability to contribute additional capital into its PRC subsidiaries. Moreover, failure to comply with the above SAFE registration requirements could result in liabilities under PRC laws for evasion of foreign exchange restrictions.</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committed to complying with the Circular 75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75 requirements. As a result, we cannot assure you that all of our shareholders or beneficial owners who are PRC citizens or residents will at all times comply with, or in the future make or obtain any applicable registrations or approvals required by, Circular 75 or other related regulations. Failure by any such shareholders or beneficial owners to comply with Circular 75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 PRC National Development and Reform Commission promulgated a rule in 2004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PRC regulation of loans and direct investment by offshore holding companies to PRC entities may delay or prevent us from using the proceeds of this offering to make loans or additional capital contributions to our PRC subsidiaries, which could materially and adversely affect our liquidity and our ability to fund and expand our business.</w:t>
      </w:r>
    </w:p>
    <w:p>
      <w:pPr>
        <w:spacing w:after="0" w:line="18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utilizing the proceeds from this public offering or any future offerings, as an offshore holding company of our PRC subsidiaries, 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5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use the proceeds of this offering and to capitalize our PRC operations may be negatively affected, which could adversely and materially affect our liquidity and our ability to fund and expand our business.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2008, SAFE promulgated Circular 142, a notice regulating the conversion by a foreign-invested enterprise of foreign currency into Renminbi by restricting how the converted Renminbi may be used. Circular 142 requires that Renminbi converted from the foreign currency-denominated capital of a foreign-invested enterprise may only be used for purposes within the business scope approved by the applicable governmental authority and may not be used for equity investments within the PRC unless specifically provided for otherwise in its business scope. In addition, SAFE strengthened its oversight of the flow and use of Renminbi funds converted from the foreign currency-denominated capital of a foreign-invested enterprise. The use of such Renminbi may not be changed without approval from SAFE, and may not be used to repay Renminbi loans if the proceeds of such loans have not yet been used for purposes within the foreign-invested enterprise’s approved business scope.</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use the proceeds we receive from this offering and to capitalize or otherwise fund our PRC operations may be negatively affected, which could adversely and materially affect our liquidity and our ability to fund and expand our business.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0"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and Circular 698, which became effective in January 2008, and a Circular 7 in replacement of some of the existing rules in Circular 698, which became effective in February 2015.</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Circular 698, where a non-resident enterprise conducts an “indirect transfer” by transferring the equity interests of a PRC “resident enterprise” indirectly by disposing of the equity interests of an overseas holding company,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 Circular 698 also provides that, where a non-PRC resident enterprise transfers its equity interests in a PRC resident enterprise to its related parties at a price lower than the fair market value, the relevant tax authority has the power to make a reasonable adjustment to the taxable income of the transaction.</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or Circular 698 and Circular 7, and may be required to expend valuable resources to comply with Circular 59, Circular 698 and Circular 7 or to establish that we and our non-resident enterprises should not be taxed under these circulars, which may have a material adverse effect on our financial condition and results of operations.</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PRC tax authorities have the discretion under SAT Circular 59, Circular 698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698 and Circular 7, our income tax costs associated with such potential acquisitions will be increased, which may have an adverse effect on our financial condition and results of operations.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this Offering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There has been no public market for our common shares prior to this offering, and you may not be able to resell our common shares at or above the price you paid, or at all.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Prior to this initial public offering, there has been no public market for our shares. We intend to list our common shares on the NASDAQ Capital Market. If an active trading market for our common shares does not develop after this offering, the market price and liquidity of our common shares will be materially and adversely affected. Negotiations with the underwriters will determine the initial public offering price for our common shares which may bear no relationship to their market price after the initial public offering. We cannot assure you that an active trading market for our common shares will develop or that the market price of our common shares will not decline below the initial public offering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comply with certain conditions, our common shares may not trade on the NASDAQ Capital Market.</w:t>
      </w:r>
    </w:p>
    <w:p>
      <w:pPr>
        <w:spacing w:after="0" w:line="221"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We have received approval to list our common shares on the NASDAQ Capital Market provided that we pay the balance of our entry fee</w:t>
      </w:r>
      <w:r>
        <w:rPr>
          <w:rFonts w:ascii="Arial" w:cs="Arial" w:eastAsia="Arial" w:hAnsi="Arial"/>
          <w:sz w:val="16"/>
          <w:szCs w:val="16"/>
          <w:color w:val="auto"/>
        </w:rPr>
        <w:t xml:space="preserve"> </w:t>
      </w:r>
      <w:r>
        <w:rPr>
          <w:rFonts w:ascii="Arial" w:cs="Arial" w:eastAsia="Arial" w:hAnsi="Arial"/>
          <w:sz w:val="16"/>
          <w:szCs w:val="16"/>
          <w:b w:val="1"/>
          <w:bCs w:val="1"/>
          <w:color w:val="auto"/>
        </w:rPr>
        <w:t>and show that we will have 300 round-lot shareholders prior to our first day of trading</w:t>
      </w:r>
      <w:r>
        <w:rPr>
          <w:rFonts w:ascii="Arial" w:cs="Arial" w:eastAsia="Arial" w:hAnsi="Arial"/>
          <w:sz w:val="16"/>
          <w:szCs w:val="16"/>
          <w:color w:val="auto"/>
        </w:rPr>
        <w:t>.] If we are unable to meet these final conditions our shares may</w:t>
      </w:r>
      <w:r>
        <w:rPr>
          <w:rFonts w:ascii="Arial" w:cs="Arial" w:eastAsia="Arial" w:hAnsi="Arial"/>
          <w:sz w:val="16"/>
          <w:szCs w:val="16"/>
          <w:b w:val="1"/>
          <w:bCs w:val="1"/>
          <w:color w:val="auto"/>
        </w:rPr>
        <w:t xml:space="preserve"> </w:t>
      </w:r>
      <w:r>
        <w:rPr>
          <w:rFonts w:ascii="Arial" w:cs="Arial" w:eastAsia="Arial" w:hAnsi="Arial"/>
          <w:sz w:val="16"/>
          <w:szCs w:val="16"/>
          <w:color w:val="auto"/>
        </w:rPr>
        <w:t>not trade on the NASDAQ Capital Market. In addition, we have relied on an exemption to the blue sky registration requirements afforded to “covered securities.” Securities listed on the NASDAQ Capital Market are “covered securities.” If we were unable to meet the final conditions for listing, then we would be unable to rely on the covered securities exemption to blue sky registration requirements and we would need to register the offering in each state in which we planned to sell shares. Consequently, we will not complete this offering until we have met the final conditions.</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listed on the NASDAQ Capital Market and our financial condition deteriorates, we may not meet continued listing standards on the NASDAQ Capital Market.</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NASDAQ Capital Market also requires companies to fulfill specific requirements in order for their shares to continue to be listed. If our shares are listed on the NASDAQ Capital Market but are delisted from the NASDAQ Capital Market at some later date, our shareholders could find it difficult to sell our shares. In addition, if our common shares are delisted from the NASDAQ Capital Market at some later date, we may apply to have our common shares quoted on the Bulletin Board or in the “pink sheets” maintained by the National Quotation Bureau, Inc. The Bulletin Board and the “pink sheets” are generally considered to be less efficient markets than the NASDAQ Capital Market. In addition, if our common shares are not so listed or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not so listed or are delisted from the NASDAQ Capital Market at some later date or become subject to the penny stock regulations, it is likely that the price of our shares would decline and that our shareholders would find it difficult to sell their shares.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a limited number of participants in this offering purchase a significant percentage of the offering, the effective public float may be smaller than anticipated and the price of our common shares may be volatile.</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As a company conducting a relatively modest public offering, we are subject to the risk that a small number of investors will purchase a high percentage of the offering. If this were to happen, investors could find our shares to be more volatile than they might otherwise anticipate. Companies that experience such volatility in their stock price may be more likely to be the subject of securities litigation. In addition, if a large portion of our public float were to be held by a few investors, smaller investors may find it more difficult to sell their shares.</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$200,000 from the proceeds of this offering will be placed in escrow for 18 months from the date of this offering for the purpose of indemnifying the underwriters and may not be used during such time, or potentially at all, for further developing our business.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have entered into an indemnification escrow agreement, whereby, we have agreed to place $200,000 from the proceeds of this offering into an escrow account in the United States for a period of 18 months following this offering for the purpose of satisfying an initial $200,000 in indemnity claims of the underwriters. Accordingly, we will not be able to use $200,000 from the proceeds of this offering to develop our business operations for such period, or at all, if we are required to indemnify the underwriters, which could adversely impact our earnings and cash flows, thereby having an adverse effect on our financial condition, results of operations, and per share trading price of our common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17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18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1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shares, as the future sale of a substantial amount of outstanding common shares in the public marketplace could reduce the price of our common shares.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market price of our shares could decline as a result of sales of substantial amounts of our shares in the public market, or the perception that these sales could occur. In addition, these factors could make it more difficult for us to raise funds through future offerings of our common shares. An aggregate of shares is outstanding before the consummation of this offering and 13,290,000 shares (or 13,590,000 shares assuming that the underwriters’ over-allotment option is exercised in full) will be outstanding immediately after this offering. All of the shares sold in the offering will be freely transferable without restriction or further registration under the Securities Act. The remaining shares will be “restricted securities” as defined in Rule 144. These shares may be sold in the future without registration under the Securities Act to the extent permitted by Rule 144 or other exemptions under the Securities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experience immediate and substantial dilution.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initial public offering price of our shares is expected to be substantially higher than the pro forma net tangible book value per share of our common shares. Assuming the completion of the offering, if you purchase shares in this offering, you will incur immediate dilution of approximately $4.12 or approximately 78.5% in the pro forma net tangible book value per share from the price per share that you pay for the shares. Accordingly, if you purchase shares in this offering, you will incur immediate and substantial dilution of your investment. See “Dilution.”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finally determined the use of the proceeds from this offering, and we may use the proceeds in ways with which you may not agree.</w:t>
      </w:r>
    </w:p>
    <w:p>
      <w:pPr>
        <w:spacing w:after="0" w:line="2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While we have identified the priorities to which we expect to put the proceeds of this offering, our management will have considerable discretion in the application of the net proceeds received by us. Specifically, we intend to use the net proceeds from this offering for expansion and upgrades of our production lines and warehouse facilities, establishment promotion of overseas sales websites, and working capital and general corporate purposes. We have reserved the right to re-allocate funds currently allocated to that purpose to our general working capital. If that were to happen, then our management would have discretion over even more of the net proceeds to be received by our company in this offering. You will not have the opportunity, as part of your investment decision, to assess whether the proceeds are being used appropriately. You must rely on the judgment of our management regarding the application of the net proceeds of this offering. The net proceeds may be used for corporate purposes that do not improve our efforts to achieve profitability or increase our stock price. The net proceeds from this offering may be placed in investments that do not produce profit or increase value. See “Use of Proceeds.”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Upon consummation of this offering, we will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81" w:lineRule="exact"/>
        <w:rPr>
          <w:sz w:val="20"/>
          <w:szCs w:val="20"/>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As a result, you may not have the same protections afforded to stockholders of companies that are not foreign private issuers.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The determination of our status as a foreign private issuer is made annually on the last business day of our most recently completed second fiscal quarter and, accordingly, the next determination will be made with respect to us on or after June 30, 2018. We would lose our foreign private issuer status if</w:t>
      </w:r>
    </w:p>
    <w:p>
      <w:pPr>
        <w:ind w:firstLine="8"/>
        <w:spacing w:after="0" w:line="271"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publicly-traded company.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Pursuant to Sarbanes-Oxley Act of 2002, our management will be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until the earliest of:</w:t>
      </w:r>
    </w:p>
    <w:p>
      <w:pPr>
        <w:spacing w:after="0" w:line="2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 billion or more;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this offering.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Based on the anticipated market price of our common shares in this offering and expected price of our common shares following this offering,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structure, together with applicable law, may impede shareholders from asserting claims against us and our principals.</w:t>
      </w:r>
    </w:p>
    <w:p>
      <w:pPr>
        <w:spacing w:after="0" w:line="23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 AND CONVENTIONS 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made statements in this prospectus, including under “Prospectus Summary,” “Risk Factors,” “Management’s Discussion and Analysis of Financial Condition and Results of Operations,” “Our Business” and elsewhere that constitute forward-looking statements. Forward-looking statements involve risks and uncertainties, such as statements about our plans, objectives, expectations, assumptions or future events. In some cases, you can identify forward-looking statements by terminology such as “anticipate,” “estimate,” “plan,” “project,” “continuing,” “ongoing,” “expect,” “we believe,” “we intend,” “may,” “should,” “will,” “could” and similar expressions denoting uncertainty or an action that may, will or is expected to occur in the future. These statements involve estimates, assumptions, known and unknown risks, uncertainties and other factors that could cause actual results to differ materially from any future results, performances or achievements expressed or implied by the forward-looking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forward-looking statements include:</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the development of future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projections of revenue, earnings, capital structure and other financial items;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of future company-owned call centers;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regarding the capabilities of our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of expected future economic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statements regarding competition in our market;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assumptions underlying statements regarding us or our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ultimate correctness of these forward-looking statements depends upon a number of known and unknown risks and events. We discuss our known material risks under the heading “Risk Factors” above. Many factors could cause our actual results to differ materially from those expressed or implied in our forward-looking statements. Consequently, you should not place undue reliance on these forward-looking statements. The forward-looking statements speak only as of the date on which they are made, and, except as required by law, we undertake no obligation to update any forward-looking statement to reflect events or circumstances after the date on which the statement is made or to reflect the occurrence of unanticipated events. In addition, we cannot assess the impact of each factor on our business or the extent to which any factor, or combination of factors, may cause actual results to differ materially from those contained in any forward-looking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estimate that we will receive net proceeds from the sale of common shares of approximately $9.09 million, based upon an assumed initial public offering price of $5.25 per share, the midpoint of the range set forth on the cover page of this prospectus, and after deducting estimated underwriting discounts and commissions and estimated offering expenses. If the underwriters’ option to purchase additional common shares is exercised in full, we estimate that we will receive net proceeds of approximately $10.57 million, after deducting estimated underwriting discounts and commissions and estimated offering expenses.</w:t>
      </w:r>
    </w:p>
    <w:p>
      <w:pPr>
        <w:spacing w:after="0" w:line="18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Each $0.25 increase (decrease) in the assumed initial public offering price of $5.25 per share, the midpoint of the range set forth on the cover page of this prospectus, would increase (decrease) the net proceeds to us from this offering by approximately $467,500, assuming the number of shares offered, as set forth on the cover page of this prospectus, remains the same and after deducting estimated underwriting discounts and commissions.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Proceeds of this offering in the amount of $200,000 shall be used to fund an indemnification escrow account for a period of 18 months following the closing date of this offering, which account shall be used in the event we have to indemnify the underwriters pursuant to the terms of an Underwriting Agreement with the underwriters.</w:t>
      </w:r>
    </w:p>
    <w:p>
      <w:pPr>
        <w:spacing w:after="0" w:line="18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intend to use the net proceeds of this offering as follows after we complete the remittance process (these below-referenced net proceeds amounts do not include $200,000 of the offering proceeds to be allotted to the indemnification escrow account to pay for the underwriters’ indemnity):</w:t>
      </w:r>
    </w:p>
    <w:p>
      <w:pPr>
        <w:spacing w:after="0" w:line="147" w:lineRule="exact"/>
        <w:rPr>
          <w:sz w:val="20"/>
          <w:szCs w:val="20"/>
          <w:color w:val="auto"/>
        </w:rPr>
      </w:pPr>
    </w:p>
    <w:p>
      <w:pPr>
        <w:ind w:left="660" w:right="4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$3.64 million or 40% for global expansion, i.e., to expand our existing locations to develop new clients by hiring more qualified personnel, system integration and marketing effort;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$2.73 million or 30% for working capital and general corporate purposes;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$1.82 million or 20% for R&amp;D;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Approximately $0.90 million or 10% for talent development.</w:t>
      </w:r>
    </w:p>
    <w:p>
      <w:pPr>
        <w:spacing w:after="0" w:line="225" w:lineRule="exact"/>
        <w:rPr>
          <w:sz w:val="20"/>
          <w:szCs w:val="20"/>
          <w:color w:val="auto"/>
        </w:rPr>
      </w:pPr>
    </w:p>
    <w:p>
      <w:pPr>
        <w:ind w:right="80" w:firstLine="697"/>
        <w:spacing w:after="0" w:line="287" w:lineRule="auto"/>
        <w:rPr>
          <w:sz w:val="20"/>
          <w:szCs w:val="20"/>
          <w:color w:val="auto"/>
        </w:rPr>
      </w:pPr>
      <w:r>
        <w:rPr>
          <w:rFonts w:ascii="Arial" w:cs="Arial" w:eastAsia="Arial" w:hAnsi="Arial"/>
          <w:sz w:val="16"/>
          <w:szCs w:val="16"/>
          <w:color w:val="auto"/>
        </w:rPr>
        <w:t>The precise amounts and percentage of proceeds we would devote to particular categories of activity will depend on prevailing market and business conditions as well as particular opportunities that may arise from time to time.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any unforeseen cash needs. Similarly, the priority of our prospective uses of proceeds will depend on business and market conditions are they develop. Accordingly, our management will have significant flexibility and broad discretion in applying the net proceeds of the offering. If an unforeseen event occurs or business conditions change, we may use the proceeds of this offering differently than as described in this prospectus. 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or make additional capital contributions to our PRC subsidiary to fund its capital expenditures or working capital. We cannot assure you that we will be able to obtain these government registrations or approvals on a timely basis, if at all. Pending remitting the offering proceeds to the PRC, we intend to invest our net proceeds in short-term, interest bearing, investment-grade obligations.</w:t>
      </w:r>
    </w:p>
    <w:p>
      <w:pPr>
        <w:spacing w:after="0" w:line="17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Although we may use a portion of the proceeds for the acquisition of, or investment in, companies, technologies, products or assets that complement our business, we have no present understandings, commitments or agreements to enter into any acquisitions or make any investments. We cannot assure you that we will make any acquisitions or investments in the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holders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our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business is conducted in China and all of our revenues are denominated in RMB. Capital accounts of our financial statements are translated into U.S. dollars from RMB at their historical exchange rates when the capital transactions occurred. RMB is not freely convertible into foreign currency and all foreign exchange transactions must take place through authorized institutions. No representation is made that the RMB amounts could have been, or could be, converted into U.S. dollars at the rates used in translation. The following table sets forth information concerning exchange rates between the RMB and the U.S. dollar for the periods indicated. Assets and liabilities are translated at the exchange rates as of the balance sheet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Balance sheet items, except for equity accounts</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USD:RMB</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6.6459</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Items in the statements of operations and comprehensive loss, and statements cash flows are translated at the average exchange rate of the period.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740" w:type="dxa"/>
            <w:vAlign w:val="bottom"/>
            <w:gridSpan w:val="4"/>
          </w:tcPr>
          <w:p>
            <w:pPr>
              <w:ind w:left="800"/>
              <w:spacing w:after="0"/>
              <w:rPr>
                <w:sz w:val="20"/>
                <w:szCs w:val="20"/>
                <w:color w:val="auto"/>
              </w:rPr>
            </w:pPr>
            <w:r>
              <w:rPr>
                <w:rFonts w:ascii="Arial" w:cs="Arial" w:eastAsia="Arial" w:hAnsi="Arial"/>
                <w:sz w:val="18"/>
                <w:szCs w:val="18"/>
                <w:b w:val="1"/>
                <w:bCs w:val="1"/>
                <w:color w:val="auto"/>
              </w:rPr>
              <w:t>Years ended</w:t>
            </w:r>
          </w:p>
        </w:tc>
        <w:tc>
          <w:tcPr>
            <w:tcW w:w="2600" w:type="dxa"/>
            <w:vAlign w:val="bottom"/>
            <w:gridSpan w:val="4"/>
          </w:tcPr>
          <w:p>
            <w:pPr>
              <w:ind w:left="56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608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241"/>
        </w:trPr>
        <w:tc>
          <w:tcPr>
            <w:tcW w:w="60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USD:RMB</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6.7457</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2" w:name="page43"/>
    <w:bookmarkEnd w:id="4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w:t>
      </w:r>
    </w:p>
    <w:p>
      <w:pPr>
        <w:spacing w:after="0" w:line="18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following selected consolidated financial and operating data for the fiscal years ended June 30, 2017 and 2016, and the consolidated balance sheet data as of June 30, 2017 and 2016, have been derived from our audited consolidated financial statements included elsewhere in this prospectus. The consolidated financial statements for the six months ended December 31, 2017 and 2016 have been derived from our unaudited consolidated financial statements included elsewhere in this prospectus.</w:t>
      </w:r>
    </w:p>
    <w:p>
      <w:pPr>
        <w:spacing w:after="0" w:line="18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our summary consolidated statements of income and comprehensive income for the fiscal years ended June 30, 2017 and 2016, and six months ended December 31, 2017 and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Income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U.S. dollars, except number of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6"/>
          </w:tcPr>
          <w:p>
            <w:pPr>
              <w:jc w:val="right"/>
              <w:ind w:right="780"/>
              <w:spacing w:after="0"/>
              <w:rPr>
                <w:sz w:val="20"/>
                <w:szCs w:val="20"/>
                <w:color w:val="auto"/>
              </w:rPr>
            </w:pPr>
            <w:r>
              <w:rPr>
                <w:rFonts w:ascii="Arial" w:cs="Arial" w:eastAsia="Arial" w:hAnsi="Arial"/>
                <w:sz w:val="18"/>
                <w:szCs w:val="18"/>
                <w:color w:val="auto"/>
              </w:rPr>
              <w:t>For the years ended</w:t>
            </w:r>
          </w:p>
        </w:tc>
        <w:tc>
          <w:tcPr>
            <w:tcW w:w="120" w:type="dxa"/>
            <w:vAlign w:val="bottom"/>
          </w:tcPr>
          <w:p>
            <w:pPr>
              <w:spacing w:after="0"/>
              <w:rPr>
                <w:sz w:val="18"/>
                <w:szCs w:val="18"/>
                <w:color w:val="auto"/>
              </w:rPr>
            </w:pPr>
          </w:p>
        </w:tc>
        <w:tc>
          <w:tcPr>
            <w:tcW w:w="2520" w:type="dxa"/>
            <w:vAlign w:val="bottom"/>
            <w:gridSpan w:val="6"/>
          </w:tcPr>
          <w:p>
            <w:pPr>
              <w:jc w:val="right"/>
              <w:ind w:right="460"/>
              <w:spacing w:after="0"/>
              <w:rPr>
                <w:sz w:val="20"/>
                <w:szCs w:val="20"/>
                <w:color w:val="auto"/>
              </w:rPr>
            </w:pPr>
            <w:r>
              <w:rPr>
                <w:rFonts w:ascii="Arial" w:cs="Arial" w:eastAsia="Arial" w:hAnsi="Arial"/>
                <w:sz w:val="18"/>
                <w:szCs w:val="18"/>
                <w:color w:val="auto"/>
                <w:w w:val="98"/>
              </w:rPr>
              <w:t>For the 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31,361,976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29,024,178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22,199,995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14,323,938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Less: Cost of revenues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(18,669,812)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(17,463,416)</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(13,341,978)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(8,483,897)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11,560,762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1,206,493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413,016</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1,132,931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4,232,788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3,562,988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5,647,790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4,955,037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3,064,232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3,032,589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10,947,111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3"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1,097,866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518,068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(13,213)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2,102,811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2,054,124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1,451,451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970,931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(118,546)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269,153</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1,325,391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1,024,973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(41,141)</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2,047,445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1,826,112</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1,331,329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1,025,448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(93,177)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(387,100)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6"/>
              </w:rPr>
              <w:t>Less: foreign currency translation (loss) gain attributable to Non-controlling</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1,732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20,773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(loss) income attributable to CLPS Incorporation’s</w:t>
            </w: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shareholders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(94,909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6"/>
                <w:szCs w:val="16"/>
                <w:color w:val="auto"/>
              </w:rPr>
              <w:t>(385,629</w:t>
            </w:r>
            <w:r>
              <w:rPr>
                <w:rFonts w:ascii="Arial" w:cs="Arial" w:eastAsia="Arial" w:hAnsi="Arial"/>
                <w:sz w:val="31"/>
                <w:szCs w:val="31"/>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line="271" w:lineRule="exact"/>
              <w:rPr>
                <w:sz w:val="20"/>
                <w:szCs w:val="20"/>
                <w:color w:val="auto"/>
              </w:rPr>
            </w:pPr>
            <w:r>
              <w:rPr>
                <w:rFonts w:ascii="Arial" w:cs="Arial" w:eastAsia="Arial" w:hAnsi="Arial"/>
                <w:sz w:val="16"/>
                <w:szCs w:val="16"/>
                <w:color w:val="auto"/>
              </w:rPr>
              <w:t>(226,776</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1,952,536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1,440,483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1,541,780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798,672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(42,612)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2,128,180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1,397,871</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1,556,615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791,148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Basic and diluted earnings per common share *</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3" w:name="page44"/>
    <w:bookmarkEnd w:id="4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summary consolidated balance sheet data as of June 30, 2017 and 2016, and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As of</w:t>
            </w:r>
          </w:p>
        </w:tc>
      </w:tr>
      <w:tr>
        <w:trPr>
          <w:trHeight w:val="251"/>
        </w:trPr>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gridSpan w:val="5"/>
          </w:tcPr>
          <w:p>
            <w:pPr>
              <w:jc w:val="right"/>
              <w:ind w:right="840"/>
              <w:spacing w:after="0"/>
              <w:rPr>
                <w:sz w:val="20"/>
                <w:szCs w:val="20"/>
                <w:color w:val="auto"/>
              </w:rPr>
            </w:pPr>
            <w:r>
              <w:rPr>
                <w:rFonts w:ascii="Arial" w:cs="Arial" w:eastAsia="Arial" w:hAnsi="Arial"/>
                <w:sz w:val="18"/>
                <w:szCs w:val="18"/>
                <w:color w:val="auto"/>
              </w:rPr>
              <w:t>As of June 30,</w:t>
            </w:r>
          </w:p>
        </w:tc>
        <w:tc>
          <w:tcPr>
            <w:tcW w:w="12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37"/>
        </w:trPr>
        <w:tc>
          <w:tcPr>
            <w:tcW w:w="74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4,814,568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4,659,037</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12,325,296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9,910,841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16,619,705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13,521,923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10,471,529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17,853,399</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8,210,625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6,264,005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10,985,416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CLPS Incorporation’s Shareholders' Equity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4,834,188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4,203,490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6,375,968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477,110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492,015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5,311,298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4,207,524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6,867,983</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13,521,923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10,471,529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17,853,399</w:t>
            </w:r>
          </w:p>
        </w:tc>
      </w:tr>
    </w:tbl>
    <w:p>
      <w:pPr>
        <w:spacing w:after="0" w:line="210"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December 31, 2017:</w:t>
      </w:r>
    </w:p>
    <w:p>
      <w:pPr>
        <w:spacing w:after="0" w:line="225"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right="100" w:firstLine="656"/>
        <w:spacing w:after="0" w:line="264" w:lineRule="auto"/>
        <w:tabs>
          <w:tab w:leader="none" w:pos="10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to give effect to the sale of 2,000,000 common shares by us in this offering at the assumed initial public offering price of $5.25 per share, the midpoint of the range set forth on the cover page of this prospectus, after deducting the estimated underwriting commissions and estimated offering expenses and assuming that the underwriters do not exercise their over-allotment option.</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You should read this table in conjunction with our financial statements and related notes appearing elsewhere in this prospectus and “Use of Proceeds” and “Description of Share Capital.” You should read this table in conjunction with our financial statements and related notes appearing elsewhere in this prospectus and “Use of Proceeds” and “Description of Share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4920" w:type="dxa"/>
            <w:vAlign w:val="bottom"/>
            <w:gridSpan w:val="2"/>
          </w:tcPr>
          <w:p>
            <w:pPr>
              <w:jc w:val="right"/>
              <w:ind w:right="2240"/>
              <w:spacing w:after="0"/>
              <w:rPr>
                <w:sz w:val="20"/>
                <w:szCs w:val="20"/>
                <w:color w:val="auto"/>
              </w:rPr>
            </w:pPr>
            <w:r>
              <w:rPr>
                <w:rFonts w:ascii="Arial" w:cs="Arial" w:eastAsia="Arial" w:hAnsi="Arial"/>
                <w:sz w:val="18"/>
                <w:szCs w:val="18"/>
                <w:b w:val="1"/>
                <w:bCs w:val="1"/>
                <w:color w:val="auto"/>
              </w:rPr>
              <w:t>As of December 31, 2017</w:t>
            </w: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Adjusted</w:t>
            </w:r>
          </w:p>
        </w:tc>
      </w:tr>
      <w:tr>
        <w:trPr>
          <w:trHeight w:val="241"/>
        </w:trPr>
        <w:tc>
          <w:tcPr>
            <w:tcW w:w="39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As Reported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for IPO</w:t>
            </w:r>
          </w:p>
        </w:tc>
      </w:tr>
      <w:tr>
        <w:trPr>
          <w:trHeight w:val="216"/>
        </w:trPr>
        <w:tc>
          <w:tcPr>
            <w:tcW w:w="3980" w:type="dxa"/>
            <w:vAlign w:val="bottom"/>
          </w:tcPr>
          <w:p>
            <w:pPr>
              <w:spacing w:after="0"/>
              <w:rPr>
                <w:sz w:val="20"/>
                <w:szCs w:val="20"/>
                <w:color w:val="auto"/>
              </w:rPr>
            </w:pPr>
            <w:r>
              <w:rPr>
                <w:rFonts w:ascii="Arial" w:cs="Arial" w:eastAsia="Arial" w:hAnsi="Arial"/>
                <w:sz w:val="18"/>
                <w:szCs w:val="18"/>
                <w:b w:val="1"/>
                <w:bCs w:val="1"/>
                <w:color w:val="auto"/>
              </w:rPr>
              <w:t>Common shares</w:t>
            </w:r>
          </w:p>
        </w:tc>
        <w:tc>
          <w:tcPr>
            <w:tcW w:w="48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4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11,290,000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13,290,000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Par Value Amount</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1,129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7,120,943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15,719,044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Statutory Reserves</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905,553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905,553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(1,414,838)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(1,414,838)</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(236,819)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(236,819)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6,375,968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14,974,269</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you invest in our shares, your interest will be diluted to the extent of the difference between the initial public offering price per common share and the pro forma net tangible book value per common share after the offering. Our pro forma net tangible book value as of December 31, 2017 was $14,974,269, or $1.13 per share. Our pro forma net tangible book value per share set forth below represents our total tangible assets less total liabilities, divided by the number of shares of our share stock outstanding.</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Dilution results from the fact that the per common share offering price is substantially in excess of the book value per common share attributable to the existing shareholders for our presently outstanding common shares. After giving effect to our issuance and sale of 2,000,000 shares in this offering at an assumed initial public offering price of $5.25 per share, after deducting the estimated underwriting discounts and offering expenses payable by us, the pro forma as adjusted net tangible book value as of December 31, 2017 would have been $14,974,269, or $1.13 per share. This represents an immediate increase in net tangible book value to existing shareholders of $0.61 per share. The public offering price per share will significantly exceed the net tangible book value per share. Accordingly, new investors who purchase shares in this offering will suffer an immediate dilution of their investment of $4.12 per share. The following table illustrates this per share dilution to the new investors purchasing shares in this offering: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352"/>
        </w:trPr>
        <w:tc>
          <w:tcPr>
            <w:tcW w:w="7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Offering</w:t>
            </w:r>
            <w:r>
              <w:rPr>
                <w:rFonts w:ascii="Arial" w:cs="Arial" w:eastAsia="Arial" w:hAnsi="Arial"/>
                <w:sz w:val="30"/>
                <w:szCs w:val="30"/>
                <w:b w:val="1"/>
                <w:bCs w:val="1"/>
                <w:color w:val="auto"/>
                <w:vertAlign w:val="superscript"/>
              </w:rPr>
              <w:t>(1)</w:t>
            </w:r>
          </w:p>
        </w:tc>
      </w:tr>
      <w:tr>
        <w:trPr>
          <w:trHeight w:val="216"/>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offering price per common share</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tangible book value per common share as of December 31, 2017</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Increase per common share attributable to this offering</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Pro forma net tangible book value per common share after the offering</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r>
    </w:tbl>
    <w:p>
      <w:pPr>
        <w:spacing w:after="0" w:line="200" w:lineRule="exact"/>
        <w:rPr>
          <w:sz w:val="20"/>
          <w:szCs w:val="20"/>
          <w:color w:val="auto"/>
        </w:rPr>
      </w:pPr>
    </w:p>
    <w:p>
      <w:pPr>
        <w:sectPr>
          <w:pgSz w:w="11900" w:h="16838" w:orient="portrait"/>
          <w:cols w:equalWidth="0" w:num="1">
            <w:col w:w="11420"/>
          </w:cols>
          <w:pgMar w:left="240" w:top="226" w:right="239" w:bottom="474"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474" w:gutter="0" w:footer="0" w:header="0"/>
          <w:type w:val="continuous"/>
        </w:sectPr>
      </w:pPr>
    </w:p>
    <w:bookmarkStart w:id="44" w:name="page45"/>
    <w:bookmarkEnd w:id="4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A $1.00 increase (decrease) in the assumed public offering price of $5.25 per share would increase (decrease) the pro forma net tangible book value by $1.87 million, the pro forma net tangible book value per share after this offering by $1.13 per share and the dilution in pro forma net tangible book value per share to investors in this offering by $4.12 per share, assuming that the number of shares offered by us, as set forth on the cover page of this prospectus, remains the same and after deducting the estimated underwriting discount and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OWNERSHIP</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charts illustrate our pro forma proportionate ownership, upon completion of this offering by present shareholders and investors in this offering, compared to the relative amounts paid by each. The charts reflect payment by present shareholders as of the date the consideration was received and by investors in this offering at the assumed offering price without deduction of commissions or expenses. The charts further assume no changes in net tangible book value other than those resulting from the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74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Shares Purchased</w:t>
            </w:r>
          </w:p>
        </w:tc>
        <w:tc>
          <w:tcPr>
            <w:tcW w:w="27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 (#)</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 (%)</w:t>
            </w:r>
          </w:p>
        </w:tc>
        <w:tc>
          <w:tcPr>
            <w:tcW w:w="26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 ($)</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 (%)</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7,122,072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New investors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200" w:type="dxa"/>
            <w:vAlign w:val="bottom"/>
          </w:tcPr>
          <w:p>
            <w:pPr>
              <w:jc w:val="right"/>
              <w:spacing w:after="0"/>
              <w:rPr>
                <w:sz w:val="20"/>
                <w:szCs w:val="20"/>
                <w:color w:val="auto"/>
              </w:rPr>
            </w:pPr>
            <w:r>
              <w:rPr>
                <w:rFonts w:ascii="Arial" w:cs="Arial" w:eastAsia="Arial" w:hAnsi="Arial"/>
                <w:sz w:val="18"/>
                <w:szCs w:val="18"/>
                <w:color w:val="auto"/>
              </w:rPr>
              <w:t>10,500,000</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p>
        </w:tc>
        <w:tc>
          <w:tcPr>
            <w:tcW w:w="520" w:type="dxa"/>
            <w:vAlign w:val="bottom"/>
            <w:gridSpan w:val="2"/>
          </w:tcPr>
          <w:p>
            <w:pPr>
              <w:jc w:val="right"/>
              <w:ind w:right="29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13,290,000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17,622,072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7360" w:type="dxa"/>
            <w:vAlign w:val="bottom"/>
            <w:gridSpan w:val="5"/>
          </w:tcPr>
          <w:p>
            <w:pPr>
              <w:ind w:left="660"/>
              <w:spacing w:after="0"/>
              <w:rPr>
                <w:sz w:val="20"/>
                <w:szCs w:val="20"/>
                <w:color w:val="auto"/>
              </w:rPr>
            </w:pPr>
            <w:r>
              <w:rPr>
                <w:rFonts w:ascii="Arial" w:cs="Arial" w:eastAsia="Arial" w:hAnsi="Arial"/>
                <w:sz w:val="18"/>
                <w:szCs w:val="18"/>
                <w:color w:val="auto"/>
              </w:rPr>
              <w:t>The table below shows what happens when over-allotment option exercised:</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8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Shares Purchased</w:t>
            </w:r>
          </w:p>
        </w:tc>
        <w:tc>
          <w:tcPr>
            <w:tcW w:w="27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Total Consideration</w:t>
            </w:r>
          </w:p>
        </w:tc>
        <w:tc>
          <w:tcPr>
            <w:tcW w:w="6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Average Price</w:t>
            </w:r>
          </w:p>
        </w:tc>
      </w:tr>
      <w:tr>
        <w:trPr>
          <w:trHeight w:val="237"/>
        </w:trPr>
        <w:tc>
          <w:tcPr>
            <w:tcW w:w="4620" w:type="dxa"/>
            <w:vAlign w:val="bottom"/>
            <w:tcBorders>
              <w:bottom w:val="single" w:sz="8" w:color="CCEEFF"/>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Amount (#)</w:t>
            </w:r>
          </w:p>
        </w:tc>
        <w:tc>
          <w:tcPr>
            <w:tcW w:w="22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 (%)</w:t>
            </w:r>
          </w:p>
        </w:tc>
        <w:tc>
          <w:tcPr>
            <w:tcW w:w="26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Amount ($)</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 (%)</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Per Share ($)</w:t>
            </w:r>
          </w:p>
        </w:tc>
        <w:tc>
          <w:tcPr>
            <w:tcW w:w="100" w:type="dxa"/>
            <w:vAlign w:val="bottom"/>
            <w:tcBorders>
              <w:bottom w:val="single" w:sz="8" w:color="CCEEFF"/>
            </w:tcBorders>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7,122,072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New investors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2,300,000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12,075,000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62.9%</w:t>
            </w:r>
          </w:p>
        </w:tc>
        <w:tc>
          <w:tcPr>
            <w:tcW w:w="520" w:type="dxa"/>
            <w:vAlign w:val="bottom"/>
            <w:gridSpan w:val="2"/>
          </w:tcPr>
          <w:p>
            <w:pPr>
              <w:jc w:val="right"/>
              <w:ind w:right="29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13,590,000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19,197,072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If the underwriters’ over-allotment option of 300,000 shares is exercised in full, the number of shares held by existing stockholders will be reduced to 83.1% of the total number of shares to be outstanding after this offering; and the number of shares held by the new investors will be increased to 2,300,000 shares, or 16.9%, of the total number of shares outstanding after this offering.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other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193"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September 27, 2017, the Company and a non-controlling interest shareholder of CLPS Beijing incorporated Tianjin Huanyu Qinshang network technology Co., Ltd. (“Huanyu”). The Company subscribed 30% of equity interest in Huanyu for $0.4 million. The Company planned to complete the capital contribution of $0.4 million by the end of 2017. On October 17, 2017, the Company acquired 55% of JQ equity interest and its 100% owned subsidiary – JL for a consideration of approximately $0.07 million to operate software consulting business in Taiwan.</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effectively controlled by the same group of the shareholders before and after the reorganization, they are considered under common control. The above-mentioned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19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w:t>
      </w:r>
    </w:p>
    <w:p>
      <w:pPr>
        <w:spacing w:after="0" w:line="16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operations are primarily based in China, where we derive a substantial portion of our revenues. For the years ended June 30, 2017 and 2016, our revenues were $31.4 million and $29.0 million, respectively. Revenue generated outside of China was approximately $0.5 million and Nil for fiscal 2017 and 2016, respectively. In fiscal 2017 and 2016, we had a net income of $2.2 million and $1.8 million, respectively. Our total assets as of June 30, 2017 were $13.5 million of which cash and cash equivalent amounted to $4.8 million. Our total liabilities as of June 30, 2017 were $8.2 million.</w:t>
      </w:r>
    </w:p>
    <w:p>
      <w:pPr>
        <w:spacing w:after="0" w:line="15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For the six months ended December 31, 2017 and 2016, our revenues were $22.2 million and $14.3 million, respectively. Revenue generated outside of China was approximately $0.7 million and $0.07 million for the six months ended December 31, 2017 and 2016, respectively. For the six months ended December 31 2017 and 2016, we had a net income of approximately $1.3 million and $1.0 million, respectively. Our total assets as of December 31, 2017 were $17.9 million of which cash and cash equivalent amounted to $4.7 million. Our total liabilities as of December 31, 2017 were $11.0 million.</w:t>
      </w:r>
    </w:p>
    <w:p>
      <w:pPr>
        <w:sectPr>
          <w:pgSz w:w="11900" w:h="16838" w:orient="portrait"/>
          <w:cols w:equalWidth="0" w:num="1">
            <w:col w:w="11420"/>
          </w:cols>
          <w:pgMar w:left="240" w:top="226" w:right="239" w:bottom="1440" w:gutter="0" w:footer="0" w:header="0"/>
        </w:sect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6" w:name="page47"/>
    <w:bookmarkEnd w:id="4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left="660" w:hanging="328"/>
        <w:spacing w:after="0" w:line="269"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also increases. Therefore, our ability to obtain new clients, as well as our ability to maintain and increase business from our existing clients, will have a significant effect on our results of operations and financial condition. During fiscal 2017, our revenue derived from our IT consulting services increased by 4.0% or $1.1 million from fiscal 2016, all attributable to revenue growth from our new clients. IT consulting service revenue from new clients amounted to approximately $2.5 million in fiscal 2017, offset with a reduction of revenue from our existing clients. Our revenues derived from our customized IT solution service significantly increased by 99.1% or $0.9 million from fiscal 2016. The increase in revenue attributable to our new clients was approximately $0.6 million and the rest of growth was attributable to revenue from our existing clients. During the six months ended December 31, 2017, our revenue derived from our IT consulting services increased by 62.9% or $8.3 million from the six months ended December 31, 2016, all attributable to revenue growth from our new and existing clients. IT consulting service revenue from new clients amounted to approximately $1.5 million for the six months ended December 31, 2017.</w:t>
      </w:r>
    </w:p>
    <w:p>
      <w:pPr>
        <w:spacing w:after="0" w:line="182" w:lineRule="exact"/>
        <w:rPr>
          <w:rFonts w:ascii="Arial" w:cs="Arial" w:eastAsia="Arial" w:hAnsi="Arial"/>
          <w:sz w:val="17"/>
          <w:szCs w:val="17"/>
          <w:color w:val="auto"/>
        </w:rPr>
      </w:pPr>
    </w:p>
    <w:p>
      <w:pPr>
        <w:jc w:val="both"/>
        <w:ind w:left="660" w:hanging="328"/>
        <w:spacing w:after="0" w:line="276"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expand our portfolio of service offerings. We intend to increase our revenues by continuing to expand our service offerings and providing quality service to our existing customers and to attract new customers. Through research and development, targeted hiring and strategic acquisitions, we have proactively invested in broadening our existing service lines, including those for serving our specific industry verticals. As part of our strategy, we will continue to expand our service offerings to provide customized IT solutions to our clients. Our revenue derived from our customized IT solution service significantly increased by 99.1% or $0.9 million from fiscal 2016.</w:t>
      </w:r>
    </w:p>
    <w:p>
      <w:pPr>
        <w:spacing w:after="0" w:line="17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8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focusing on the TCP/TDP training programs to provide highly trained and qualified employees to the clients; and (iii) retaining employees to continue to meet client ever-changing needs.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and leveraging costs and drive margins to produce profitability and return on investment for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On November 9, 2016, CLPS Shanghai acquired 60% of Judge (Shanghai) Co., Ltd (“Judge China”) and its 70% owned subsidiary Judge (Shanghai) Human Resource Co., Ltd (“Judge HR”) from Judge Company Asia Limited with the final purchase price of $480,061 (RMB 3.25 million). The Company funded the acquisition with cash and a loan payable of $128,928 (RMB 0.9 million), of which $103,255 was subsequently offset with the company’s receivables from Judge Asia. The Company believes that the acquisition will allow it to better manage opportunities and capitalize on the growth potential of the human resource related industries. The transaction was accounted for as a business combination using the purchase method of accounting. The purchase price allocation of the transaction was determined by the Company with the assistance of an independent appraisal firm based on the estimated fair value</w:t>
      </w:r>
    </w:p>
    <w:p>
      <w:pPr>
        <w:spacing w:after="0" w:line="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the assets acquired and liabilities assumed as of the acquisition date. The Company recognized goodwill of $195,080 from this acquisition. The goodwill is comprised of the assembled work force and the expected but unidentifiable business growth that the Company expects to realize due to the synergies related to the acquisition.</w:t>
      </w:r>
    </w:p>
    <w:p>
      <w:pPr>
        <w:spacing w:after="0" w:line="190" w:lineRule="exact"/>
        <w:rPr>
          <w:sz w:val="20"/>
          <w:szCs w:val="20"/>
          <w:color w:val="auto"/>
        </w:rPr>
      </w:pPr>
    </w:p>
    <w:p>
      <w:pPr>
        <w:ind w:right="160" w:firstLine="720"/>
        <w:spacing w:after="0" w:line="257" w:lineRule="auto"/>
        <w:rPr>
          <w:sz w:val="20"/>
          <w:szCs w:val="20"/>
          <w:color w:val="auto"/>
        </w:rPr>
      </w:pPr>
      <w:r>
        <w:rPr>
          <w:rFonts w:ascii="Arial" w:cs="Arial" w:eastAsia="Arial" w:hAnsi="Arial"/>
          <w:sz w:val="18"/>
          <w:szCs w:val="18"/>
          <w:color w:val="auto"/>
        </w:rPr>
        <w:t>On October 17, 2017, the Company acquired 55% of JQ equity interest, and its 100% owned subsidiary –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2017 and 2016</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summarizes the results of our operations for the years ended June 30, 2017 and 2016, respectively, and provides information regarding the dollar and percentage increase or (decrease) during such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116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Pr>
          <w:p>
            <w:pPr>
              <w:spacing w:after="0"/>
              <w:rPr>
                <w:sz w:val="18"/>
                <w:szCs w:val="18"/>
                <w:color w:val="auto"/>
              </w:rPr>
            </w:pPr>
          </w:p>
        </w:tc>
        <w:tc>
          <w:tcPr>
            <w:tcW w:w="2580" w:type="dxa"/>
            <w:vAlign w:val="bottom"/>
            <w:gridSpan w:val="4"/>
          </w:tcPr>
          <w:p>
            <w:pPr>
              <w:jc w:val="right"/>
              <w:ind w:right="110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June 30, 2017</w:t>
            </w:r>
          </w:p>
        </w:tc>
        <w:tc>
          <w:tcPr>
            <w:tcW w:w="160" w:type="dxa"/>
            <w:vAlign w:val="bottom"/>
          </w:tcPr>
          <w:p>
            <w:pPr>
              <w:spacing w:after="0"/>
              <w:rPr>
                <w:sz w:val="20"/>
                <w:szCs w:val="20"/>
                <w:color w:val="auto"/>
              </w:rPr>
            </w:pPr>
          </w:p>
        </w:tc>
        <w:tc>
          <w:tcPr>
            <w:tcW w:w="258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June 30, 2016</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70"/>
              <w:spacing w:after="0" w:line="198" w:lineRule="exact"/>
              <w:rPr>
                <w:sz w:val="20"/>
                <w:szCs w:val="20"/>
                <w:color w:val="auto"/>
              </w:rPr>
            </w:pPr>
            <w:r>
              <w:rPr>
                <w:rFonts w:ascii="Arial" w:cs="Arial" w:eastAsia="Arial" w:hAnsi="Arial"/>
                <w:sz w:val="18"/>
                <w:szCs w:val="18"/>
                <w:b w:val="1"/>
                <w:bCs w:val="1"/>
                <w:color w:val="auto"/>
              </w:rPr>
              <w:t>As %</w:t>
            </w: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50"/>
              <w:spacing w:after="0" w:line="198" w:lineRule="exact"/>
              <w:rPr>
                <w:sz w:val="20"/>
                <w:szCs w:val="20"/>
                <w:color w:val="auto"/>
              </w:rPr>
            </w:pPr>
            <w:r>
              <w:rPr>
                <w:rFonts w:ascii="Arial" w:cs="Arial" w:eastAsia="Arial" w:hAnsi="Arial"/>
                <w:sz w:val="18"/>
                <w:szCs w:val="18"/>
                <w:b w:val="1"/>
                <w:bCs w:val="1"/>
                <w:color w:val="auto"/>
              </w:rPr>
              <w:t>As %</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 Sales</w:t>
            </w: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 Sales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31,361,976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29,024,178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2,337,798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18,669,812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17,463,416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1,206,396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11,560,762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1,131,402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413,016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793,477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Arial" w:cs="Arial" w:eastAsia="Arial" w:hAnsi="Arial"/>
                <w:sz w:val="18"/>
                <w:szCs w:val="18"/>
                <w:color w:val="auto"/>
              </w:rPr>
              <w:t>Research and development 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4,232,788</w:t>
            </w:r>
          </w:p>
        </w:tc>
        <w:tc>
          <w:tcPr>
            <w:tcW w:w="2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5,579,058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(1,346,270)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5,647,790</w:t>
            </w: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4,955,037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692,753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11,087,071</w:t>
            </w: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35.4%</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10,947,111</w:t>
            </w:r>
          </w:p>
        </w:tc>
        <w:tc>
          <w:tcPr>
            <w:tcW w:w="2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CCEEFF"/>
              <w:bottom w:val="single" w:sz="8" w:color="CCEEFF"/>
            </w:tcBorders>
            <w:gridSpan w:val="2"/>
          </w:tcPr>
          <w:p>
            <w:pPr>
              <w:jc w:val="right"/>
              <w:ind w:right="120"/>
              <w:spacing w:after="0" w:line="203" w:lineRule="exact"/>
              <w:rPr>
                <w:sz w:val="20"/>
                <w:szCs w:val="20"/>
                <w:color w:val="auto"/>
              </w:rPr>
            </w:pPr>
            <w:r>
              <w:rPr>
                <w:rFonts w:ascii="Arial" w:cs="Arial" w:eastAsia="Arial" w:hAnsi="Arial"/>
                <w:sz w:val="18"/>
                <w:szCs w:val="18"/>
                <w:color w:val="auto"/>
              </w:rPr>
              <w:t>37.7%</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139,960</w:t>
            </w:r>
          </w:p>
        </w:tc>
        <w:tc>
          <w:tcPr>
            <w:tcW w:w="20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1,605,093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613,651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991,442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508,187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1,446,408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(938,221)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(10,469)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(5,935)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(4,534)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2,054,124</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48,687</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(118,546)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269,153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(387,699)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2,221,357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1,784,971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436,386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For fiscal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89"/>
              </w:rPr>
              <w:t>For the Year ended June 30,</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w w:val="98"/>
              </w:rPr>
              <w:t>% of total</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3"/>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8"/>
              </w:rPr>
              <w:t>Revenue</w:t>
            </w:r>
          </w:p>
        </w:tc>
        <w:tc>
          <w:tcPr>
            <w:tcW w:w="1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Variance</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29,146,470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28,015,173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1,131,297</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1,846,423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927,185</w:t>
            </w:r>
          </w:p>
        </w:tc>
        <w:tc>
          <w:tcPr>
            <w:tcW w:w="14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919,238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287,263</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CCEEFF"/>
            </w:tcBorders>
            <w:gridSpan w:val="3"/>
            <w:vMerge w:val="restart"/>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31,361,976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29,024,178</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2,337,798</w:t>
            </w:r>
          </w:p>
        </w:tc>
        <w:tc>
          <w:tcPr>
            <w:tcW w:w="15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8" w:name="page49"/>
    <w:bookmarkEnd w:id="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total revenues increased by approximately $2.3 million, or 8.1%, to approximately $31.4 million for the fiscal year ended June 30, 2017 from approximately $29.0 million for the fiscal year ended June 30, 2016. The overall growth in our revenues reflected an increase in revenues from both of our IT consulting service and customized IT solution service.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For the year ended June 30, 2017, revenue derived from our IT consulting services increased by 4.0% to $29.1 million from $28.0 million in fiscal 2016, primarily reflecting the increasing demands for our IT consulting service from banks and other financial institutions. For fiscal 2017 and 2016, 54.0% and 69.5% of our IT consulting service revenue were from international banks. In fiscal 2017,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For the year ended June 30, 2017, revenues derived from our customized IT solution service significantly increased by 99.1% to $1.8 million from $0.9 million in fiscal 2016. Historically, IT consulting services have contributed the substantial majority of our net revenues. In recent years, we started to develop customized IT solution service to small and medium enterprises (“SME”) in China. With the growing demand for our financial IT solution innovations and e-banking technology, our financial IT solutions service provides SMEs affordable integrated technologies that are reshaping our customers’ business and operating models. We plan to expand our financial IT solution service in China, which is driven by the increased adoption of big data, platform engineering for cloud solutions and an expanded range of services, such as artificial intelligence.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Our cost of revenues mainly consists of compensation benefit expenses for our IT professionals, travel expenses and material costs. Our cost of revenues increased by $1.2 million or 6.9% to approximately $18.7 million in fiscal 2017 from approximately $17.5 million in fiscal 2016, primarily as a result of increased headcount, expanded office facilities and increase of depreciation and amortization expenses to enable and match the growth of our business. As a percentage of revenues, our cost of revenues is consistently around 60% for both fiscal 2017 and 2016. Our total number of employees grew from 1,055 employees as of June 30, 2016 to 1,242 employees as of June 30,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gross profit increased by $1.1 million, or 9.8%, to approximately $12.7 million in fiscal 2017 from approximately $11.6 million in fiscal 2016. As a percentage of revenues, our gross margin slightly increased from 39.8% in fiscal 2016 to 40.5% in fiscal 2017. The higher gross profit margin in fiscal 2017 was primarily attributable to the increase in our billing rates of both IT consulting services and customized IT solution services. As our IT consulting services scale and mature, we are able to generate higher gross margins. Also, customized IT solution services contribute favorably to our client retention and understanding of our clients’ businesses, and provide opportunities to cross-sell our other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Selling and marketing expenses increased by $0.8 million or 192.1% from $0.4 million in fiscal 2016 to $1.2 million in fiscal 2017. The increase was primarily attributable to our expansion of the pre-sales and marketing teams in Shanghai and Dalian, China to support our operations. Accordingly, as a percentage of sales, our selling expenses were 3.8% of revenues in fiscal 2017 as compared to 1.4% in fiscal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decreased by $1.4 million from $5.6 million in fiscal 2016 to $4.2 million in fiscal 2017, representing 13.5% and 19.2% of our total revenues for fiscal 2017 and 2016, respectively. The increased R&amp;D expense in fiscal 2016 is attributable to the launch of several research projects related to cloud computing and mobile internet application in fiscal 2016. Upon completion of these projects in fiscal 2017, the related IT developers were transferred to our production department. As a result, the related compensation for these individuals was included as a cost of revenue in fiscal 2017. We expect to increase our investment in research and development to enhance our industry knowledge, improve our competitiveness and enable us to identify attractive market opportunities for new and enhanced services and solutions.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General and administrative expenses increased by $0.6 million or 14.0% from approximately $5.0 million in fiscal 2016 to approximately $5.6 million in fiscal 2017, almost all of which is attributable to increasing headcount and related staff costs in Hong Kong and Australia, which approximated $0.6 million. We incorporated CLPS Technology (Australia) PTY LTD (“CLPS AU”) in November 2015 and CLPS Technology (Hong Kong) Co., Limited (“CLPS Hong Kong”) in January 2016 to provide service for our international client’s local operations. Additionally, we acquired Judge (Shanghai) Technology service Co., Ltd (“Judge China”) in November 2016; Judge China accounted for approximately $0.1 million increase in our general and administrative expense in fiscal 2017. As a percentage of revenues, general and administrative expenses were 18.0% and 17.1% of our revenue in fiscal 2017 and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$0.4 million and $1.3 million for the years ended June 30, 2017 and 2016, respectively. The decrease in government subsidies in fiscal 2017 was because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income before income taxes was approximately $2.1 million in fiscal 2017, an increase of 2.4% compared with fiscal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provision for income taxes benefit was $0.1 million in fiscal 2017, compared to $0.3 million income tax expense in fiscal 2016. Our current income tax provision decrease by approximately $0.3 million. The decrease of the current income tax provision is mainly due to CLPS Dalian has qualified as Software Enterprise and is enjoying two-year income tax exemption starting from their first profitable year. The increase of $0.1 million in deferred tax benefit was mainly because we recognized deferred tax assets as a result of the net operating losses carry forward for some of our subsidiaries.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Our net income was approximately $2.2 million in fiscal 2017, an increase of $0.4 million from $1.8 million in fiscal 2016. The increase in net income was in line with increased revenues, gross profit and operating expenses for fiscal 2017 as compared to fiscal 2016 as mentioned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Foreign currency translation adjustments amounted to a loss of $0.1 million and $0.4 million for the years ended June 30, 2017 and 2016, respectively. The balance sheet amounts with the exception of equity as of June 30, 2017 were translated at 6.7793 RMB to 1.00 USD as compared to 6.6459 RMB to 1.00USD as of June 30, 2016. The equity accounts were stated at their historical rate. The average translation rates applied to the income statements accounts for the years ended June 30, 2017 and 2016 were 6.8087 RMB to 1.00 USD and 6.4405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Six Months Ended December 31, 2017 and 2016</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summarizes the results of our operations for the six months ended December 31, 2017 and 2016, respectively, and provides information regarding the dollar and percentage increase or (decrease) during such periods.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center"/>
              <w:ind w:right="560"/>
              <w:spacing w:after="0"/>
              <w:rPr>
                <w:sz w:val="20"/>
                <w:szCs w:val="20"/>
                <w:color w:val="auto"/>
              </w:rPr>
            </w:pPr>
            <w:r>
              <w:rPr>
                <w:rFonts w:ascii="Arial" w:cs="Arial" w:eastAsia="Arial" w:hAnsi="Arial"/>
                <w:sz w:val="18"/>
                <w:szCs w:val="18"/>
                <w:b w:val="1"/>
                <w:bCs w:val="1"/>
                <w:color w:val="auto"/>
                <w:w w:val="87"/>
              </w:rPr>
              <w:t>Six months ended</w:t>
            </w:r>
          </w:p>
        </w:tc>
        <w:tc>
          <w:tcPr>
            <w:tcW w:w="160" w:type="dxa"/>
            <w:vAlign w:val="bottom"/>
          </w:tcPr>
          <w:p>
            <w:pPr>
              <w:spacing w:after="0"/>
              <w:rPr>
                <w:sz w:val="18"/>
                <w:szCs w:val="18"/>
                <w:color w:val="auto"/>
              </w:rPr>
            </w:pPr>
          </w:p>
        </w:tc>
        <w:tc>
          <w:tcPr>
            <w:tcW w:w="26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8"/>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0"/>
              </w:rPr>
              <w:t>December 31, 2017</w:t>
            </w:r>
          </w:p>
        </w:tc>
        <w:tc>
          <w:tcPr>
            <w:tcW w:w="160" w:type="dxa"/>
            <w:vAlign w:val="bottom"/>
          </w:tcPr>
          <w:p>
            <w:pPr>
              <w:spacing w:after="0"/>
              <w:rPr>
                <w:sz w:val="18"/>
                <w:szCs w:val="18"/>
                <w:color w:val="auto"/>
              </w:rPr>
            </w:pPr>
          </w:p>
        </w:tc>
        <w:tc>
          <w:tcPr>
            <w:tcW w:w="26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0"/>
              </w:rPr>
              <w:t>December 31, 2016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of Sales</w:t>
            </w: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of Sales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(Decrease)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22,199,995</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14,323,938</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7,876,057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13,341,978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8,483,897</w:t>
            </w: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4,858,081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CCEEFF"/>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39.9%</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3,017,976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1,132,931</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282,618</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850,313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8"/>
                <w:szCs w:val="18"/>
                <w:color w:val="auto"/>
                <w:w w:val="95"/>
              </w:rPr>
              <w:t>Research and development expense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3,562,988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2,006,766</w:t>
            </w: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1,556,222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General and administrative expenses</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3,064,232</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3,032,589</w:t>
            </w:r>
          </w:p>
        </w:tc>
        <w:tc>
          <w:tcPr>
            <w:tcW w:w="200" w:type="dxa"/>
            <w:vAlign w:val="bottom"/>
            <w:shd w:val="clear" w:color="auto" w:fill="CCEEFF"/>
          </w:tcPr>
          <w:p>
            <w:pPr>
              <w:spacing w:after="0"/>
              <w:rPr>
                <w:sz w:val="21"/>
                <w:szCs w:val="21"/>
                <w:color w:val="auto"/>
              </w:rPr>
            </w:pP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31,643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7,760,151</w:t>
            </w:r>
          </w:p>
        </w:tc>
        <w:tc>
          <w:tcPr>
            <w:tcW w:w="22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CCEEFF"/>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35.0%</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5,321,973</w:t>
            </w:r>
          </w:p>
        </w:tc>
        <w:tc>
          <w:tcPr>
            <w:tcW w:w="200" w:type="dxa"/>
            <w:vAlign w:val="bottom"/>
            <w:tcBorders>
              <w:top w:val="single" w:sz="8" w:color="CCEEFF"/>
              <w:bottom w:val="single" w:sz="8" w:color="CCEEFF"/>
            </w:tcBorders>
          </w:tcPr>
          <w:p>
            <w:pPr>
              <w:spacing w:after="0"/>
              <w:rPr>
                <w:sz w:val="18"/>
                <w:szCs w:val="18"/>
                <w:color w:val="auto"/>
              </w:rPr>
            </w:pPr>
          </w:p>
        </w:tc>
        <w:tc>
          <w:tcPr>
            <w:tcW w:w="1460" w:type="dxa"/>
            <w:vAlign w:val="bottom"/>
            <w:tcBorders>
              <w:top w:val="single" w:sz="8" w:color="CCEEFF"/>
              <w:bottom w:val="single" w:sz="8" w:color="CCEEFF"/>
            </w:tcBorders>
            <w:gridSpan w:val="2"/>
          </w:tcPr>
          <w:p>
            <w:pPr>
              <w:jc w:val="right"/>
              <w:ind w:right="180"/>
              <w:spacing w:after="0" w:line="203" w:lineRule="exact"/>
              <w:rPr>
                <w:sz w:val="20"/>
                <w:szCs w:val="20"/>
                <w:color w:val="auto"/>
              </w:rPr>
            </w:pPr>
            <w:r>
              <w:rPr>
                <w:rFonts w:ascii="Arial" w:cs="Arial" w:eastAsia="Arial" w:hAnsi="Arial"/>
                <w:sz w:val="18"/>
                <w:szCs w:val="18"/>
                <w:color w:val="auto"/>
              </w:rPr>
              <w:t>37.2%</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2,438,178</w:t>
            </w:r>
          </w:p>
        </w:tc>
        <w:tc>
          <w:tcPr>
            <w:tcW w:w="200" w:type="dxa"/>
            <w:vAlign w:val="bottom"/>
            <w:tcBorders>
              <w:top w:val="single" w:sz="8" w:color="CCEEFF"/>
              <w:bottom w:val="single" w:sz="8" w:color="CCEEFF"/>
            </w:tcBorders>
          </w:tcPr>
          <w:p>
            <w:pPr>
              <w:spacing w:after="0"/>
              <w:rPr>
                <w:sz w:val="18"/>
                <w:szCs w:val="18"/>
                <w:color w:val="auto"/>
              </w:rPr>
            </w:pPr>
          </w:p>
        </w:tc>
        <w:tc>
          <w:tcPr>
            <w:tcW w:w="1360" w:type="dxa"/>
            <w:vAlign w:val="bottom"/>
            <w:tcBorders>
              <w:top w:val="single" w:sz="8" w:color="CCEEFF"/>
              <w:bottom w:val="single" w:sz="8" w:color="CCEEFF"/>
            </w:tcBorders>
            <w:gridSpan w:val="2"/>
          </w:tcPr>
          <w:p>
            <w:pPr>
              <w:jc w:val="right"/>
              <w:ind w:right="60"/>
              <w:spacing w:after="0" w:line="203" w:lineRule="exact"/>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1,097,866</w:t>
            </w:r>
          </w:p>
        </w:tc>
        <w:tc>
          <w:tcPr>
            <w:tcW w:w="22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518,068</w:t>
            </w:r>
          </w:p>
        </w:tc>
        <w:tc>
          <w:tcPr>
            <w:tcW w:w="2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579,798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Subsidies and other income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366,798</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455,009</w:t>
            </w:r>
          </w:p>
        </w:tc>
        <w:tc>
          <w:tcPr>
            <w:tcW w:w="14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(88,211)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(13,213)</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(2,146)</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11,067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1,451,451</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970,931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480,520</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126,060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(54,042)</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180,102</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1,325,391</w:t>
            </w:r>
          </w:p>
        </w:tc>
        <w:tc>
          <w:tcPr>
            <w:tcW w:w="1440" w:type="dxa"/>
            <w:vAlign w:val="bottom"/>
            <w:tcBorders>
              <w:right w:val="single" w:sz="8" w:color="CCEEFF"/>
            </w:tcBorders>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1,024,973</w:t>
            </w:r>
          </w:p>
        </w:tc>
        <w:tc>
          <w:tcPr>
            <w:tcW w:w="200" w:type="dxa"/>
            <w:vAlign w:val="bottom"/>
            <w:shd w:val="clear" w:color="auto" w:fill="CCEEFF"/>
          </w:tcPr>
          <w:p>
            <w:pPr>
              <w:spacing w:after="0"/>
              <w:rPr>
                <w:sz w:val="21"/>
                <w:szCs w:val="21"/>
                <w:color w:val="auto"/>
              </w:rPr>
            </w:pPr>
          </w:p>
        </w:tc>
        <w:tc>
          <w:tcPr>
            <w:tcW w:w="1460" w:type="dxa"/>
            <w:vAlign w:val="bottom"/>
            <w:tcBorders>
              <w:right w:val="single" w:sz="8" w:color="CCEEFF"/>
            </w:tcBorders>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300,418</w:t>
            </w:r>
          </w:p>
        </w:tc>
        <w:tc>
          <w:tcPr>
            <w:tcW w:w="13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and which are billed for on a time-and-expense basis, (ii) customized IT Solutions Service, which primarily includes customized solution development and maintenance service for general enterprises and which are billed for on a fixed-price basis, and (iii) other revenue from product and third-party software sales.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the six months ended December 31, 2017 and 2016, all of our time-and-expense contracts are generated by our IT consulting service for clients in the financial industry. In comparison, all of our fixed-price contracts are generated by our customized IT solution business for clients in the financial industry and others.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51" w:name="page52"/>
    <w:bookmarkEnd w:id="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10"/>
          </w:tcPr>
          <w:p>
            <w:pPr>
              <w:jc w:val="center"/>
              <w:ind w:left="690"/>
              <w:spacing w:after="0"/>
              <w:rPr>
                <w:sz w:val="20"/>
                <w:szCs w:val="20"/>
                <w:color w:val="auto"/>
              </w:rPr>
            </w:pPr>
            <w:r>
              <w:rPr>
                <w:rFonts w:ascii="Arial" w:cs="Arial" w:eastAsia="Arial" w:hAnsi="Arial"/>
                <w:sz w:val="18"/>
                <w:szCs w:val="18"/>
                <w:b w:val="1"/>
                <w:bCs w:val="1"/>
                <w:color w:val="auto"/>
                <w:w w:val="89"/>
              </w:rPr>
              <w:t>For the six months ended December 31, 2017</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9"/>
              </w:rPr>
              <w:t>2016</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gridSpan w:val="4"/>
          </w:tcPr>
          <w:p>
            <w:pPr>
              <w:jc w:val="center"/>
              <w:ind w:right="90"/>
              <w:spacing w:after="0" w:line="198" w:lineRule="exact"/>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8"/>
              </w:rPr>
              <w:t>% of total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22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Revenue</w:t>
            </w: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Variance</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21,632,609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13,282,841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8,349,768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524,220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760,599</w:t>
            </w:r>
          </w:p>
        </w:tc>
        <w:tc>
          <w:tcPr>
            <w:tcW w:w="1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(236,379)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43,166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280,498</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22,199,995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14,323,938</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7,876,057</w:t>
            </w: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Our total revenues increased by approximately $7.9 million, or 55%, to approximately $22.2 million for the six months ended December 31, 2017 from approximately $14.3 million for the six months ended December 31, 2016. The overall growth in our revenues reflected an increase in revenues from our IT consulting service.</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the six months ended December 31, 2017, revenue derived from our IT consulting services increased by 62.9% to $21.6 million from $13.3 million for the six months ended December 31, 2016, primarily reflecting the increasing demand for our IT consulting service from banks and other financial institutions. For the six months ended December 31, 2017 and 2016, 46.1% and 56.5%, respectively, of our IT consulting service revenue were from international banks. For the six months ended December 31, 2017, we strengthened our expertise in the financial industry to leverage our existing industry knowledge and grew our customer base of local Chinese financial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cost of revenues mainly consists of compensation and benefit expenses for our IT professionals, travel expenses and material costs. Our cost of revenues increased by $4.9 million or 57.3% to approximately $13.3 million for the six months ended December 31, 2017 from approximately $8.5 million for the six months ended December 31, 2016, primarily as a result of increased headcount, expanded office facilities and increased depreciation and amortization expenses to support the growth of our business. As a percentage of revenues, our cost of revenues is consistently around 60% for both periods of 2017 and 2016. Our total number of employees grew from 1,179 employees as of December 31, 2016 to 1,586 employees as of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gross profit increased by $3 million, or 51.7%, to approximately $8.8 million for the six months ended December 31, 2017 from approximately $5.8 million for the six months ended December 31, 2016. As a percentage of revenues, our gross margin slightly decreased from 40.8% for the six months ended December 31, 2016 to 39.9% for the six months ended December 31,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revenues and marketing personnel, and also included entertainment, travel and transportation, and other expenses relating to our marketing activities.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Selling and marketing expenses increased by $0.8 million or 300.9% from $0.3 million for the six months ended December 31, 2016 to $1.1 million for the six months ended December 31, 2017. The increase was primarily attributable to our expansion of the pre-sales and marketing teams in Shanghai and Dalian, China to support our operations. Accordingly, as a percentage of sales, our selling expenses were 5.1% of revenues for the six months ended December 31, 2017 as compared to 2.0% for the six months ended December 31, 2016. While we expect our selling and marketing expenses to increase as we continue our business expansion, we expect these expenses to remain relatively steady as a percentage of our net revenues to support our business growth in the near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R&amp;D expenses primarily consisted of compensation and benefit expenses relating to our research and development personnel as well as office overhead and other expenses relating to our R&amp;D activities. Our R&amp;D expenses increased by $1.6 million from $2.0 million for the six months ended December 31, 2016 to $3.6 million for the six months ended December 31, 2017, representing 16.0% and 14.0% of our total revenues for the period of 2017 and 2016, respectively. The increased R&amp;D expense for the six months ended December 31, 2017 was attributable to the two research projects on office automation system and big data platform for decision-making. We expect to increase our investment in research and development to enhance our industry knowledge, improve our competitiveness and enable us to identify attractive market opportunities for new and enhanced services and solutions.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General and administrative expenses increased by $0.03 million or 1.0% from approximately $3.0 million for the six months ended December 31, 2016 to approximately $3.1 million for the six months ended December 31, 2017. As a percentage of revenues, general and administrative expenses were 13.8% and 21.2% of our revenue for the six months ended December 31, 2017 and 2016,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Subsidies and other income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$0.3 million and $0.4 million for the six months ended December 31, 2017 and 2016, respectively. The decrease in government subsidies in fiscal 2017 was because the local government was in the process of amending the existing subsidy policy and deferred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income before income taxes was approximately $1.5 million for the six months ended December 31, 2017, an increase of 49.5% compared with the period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Our provision for income taxes expense was $0.1 million for the six months ended December 31, 2017, compared to $0.05 million income tax benefit for the six months ended December 31, 2016. Our current income tax provision decreased by approximately $0.05 million. The increase of $0.2 million in deferred tax expense was due to an increase in our deferred tax liabilities as a result an increase in unbilled accounts receivables from our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Our net income was approximately $1.3 million for the six months ended December 31, 2017, an increase of $0.3 million with $1.0 million for the six months ended December 31, 2016. For the six months ended December 31, 2017, income tax provision increased but government subsidies decreased as compared to the period of 2016 as mentioned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Foreign currency translation adjustments amounted to a gain of $0.2 million for the six months ended December 31, 2017 and a loss of $0.2 million for the six months ended December 31, 2016, respectively. The balance sheet amounts with the exception of equity as of December 31, 2017 were translated at 6.5063 RMB to 1.00 USD as compared to 6.9430 RMB to 1.00 USD as of December 31, 2016. The equity accounts were stated at their historical rate. The average translation rates applied to the income statements accounts for the periods ended December 31, 2017 and 2016 were 6.6412 RMB to 1.00 USD and 6.7457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December 31, 2017, we had cash and cash equivalents of approximately $4.7 million. Our current assets were approximately $16.6 million, and our current liabilities were approximately $11.0 million. Total shareholders’ equity as of December 31, 2017 was approximately $6.9 million. We believe that we will have sufficient working capital to operate our business for the next 12 months.</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As of June 30, 2017, we had cash and cash equivalents of approximately $4.8 million. Our current assets were approximately $12.3 million, and our current liabilities were approximately $8.2 million. Total shareholders’ equity as of June 30, 2017 was approximately $5.3 million.</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2017, cash and cash equivalents of approximately $4.2 million, $0.1 million, $0.1 million and $0.4 million were held by the Company and its subsidiaries in mainland PRC, Singapore, Australia and Hong Kong, respectively. As of December 31, 2017, the Company had $ 4,384,139, $ 47,432, $ 44,794, $134,880 and $ 47,792 of cash and cash equivalents on deposit at financial institutions in mainland PRC, Singapore, Australia, Hong Kong and Taiwan,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17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For years ended June 30, 2017 and 2016, our operating cash flow was positive. Our operating cash flow was negative for the six months ended December 31, 2017 but positive for the period of 2016. We have historically funded our working capital needs primarily from operations, advance payments from customers and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For The Years Ended</w:t>
            </w:r>
          </w:p>
        </w:tc>
        <w:tc>
          <w:tcPr>
            <w:tcW w:w="100" w:type="dxa"/>
            <w:vAlign w:val="bottom"/>
          </w:tcPr>
          <w:p>
            <w:pPr>
              <w:spacing w:after="0"/>
              <w:rPr>
                <w:sz w:val="18"/>
                <w:szCs w:val="18"/>
                <w:color w:val="auto"/>
              </w:rPr>
            </w:pPr>
          </w:p>
        </w:tc>
        <w:tc>
          <w:tcPr>
            <w:tcW w:w="25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For the six months ended</w:t>
            </w:r>
          </w:p>
        </w:tc>
        <w:tc>
          <w:tcPr>
            <w:tcW w:w="0" w:type="dxa"/>
            <w:vAlign w:val="bottom"/>
          </w:tcPr>
          <w:p>
            <w:pPr>
              <w:spacing w:after="0"/>
              <w:rPr>
                <w:sz w:val="1"/>
                <w:szCs w:val="1"/>
                <w:color w:val="auto"/>
              </w:rPr>
            </w:pPr>
          </w:p>
        </w:tc>
      </w:tr>
      <w:tr>
        <w:trPr>
          <w:trHeight w:val="241"/>
        </w:trPr>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624,344</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4,462,268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740,065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w w:val="93"/>
              </w:rPr>
              <w:t>Net cash (used in) provided by</w:t>
            </w:r>
          </w:p>
        </w:tc>
        <w:tc>
          <w:tcPr>
            <w:tcW w:w="2580" w:type="dxa"/>
            <w:vAlign w:val="bottom"/>
            <w:tcBorders>
              <w:top w:val="single" w:sz="8" w:color="CCEEFF"/>
              <w:bottom w:val="single" w:sz="8" w:color="CCEEFF"/>
            </w:tcBorders>
          </w:tcPr>
          <w:p>
            <w:pPr>
              <w:ind w:left="20"/>
              <w:spacing w:after="0" w:line="203" w:lineRule="exact"/>
              <w:rPr>
                <w:sz w:val="20"/>
                <w:szCs w:val="20"/>
                <w:color w:val="auto"/>
              </w:rPr>
            </w:pPr>
            <w:r>
              <w:rPr>
                <w:rFonts w:ascii="Arial" w:cs="Arial" w:eastAsia="Arial" w:hAnsi="Arial"/>
                <w:sz w:val="18"/>
                <w:szCs w:val="18"/>
                <w:color w:val="auto"/>
              </w:rPr>
              <w:t>investing activities</w:t>
            </w:r>
          </w:p>
        </w:tc>
        <w:tc>
          <w:tcPr>
            <w:tcW w:w="12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(219,693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236,476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Net cash (used in) provided by</w:t>
            </w: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(378,837</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170,232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w w:val="91"/>
              </w:rPr>
              <w:t>Effect of exchange rate change</w:t>
            </w:r>
          </w:p>
        </w:tc>
        <w:tc>
          <w:tcPr>
            <w:tcW w:w="25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(153,002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(227,771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215,359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(120,034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Net (decrease) increase in cash</w:t>
            </w:r>
          </w:p>
        </w:tc>
        <w:tc>
          <w:tcPr>
            <w:tcW w:w="2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3,481,312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5"/>
              </w:rPr>
              <w:t>Cash</w:t>
            </w:r>
          </w:p>
        </w:tc>
        <w:tc>
          <w:tcPr>
            <w:tcW w:w="4460" w:type="dxa"/>
            <w:vAlign w:val="bottom"/>
            <w:gridSpan w:val="2"/>
          </w:tcPr>
          <w:p>
            <w:pPr>
              <w:ind w:left="40"/>
              <w:spacing w:after="0"/>
              <w:rPr>
                <w:sz w:val="20"/>
                <w:szCs w:val="20"/>
                <w:color w:val="auto"/>
              </w:rPr>
            </w:pPr>
            <w:r>
              <w:rPr>
                <w:rFonts w:ascii="Arial" w:cs="Arial" w:eastAsia="Arial" w:hAnsi="Arial"/>
                <w:sz w:val="18"/>
                <w:szCs w:val="18"/>
                <w:color w:val="auto"/>
              </w:rPr>
              <w:t>and cash equivalents, beginning of period</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5,277,196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1,795,884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4,814,568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7"/>
        </w:trPr>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Cash</w:t>
            </w:r>
          </w:p>
        </w:tc>
        <w:tc>
          <w:tcPr>
            <w:tcW w:w="446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and cash equivalents, end of period</w:t>
            </w: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vMerge w:val="continue"/>
            <w:shd w:val="clear" w:color="auto" w:fill="CCEEFF"/>
          </w:tcPr>
          <w:p>
            <w:pPr>
              <w:spacing w:after="0"/>
              <w:rPr>
                <w:sz w:val="21"/>
                <w:szCs w:val="21"/>
                <w:color w:val="auto"/>
              </w:rPr>
            </w:pPr>
          </w:p>
        </w:tc>
        <w:tc>
          <w:tcPr>
            <w:tcW w:w="4460" w:type="dxa"/>
            <w:vAlign w:val="bottom"/>
            <w:gridSpan w:val="2"/>
            <w:vMerge w:val="continue"/>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4,659,037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6,303,935</w:t>
            </w:r>
          </w:p>
        </w:tc>
        <w:tc>
          <w:tcPr>
            <w:tcW w:w="0" w:type="dxa"/>
            <w:vAlign w:val="bottom"/>
          </w:tcPr>
          <w:p>
            <w:pPr>
              <w:spacing w:after="0"/>
              <w:rPr>
                <w:sz w:val="1"/>
                <w:szCs w:val="1"/>
                <w:color w:val="auto"/>
              </w:rPr>
            </w:pPr>
          </w:p>
        </w:tc>
      </w:tr>
      <w:tr>
        <w:trPr>
          <w:trHeight w:val="21"/>
        </w:trPr>
        <w:tc>
          <w:tcPr>
            <w:tcW w:w="4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pacing w:after="0" w:line="18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Net cash provided by operating activities for the year ended June 30, 2016 was approximately $4.5 million, which was primarily attributable to net income of approximately $1.8 million, adjusted for non-cash items for approximately $0.04 million and positive adjustments for changes in working capital of approximately $2.7 million. The adjustments for changes in working capital mainly included (i) decrease in accounts receivable of approximately $1.1 million due to an increase in sales collections in fiscal 2016, (ii) increase in salaries and benefits payable of $1.0 million due to unpaid employee compensation and benefits and (iii) decrease in prepayment of approximately $0.4 million due to utilization in our operation.</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used in operating activities was approximately $0.1 million for the six months ended December 31, 2017, including net income of $1.3 million, adjusted for non-cash items of $0.2 million and negative adjustments for changes in operating assets and liabilities of $1.6 million. The adjustments for changes in operating assets and liabilities mainly included an increase in accounts receivable of $4.1 million due to increased sales for the six months ended December 31, 2017. For the six months ended December 31, 2017, our revenue turnover in days was 72 days, an increase from 65 days for the period of 2016. The adjustments for changes in operating assets and liabilities also included an increase in deferred costs of $0.2 million for project progress, and offset with an increase in salaries and benefits payable of $1.8 million due to unpaid employee compensation and benefits for the six months ended December 31, 2017.</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cash provided by operating activities for the six months ended December 31, 2016 was approximately $0.7 million, which was primarily attributable to net income of approximately $1.0 million, adjusted for non-cash items for approximately $0.01 million and negative adjustments for changes in working capital of approximately $0.3 million. The adjustments for changes in working capital mainly included (i) increase in accounts receivable of approximately $1.5 million due to an increase in revenues and slight reduction in accounts receivable collections for the six months ended December 31, 2016, (ii) increase in salaries and benefits payable of $0.9 million due to unpaid employee compensation and benefits and (iii) increase in accounts payable and other payable of $0.2 million due to the accrued cost of IT solutions services.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investing activities was approximately $0.4 million in fiscal 2016, primarily due to our purchases of office equipment and furniture.</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six months ended December 31, 2017, net cash used in investing activities was approximately $0.2 million, primarily due to our purchases of office equipment and furniture.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the six months ended December 31, 2016, net cash provided by investing activities was approximately $0.2 million primarily due to our acquisition of Judge China in November, 2016 to better manage opportunities and capitalize on the growth potential in the human resource related industry in China.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Net cash used in financing activities was approximately $0.4 million in fiscal 2016. In fiscal 2016, proceeds from our shareholder’s contributions amounted to $2.1 million, and collection of restricted cash of $2.5 million. We paid $5.3 million of dividends to our existing shareholders.</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Net cash used in financing activities was approximately $0.01 million for the six months ended December 31, 2017. During the period of 2017, we borrowed bank loans of approximately $2.2 million, repaid loans of approximately $1.5 million, and paid $0.6 million of dividends to our existing shareholders.</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Net cash provided in financing activities was approximately $0.2 million for the six months ended December 31, 2016. They were primarily proceeds from our shareholder’s contributions.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made capital expenditures of $0.06 million and $0.3 million for the years ended June 30, 2017 and 2016, respectively. In these periods, our capital expenditures were mainly used for purchases of office equipment. The Company will continue to make capital expenditures to meet the expected growth of its business.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made capital expenditures of $0.2 million and $0.03 million for the six months ended December 31, 2017 and 2016, respectively. In these periods, our capital expenditures were mainly used for purchases of office equipment. The Company will continue to make capital expenditures to meet the expected growth of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1.4% in 2016 and 2.0% in 2015. Our operations are in China and China’s inflation rates have been relatively stable over the last two years: 1.6% in 2017 and 1.4%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$565,328 and $431,043 for the years ended June 30, 2017 and 2016, respectively. The following table sets forth our contractual obligations and commercial commitments as of June 30,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jc w:val="right"/>
              <w:ind w:right="810"/>
              <w:spacing w:after="0"/>
              <w:rPr>
                <w:sz w:val="20"/>
                <w:szCs w:val="20"/>
                <w:color w:val="auto"/>
              </w:rPr>
            </w:pPr>
            <w:r>
              <w:rPr>
                <w:rFonts w:ascii="Arial" w:cs="Arial" w:eastAsia="Arial" w:hAnsi="Arial"/>
                <w:sz w:val="18"/>
                <w:szCs w:val="18"/>
                <w:b w:val="1"/>
                <w:bCs w:val="1"/>
                <w:color w:val="auto"/>
              </w:rPr>
              <w:t>Payment Due by Period</w:t>
            </w: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931,047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520,637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410,410</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340"/>
              <w:spacing w:after="0" w:line="203" w:lineRule="exact"/>
              <w:rPr>
                <w:sz w:val="20"/>
                <w:szCs w:val="20"/>
                <w:color w:val="auto"/>
              </w:rPr>
            </w:pPr>
            <w:r>
              <w:rPr>
                <w:rFonts w:ascii="Arial" w:cs="Arial" w:eastAsia="Arial" w:hAnsi="Arial"/>
                <w:sz w:val="18"/>
                <w:szCs w:val="18"/>
                <w:color w:val="auto"/>
                <w:w w:val="86"/>
              </w:rPr>
              <w:t>931,047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520,637</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410,410</w:t>
            </w: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Operating lease expense amounted to $310,505 and $ 244,458 for the six months ended December 31, 2017 and 2016, respectively. Outstanding balance of short-term bank loans was $753,116 as of December 31, 2017. Interest expense was $14,681 and Nil for the six months ended December 31, 2017 and 2016, respectively. The following table sets forth our contractual obligations and commercial commitments as of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rPr>
              <w:t>Payment Due by Period (Unaudited)</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lease arrangements</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785,431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543,174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242,257</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3,466,671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3,224,414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right="20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February 8, 2018, the Company borrowed $775,047 (RMB 4,900,000) from Bank of Communication at an interest rate of 5.655% per annum and due on July 20, 2018.</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February 2018, the Company borrowed $1,906,193 (RMB 12,000,000) from China Merchants Bank. These loans are due in May and July 2018.</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Commitments and Arrangements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There were no off-balance sheet arrangements for the years ended June 30, 2017 and 2016 and for the six months ended December 31, 2017, 2016 that have or that in the opinion of management are likely to have, a current or future material effect on our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by the United States of America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Company provides a comprehensive range of IT services and solutions, the contracts for which are billed for primarily are on a time-and-expense basis, or fixed-price basis.</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integration based on customers’ specific needs. These solutions require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of time ranging from three months to one year (“PCS period”) after the customized application is delivered. The type of service for PCS clause is generally not specified in the contract or stand-ready service on when-and-if-available basis.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the following service elements in negotiating a fixed-fee solution contract:</w:t>
      </w:r>
    </w:p>
    <w:p>
      <w:pPr>
        <w:spacing w:after="0" w:line="225"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Solution development service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that include application customized services and PCS as well as specific service components,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 (iii) best estimate of the selling price (“BESP”). The Company uses VSOE of selling price in the selling price allocation in all instances where it exists; otherwise, BESP is used. Because the Company’s customized application differs substantially from that of competitors, it is difficult to obtain the reliable standalone competitive pricing necessary to establish TPE. VSOE of selling price for products and services is determined when a substantial majority of the selling prices fall within a reasonable range when sold separately.</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Revenue allocated to solution development service components is recognized using contract accounting in accordance with Accounting Standards Codification (“ASC”) 605-35. The revenue recognition for these contracts varies depending on the terms of the individual contracts, and may be recognized proportionally over the term of the contract or deferred until the end of the contract term and recognized when our obligations to the customer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as the best available indicator of the pattern and timing in which contract obligations are fulfilled. Pursuant to the contract terms, the Company has enforceable rights to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Differences between the timing of billings and the recognition of revenue based on various methods of accounting are recorded as deferred revenue.</w:t>
      </w:r>
    </w:p>
    <w:p>
      <w:pPr>
        <w:spacing w:after="0" w:line="24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Net 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 off against the allowance for doubtful accounts after management has determined that the likelihood of collection is not probable.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Unbilled accounts receivable included in accounts receivable represent revenue earned on contracts to be billed, in subsequent periods, as per the terms of the related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operations as an allocation of the total income or loss for the year between non-controlling interest holders and the shareholders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with definite lives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Intangible assets, other than goodwill, are initially measured and recorded at their fair values. Intangible assets primarily consist of customer contacts acquired by Judge China. Customer contacts are amortized using the estimated attrition pattern which is estimated over 10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Goodwill represents the excess of the consideration over the fair value of the net assets acquired at the date of acquisition. Goodwill is not amortized but rather tested for impairment at least annually at the reporting unit level by applying a fair value based test in accordance with accounting and disclosure requirements for goodwill and other indefinite lived intangible assets. This test is performed by management annually or more frequently if the Company believes impairment indicators are present. Goodwill was allocated to the one reporting unit as of June 30, 2017 and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 There was no impairment of goodwill during the years ended June 30, 2017 and 2016 and for the six months ended December 31, 2017.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Research and development incurred in the development of new software modules and products, either as part of the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subsidies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 remain subject to examination by the tax authorities for five years from the date of filing through year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648"/>
        <w:spacing w:after="0" w:line="266" w:lineRule="auto"/>
        <w:rPr>
          <w:sz w:val="20"/>
          <w:szCs w:val="20"/>
          <w:color w:val="auto"/>
        </w:rPr>
      </w:pPr>
      <w:r>
        <w:rPr>
          <w:rFonts w:ascii="Arial" w:cs="Arial" w:eastAsia="Arial" w:hAnsi="Arial"/>
          <w:sz w:val="17"/>
          <w:szCs w:val="17"/>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 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 2020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62" w:name="page63"/>
    <w:bookmarkEnd w:id="6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 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16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ectPr>
          <w:pgSz w:w="11900" w:h="16838" w:orient="portrait"/>
          <w:cols w:equalWidth="0" w:num="1">
            <w:col w:w="11400"/>
          </w:cols>
          <w:pgMar w:left="240" w:top="226" w:right="2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63" w:name="page64"/>
    <w:bookmarkEnd w:id="6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ind w:firstLine="643"/>
        <w:spacing w:after="0" w:line="268"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85" w:lineRule="exact"/>
        <w:rPr>
          <w:sz w:val="20"/>
          <w:szCs w:val="20"/>
          <w:color w:val="auto"/>
        </w:rPr>
      </w:pPr>
    </w:p>
    <w:p>
      <w:pPr>
        <w:ind w:firstLine="637"/>
        <w:spacing w:after="0" w:line="297" w:lineRule="auto"/>
        <w:rPr>
          <w:sz w:val="20"/>
          <w:szCs w:val="20"/>
          <w:color w:val="auto"/>
        </w:rPr>
      </w:pPr>
      <w:r>
        <w:rPr>
          <w:rFonts w:ascii="Arial" w:cs="Arial" w:eastAsia="Arial" w:hAnsi="Arial"/>
          <w:sz w:val="16"/>
          <w:szCs w:val="16"/>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58" w:lineRule="exact"/>
        <w:rPr>
          <w:sz w:val="20"/>
          <w:szCs w:val="20"/>
          <w:color w:val="auto"/>
        </w:rPr>
      </w:pPr>
    </w:p>
    <w:p>
      <w:pPr>
        <w:ind w:right="160" w:firstLine="637"/>
        <w:spacing w:after="0" w:line="297" w:lineRule="auto"/>
        <w:rPr>
          <w:sz w:val="20"/>
          <w:szCs w:val="20"/>
          <w:color w:val="auto"/>
        </w:rPr>
      </w:pPr>
      <w:r>
        <w:rPr>
          <w:rFonts w:ascii="Arial" w:cs="Arial" w:eastAsia="Arial" w:hAnsi="Arial"/>
          <w:sz w:val="16"/>
          <w:szCs w:val="16"/>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5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eleven delivery and or research and development (“R&amp;D”) centers to serve different customers in various geographic locations. Seven centers are located in China, including cities of Shanghai, Beijing, Dalian, Tianjin, Chengdu, Guangzhou and Shenzhen. The remaining four centers are located in Hong Kong, Taiwan,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ectPr>
          <w:pgSz w:w="11900" w:h="16838" w:orient="portrait"/>
          <w:cols w:equalWidth="0" w:num="1">
            <w:col w:w="11420"/>
          </w:cols>
          <w:pgMar w:left="240" w:top="226" w:right="23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4" w:name="page65"/>
    <w:bookmarkEnd w:id="6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Background</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CLPS Incorporation was incorporated under the laws of the Cayman Islands on May 11, 2017. Our share capital of the Company is US$10,000, which is divided into 100,000,000 common shares are authorized with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RMB¥ 500,000 (approximately US$61,835) for 50% shares of CLPS Shanghai. After this share transfer, Yan Pan and Xiaochun Deng respectively held 50% shares of CLPS Shanghai.</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On October 30, 2013, Xiao Feng Yang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Yan Pan to purchase all of Yan Pan’s shares in CLPS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Shanghai. Pursuant to the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Xiao Feng Yang paid RMB2,500,000 (approximately US$399,993) for 50% shares of CLPS Shanghai.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this share transfer, Xiao Feng Yang and Raymond Ming Hui Lin respectively held 50% shares of CLPS Shanghai.</w:t>
      </w:r>
    </w:p>
    <w:p>
      <w:pPr>
        <w:spacing w:after="0" w:line="211"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ectPr>
          <w:pgSz w:w="11900" w:h="16838" w:orient="portrait"/>
          <w:cols w:equalWidth="0" w:num="1">
            <w:col w:w="11420"/>
          </w:cols>
          <w:pgMar w:left="240" w:top="226"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5" w:name="page66"/>
    <w:bookmarkEnd w:id="6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3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above-mentioned subscription, the shareholding structure of CLPS Shanghai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PLACE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Raymond Ming Hui Lin</w:t>
            </w: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1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1,270,000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1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900,000</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1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8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In July 2017, three abovementioned limited partnerships transferred all of their equity interest in CLPS Shanghai to their individual partners according to the proportion of each partner’s capital contribution. Total 47 individuals became shareholders of CLPS Shanghai.</w:t>
      </w:r>
    </w:p>
    <w:p>
      <w:pPr>
        <w:spacing w:after="0" w:line="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In August 2017, Qiner entered into three </w:t>
      </w:r>
      <w:r>
        <w:rPr>
          <w:rFonts w:ascii="Arial" w:cs="Arial" w:eastAsia="Arial" w:hAnsi="Arial"/>
          <w:sz w:val="16"/>
          <w:szCs w:val="16"/>
          <w:i w:val="1"/>
          <w:iCs w:val="1"/>
          <w:color w:val="auto"/>
        </w:rPr>
        <w:t>Share Purchase Agreement</w:t>
      </w:r>
      <w:r>
        <w:rPr>
          <w:rFonts w:ascii="Arial" w:cs="Arial" w:eastAsia="Arial" w:hAnsi="Arial"/>
          <w:sz w:val="16"/>
          <w:szCs w:val="16"/>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 company, the share purchase price was 0. Qiner was not actually paid share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165" cy="3584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4, 2017, CLPS QC (WOFE) got the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0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On October 31, 2017, CLPS Incorporation entered into a </w:t>
      </w:r>
      <w:r>
        <w:rPr>
          <w:rFonts w:ascii="Arial" w:cs="Arial" w:eastAsia="Arial" w:hAnsi="Arial"/>
          <w:sz w:val="17"/>
          <w:szCs w:val="17"/>
          <w:i w:val="1"/>
          <w:iCs w:val="1"/>
          <w:color w:val="auto"/>
        </w:rPr>
        <w:t>SOLD NOTE</w:t>
      </w:r>
      <w:r>
        <w:rPr>
          <w:rFonts w:ascii="Arial" w:cs="Arial" w:eastAsia="Arial" w:hAnsi="Arial"/>
          <w:sz w:val="17"/>
          <w:szCs w:val="17"/>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7"/>
          <w:szCs w:val="17"/>
          <w:i w:val="1"/>
          <w:iCs w:val="1"/>
          <w:color w:val="auto"/>
        </w:rPr>
        <w:t>Circular of the State Administration of Foreign Exchange on Issues concerning Foreign Exchange Administration over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Overseas Investment and Financing and Round-trip Investment by Domestic Residents via Special Purpose Vehicles </w:t>
      </w:r>
      <w:r>
        <w:rPr>
          <w:rFonts w:ascii="Arial" w:cs="Arial" w:eastAsia="Arial" w:hAnsi="Arial"/>
          <w:sz w:val="17"/>
          <w:szCs w:val="17"/>
          <w:color w:val="auto"/>
        </w:rPr>
        <w:t>(SAFE 2014 No. 37). After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registrations, CLPS QC (WOFE) entered into 46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all 46 Chinese individual shareholders and 46 Chinese individual shareholders totally held 18,731,261 shares of CLPS Shanghai. The aforementioned share transfer was part of reorganization of the group company, the share purchase price was 0. CLPS QC (WOFE) was not actually paid share purchase price.</w:t>
      </w:r>
    </w:p>
    <w:p>
      <w:pPr>
        <w:sectPr>
          <w:pgSz w:w="11900" w:h="16838" w:orient="portrait"/>
          <w:cols w:equalWidth="0" w:num="1">
            <w:col w:w="11420"/>
          </w:cols>
          <w:pgMar w:left="240" w:top="226" w:right="239" w:bottom="1440" w:gutter="0" w:footer="0" w:header="0"/>
        </w:sect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6" w:name="page67"/>
    <w:bookmarkEnd w:id="6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2, 2017, the transfer between 46 Chinese individual shareholders and CLPS QC (WOFE) has completed the record-filing of changes of Foreign-invested Company and got the record receipt.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As of the date of this prospectus, the shareholding structure of CLPS Shanghai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PLACE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846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7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Qiner Co., Limited</w:t>
            </w:r>
          </w:p>
        </w:tc>
        <w:tc>
          <w:tcPr>
            <w:tcW w:w="1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15,138,739</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33,870,000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the date of this prospectus, CLPS Shanghai has four wholly-owned subsidiaries: CLPS Dalian, CLPS RC, CLPS AU and CLPS SG. Besides the four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70% of equity interest in CLPS Beijing,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Huanyu </w:t>
      </w:r>
      <w:r>
        <w:rPr>
          <w:rFonts w:ascii="Arial" w:cs="Arial" w:eastAsia="Arial" w:hAnsi="Arial"/>
          <w:sz w:val="18"/>
          <w:szCs w:val="18"/>
          <w:color w:val="auto"/>
        </w:rPr>
        <w:t>— CLPS Shanghai holds 30% of equity interest in Huanyu a PRC limited liability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consulting services primarily includes application development services for banks and institutions in the financial industry and which are billed for on a time-and-expense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Customized IT Solutions Service primarily includes customized solution development and maintenance service for general enterprises and which are billed for on a fixed-price basis.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entities provide either consulting or solution services or both, depending on where our clients are based. The entities are currently servicing one of the services might expand to both services if our clients’ needs arise.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RC provides both consulting and solution services. CLPS RC focuses on small and medium domestic financial institutions.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Beijing provides both consulting and solution services. CLPS Beijing services clients in China’s central east region, including Beijing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Tianjin.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AU currently only provides consulting services. CLPS AU services clients in Australia.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CLPS Hong Kong currently only provides consulting services. CLPS Hong Kong services clients in East Asia region, including Hong Kong.</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Shenzhen currently only provides consulting services. CLPS Shenzhen services clients in Shenzhen.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CLPS Shanghai holds 30%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67" w:name="page68"/>
    <w:bookmarkEnd w:id="6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According to the annual report of the China Banking Regulatory Commission (CBRC) in 2016, by the end of 2016, China’s banking financial institutions had total assets of RMB 232.3 trillion (USD$34.3 trillion), an increase of RMB 33.0 trillion (USD$4.9 trillion), or 16.6%, when compared with the end of 2015, total liabilities equaled RMB 214.8 trillion (USD$31.7 trillion), an increase of RMB 30.7 trillion (USD$4.5 trillion), or 16.7% when compared with the end of 2015, total assets of banking financial institutions were RMB 27.6 trillion (USD$4.1 trillion) in 2003. Over the past 10 years, total assets of China’s banking financial institutions grew at a compound annual growth rate of nearly 20%. Notwithstanding the growth rates,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As a result, foreign banks are now present in 69 cities of 27 provinces in China, with headquarters, branches, sub-branches and a complete service network with certain coverage and market depth, with more than 1000 outlets.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right="260" w:firstLine="648"/>
        <w:spacing w:after="0" w:line="257" w:lineRule="auto"/>
        <w:rPr>
          <w:sz w:val="20"/>
          <w:szCs w:val="20"/>
          <w:color w:val="auto"/>
        </w:rPr>
      </w:pPr>
      <w:r>
        <w:rPr>
          <w:rFonts w:ascii="Arial" w:cs="Arial" w:eastAsia="Arial" w:hAnsi="Arial"/>
          <w:sz w:val="18"/>
          <w:szCs w:val="18"/>
          <w:color w:val="auto"/>
        </w:rPr>
        <w:t>China’s software industry is a high-tech industry has developed and grown rapidly in recent years. According to PRC’s Ministry of Industry and Information Technology (MIIT) data, the software industry revenues reached RMB 4.9 trillion (USD$723 billion) in 2016 – more than tripling the 2010 revenues of RMB 1.3 trillion (USD$192 billion). During the 12th five-year period, the industry’s compound annual growth rate reached 24.3%. Revenue attributed to the software industry as a percentage of total GDP increased steadily from 2.16% in 2007 to 6.75% in 2016. The revenue of China’s software industry from 2007 to 2016 is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128905</wp:posOffset>
            </wp:positionV>
            <wp:extent cx="6003290" cy="38931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3290"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Data Source: The Ministry of Industry and Information Technology, National Bureau of Statistics of China.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ind w:firstLine="656"/>
        <w:spacing w:after="0" w:line="255"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The service-oriented focus </w:t>
      </w:r>
      <w:r>
        <w:rPr>
          <w:rFonts w:ascii="Arial" w:cs="Arial" w:eastAsia="Arial" w:hAnsi="Arial"/>
          <w:sz w:val="18"/>
          <w:szCs w:val="18"/>
          <w:color w:val="auto"/>
        </w:rPr>
        <w:t>– Over the past ten years, the software and IT industry in China has gradually become service-,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platform-oriented. During this period, the revenues from operation-related services, including online software operation services, platform operation services, infrastructure operation services and other IT services, increased by 16.1%; the revenues from e-commerce platform services, including online trading platform services, online transaction support services and other IT support services, increased by 17.7%; and the revenues from IT services, including IT consulting and design services, system integration, operation and maintenance services, data services, etc., increased by 16%. These growth rates are higher than the industry’s average growth rate.</w:t>
      </w:r>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68" w:name="page69"/>
    <w:bookmarkEnd w:id="6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56"/>
        <w:spacing w:after="0" w:line="255"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 The software industry has also tended to grow and expand on the regional, rather than national/centralized</w:t>
      </w:r>
      <w:r>
        <w:rPr>
          <w:rFonts w:ascii="Arial" w:cs="Arial" w:eastAsia="Arial" w:hAnsi="Arial"/>
          <w:sz w:val="18"/>
          <w:szCs w:val="18"/>
          <w:i w:val="1"/>
          <w:iCs w:val="1"/>
          <w:color w:val="auto"/>
        </w:rPr>
        <w:t xml:space="preserve"> </w:t>
      </w:r>
      <w:r>
        <w:rPr>
          <w:rFonts w:ascii="Arial" w:cs="Arial" w:eastAsia="Arial" w:hAnsi="Arial"/>
          <w:sz w:val="18"/>
          <w:szCs w:val="18"/>
          <w:color w:val="auto"/>
        </w:rPr>
        <w:t>level. According to the MIIT statistics, in 2016, China’s Eastern region’s software industry revenues were RMB 3.8 trillion (USD$561 billion), or approximately 78.6% of the national software business revenues, while the country’s Central region’s revenues were RMB 230.3 billion (USD$34.0 billion). In 2016, 15 sub-provincial central cities in China realized software business revenues of RMB 2.7 trillion (USD$398 billion), accounting for 55.3% of national software business revenues, with year-on-year growth rate of 15.5%, which was 0.6% higher than the national average level. There are 15 cities with software business revenue of more than RMB 10.0 billion (USD$1.5 billion).</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Financial Institutions/Banking IT services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Services Industry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124460</wp:posOffset>
            </wp:positionV>
            <wp:extent cx="5488305" cy="3473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883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Wind Terminal</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2015, the overall banking IT services market reached RMB 22.5 billion (USD$3.3 billion). China's banking IT market has distinctive structure feature, with service sub-field occupying half of the market share, and maintains steady growth. According to IDC data, China's integrated banking IT services market increased from RMB 7.1 billion (USD$1.0 billion) to RMB 22.5 billion (USD$3.3 billion) from 2009 to 2015, growing at a compound annual growth rate of 21.2%; the market scale of service sub-field increased from RMB 5.5 billion (USD$811 million) to RMB 18.2 billion (USD$2.7 billion), with compound annual growth rate of 22.1%. According to IDC forecast, China's integrated banking IT services market is expected to increase to RMB 61.2 billion (USD$9.0 billion) in 2020, growing at compound annual growth rate of 22.1% compared with 2015 (IDC China Banking IT Services Market Forecast and Analysis 2016-2020). In 2015, these services still compared largest proportion in China's banking IT service market, reaching 81.8%. We believe that the IDC research suggests that the current Chinese banking IT services market is gradually transforming from a “software plus service” delivery model to a service-oriented delivery model. It is expected that services will account for a higher proportion of the entire banking industry's application services in 2020.</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China’s banking IT industry faces various challenges. In accordance with CRBC’s 2014 Guiding Opinions, China’s banking institutions are required to master core knowledge and key technologies of banking informatization by 2019. Beginning in 2015, each year banking financial institutions are required to increase the application rate of safe and controllable information technologies by 15%. The banking financial institutions are also required to set aside no less than 5% of the annual information budget to support their forward-looking, innovative and planning research on safe and controllable information systems, and help the organization to grasp the core IT knowledge and skills. In addition, as traditional banks combine their services with online banking, they require IT support from the front payment to background asset structure matching.</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With the participation of private banks, foreign banks, Internet banks and other non-traditional, non-state-owned banks, the competition in the banking industry has intensified and the banking IT service support is an important means for banks to enhance the user experience, differentiate themselves from the competition and save costs. In order to gain market share, new participants in the banking industry invest in what differentiates them from competition. Improved user experience, risk control and risk prevention, information upgrades, network infrastructure, and mobile terminal layout are complex projects, requiring significant capital investment. These factors contribute to the continuous growth of China’s banking IT investment, and promote the rapid development of China’s banking IT industry. IDC statistics suggested that the total IT investment of China’s banking industry reached RMB 83.1 billion (USD$12.3 billion) in 2015, increased by 11.9% when compared with RMB 74.3 billion (USD$11.0 billion) in 2014; in 2015, hardware investment accounted for 54.7% of the total investment; service investment accounted for 36.2%; and software investment accounted for 9.1% (data source: IDC). Large state-owned commercial banks accounted for the largest proportion of IT investment in 2015 (45.2%); the IT investment of city commercial banks and rural commercial banks, rural cooperative banks and other rural financial institutions accounted for 29.5% of the banking industry’s total IT investment; the IT investment of joint-stock commercial banks accounted for 21.1%, and the investment ratio of other banking financial institutions represented by foreign banks was 4.2% (data source: IDC).</w:t>
      </w:r>
    </w:p>
    <w:p>
      <w:pPr>
        <w:spacing w:after="0" w:line="180" w:lineRule="exact"/>
        <w:rPr>
          <w:sz w:val="20"/>
          <w:szCs w:val="20"/>
          <w:color w:val="auto"/>
        </w:rPr>
      </w:pPr>
    </w:p>
    <w:p>
      <w:pPr>
        <w:ind w:right="220" w:firstLine="630"/>
        <w:spacing w:after="0" w:line="277" w:lineRule="auto"/>
        <w:rPr>
          <w:sz w:val="20"/>
          <w:szCs w:val="20"/>
          <w:color w:val="auto"/>
        </w:rPr>
      </w:pPr>
      <w:r>
        <w:rPr>
          <w:rFonts w:ascii="Arial" w:cs="Arial" w:eastAsia="Arial" w:hAnsi="Arial"/>
          <w:sz w:val="18"/>
          <w:szCs w:val="18"/>
          <w:color w:val="auto"/>
        </w:rPr>
        <w:t>The current development of the PRC banking industry is characterized by the re-use of data, Internet and other business innovation, and increasing demands for information security. We perceive the following development trends in the industry:</w:t>
      </w:r>
    </w:p>
    <w:p>
      <w:pPr>
        <w:spacing w:after="0" w:line="166" w:lineRule="exact"/>
        <w:rPr>
          <w:sz w:val="20"/>
          <w:szCs w:val="20"/>
          <w:color w:val="auto"/>
        </w:rPr>
      </w:pPr>
    </w:p>
    <w:p>
      <w:pPr>
        <w:ind w:right="50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Big data services </w:t>
      </w:r>
      <w:r>
        <w:rPr>
          <w:rFonts w:ascii="Arial" w:cs="Arial" w:eastAsia="Arial" w:hAnsi="Arial"/>
          <w:sz w:val="18"/>
          <w:szCs w:val="18"/>
          <w:color w:val="auto"/>
        </w:rPr>
        <w:t>- The banking industry has accumulated a large amount of transaction data in the operations process, representing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value for its owners. Big data applications can help banks make strategic decisions integrate resources, and make adjustments when industry changes take place so as to gain competitive advantages.</w:t>
      </w:r>
    </w:p>
    <w:p>
      <w:pPr>
        <w:spacing w:after="0" w:line="176" w:lineRule="exact"/>
        <w:rPr>
          <w:rFonts w:ascii="Arial" w:cs="Arial" w:eastAsia="Arial" w:hAnsi="Arial"/>
          <w:sz w:val="18"/>
          <w:szCs w:val="18"/>
          <w:color w:val="auto"/>
        </w:rPr>
      </w:pPr>
    </w:p>
    <w:p>
      <w:pPr>
        <w:ind w:right="16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Innovation in channel solutions </w:t>
      </w:r>
      <w:r>
        <w:rPr>
          <w:rFonts w:ascii="Arial" w:cs="Arial" w:eastAsia="Arial" w:hAnsi="Arial"/>
          <w:sz w:val="18"/>
          <w:szCs w:val="18"/>
          <w:color w:val="auto"/>
        </w:rPr>
        <w:t>- Channel innovation has become the key to innovations for China’s commercial banks, including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mobile banking. IDC research indicates that e-banking construction will be the key target of channel solution investment for China’s banking industry, especially small and medium-sized banks, in the next five years.</w:t>
      </w:r>
    </w:p>
    <w:p>
      <w:pPr>
        <w:spacing w:after="0" w:line="176" w:lineRule="exact"/>
        <w:rPr>
          <w:rFonts w:ascii="Arial" w:cs="Arial" w:eastAsia="Arial" w:hAnsi="Arial"/>
          <w:sz w:val="18"/>
          <w:szCs w:val="18"/>
          <w:color w:val="auto"/>
        </w:rPr>
      </w:pPr>
    </w:p>
    <w:p>
      <w:pPr>
        <w:ind w:right="240" w:firstLine="656"/>
        <w:spacing w:after="0" w:line="266"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Risk prevention - </w:t>
      </w:r>
      <w:r>
        <w:rPr>
          <w:rFonts w:ascii="Arial" w:cs="Arial" w:eastAsia="Arial" w:hAnsi="Arial"/>
          <w:sz w:val="18"/>
          <w:szCs w:val="18"/>
          <w:color w:val="auto"/>
        </w:rPr>
        <w:t>China’s commercial banks are required to establish a comprehensive risk management framework under the new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thus making risk management a top priority for the industry. China’s IT service providers will continue to explore in this field to meet the increasingly strict and comprehensive risk management requirements of financial industry.</w:t>
      </w:r>
    </w:p>
    <w:p>
      <w:pPr>
        <w:spacing w:after="0" w:line="176" w:lineRule="exact"/>
        <w:rPr>
          <w:rFonts w:ascii="Arial" w:cs="Arial" w:eastAsia="Arial" w:hAnsi="Arial"/>
          <w:sz w:val="18"/>
          <w:szCs w:val="18"/>
          <w:color w:val="auto"/>
        </w:rPr>
      </w:pPr>
    </w:p>
    <w:p>
      <w:pPr>
        <w:ind w:right="300" w:firstLine="656"/>
        <w:spacing w:after="0" w:line="282" w:lineRule="auto"/>
        <w:tabs>
          <w:tab w:leader="none" w:pos="1162"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Specialized services – </w:t>
      </w:r>
      <w:r>
        <w:rPr>
          <w:rFonts w:ascii="Arial" w:cs="Arial" w:eastAsia="Arial" w:hAnsi="Arial"/>
          <w:sz w:val="18"/>
          <w:szCs w:val="18"/>
          <w:color w:val="auto"/>
        </w:rPr>
        <w:t>Financial service providers strive to deepen their understanding of bank users’ individual needs. As an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needs change, the banks tend to purchase more specialized services and IT services.</w:t>
      </w:r>
    </w:p>
    <w:p>
      <w:pPr>
        <w:spacing w:after="0" w:line="161" w:lineRule="exact"/>
        <w:rPr>
          <w:rFonts w:ascii="Arial" w:cs="Arial" w:eastAsia="Arial" w:hAnsi="Arial"/>
          <w:sz w:val="18"/>
          <w:szCs w:val="18"/>
          <w:color w:val="auto"/>
        </w:rPr>
      </w:pPr>
    </w:p>
    <w:p>
      <w:pPr>
        <w:ind w:right="40" w:firstLine="656"/>
        <w:spacing w:after="0" w:line="281" w:lineRule="auto"/>
        <w:tabs>
          <w:tab w:leader="none" w:pos="1162"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Internationalization of business - </w:t>
      </w:r>
      <w:r>
        <w:rPr>
          <w:rFonts w:ascii="Arial" w:cs="Arial" w:eastAsia="Arial" w:hAnsi="Arial"/>
          <w:sz w:val="17"/>
          <w:szCs w:val="17"/>
          <w:color w:val="auto"/>
        </w:rPr>
        <w:t>With the reform and opening up of China’s financial market, more foreign banks and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have settled in China. Foreign financial institutions tend to outsource a large number of non-core IT services. As a result, Chinese IT service providers have the opportunity to pursue the internationally outsourced IT business. Those domestic services providers with experience of servicing international business, with foreign language skills and abundance of IT human capital are likely to succeed in this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ind w:right="140" w:firstLine="630"/>
        <w:spacing w:after="0" w:line="312"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w:t>
      </w:r>
    </w:p>
    <w:p>
      <w:pPr>
        <w:spacing w:after="0" w:line="147" w:lineRule="exact"/>
        <w:rPr>
          <w:sz w:val="20"/>
          <w:szCs w:val="20"/>
          <w:color w:val="auto"/>
        </w:rPr>
      </w:pPr>
    </w:p>
    <w:p>
      <w:pPr>
        <w:ind w:right="40" w:firstLine="630"/>
        <w:spacing w:after="0" w:line="259" w:lineRule="auto"/>
        <w:rPr>
          <w:sz w:val="20"/>
          <w:szCs w:val="20"/>
          <w:color w:val="auto"/>
        </w:rPr>
      </w:pPr>
      <w:r>
        <w:rPr>
          <w:rFonts w:ascii="Arial" w:cs="Arial" w:eastAsia="Arial" w:hAnsi="Arial"/>
          <w:sz w:val="18"/>
          <w:szCs w:val="18"/>
          <w:color w:val="auto"/>
        </w:rPr>
        <w:t>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70" w:name="page71"/>
    <w:bookmarkEnd w:id="7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color w:val="auto"/>
        </w:rPr>
        <w:t>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 Indonesia, Latin America. In addition, we have developed a series of credit card solutions in order to meet the needs of our clients better.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years ended June 30, 2017 and 2016, revenues from our IT consulting services were approximately USD$29.1 million and USD$28.0 million, respectively. Revenues from our IT consulting services accounted for 92.9% and 96.5% of our total revenues in fiscal 2017 and 2016, respectively. For the six months ended December 31, 2017 and 2016, revenues from our IT consulting services were approximately USD$21.6 million and USD$13.3 million, respectively. Revenues from our IT consulting services accounted for 97.4% and 92.7% of our total revenues for the six months ended December 31,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tour ability to offer our clients creative solution design, especially in the areas of new information technology such as blockchain.</w:t>
      </w:r>
    </w:p>
    <w:p>
      <w:pPr>
        <w:spacing w:after="0" w:line="187" w:lineRule="exact"/>
        <w:rPr>
          <w:sz w:val="20"/>
          <w:szCs w:val="20"/>
          <w:color w:val="auto"/>
        </w:rPr>
      </w:pPr>
    </w:p>
    <w:p>
      <w:pPr>
        <w:ind w:right="60" w:firstLine="630"/>
        <w:spacing w:after="0" w:line="302" w:lineRule="auto"/>
        <w:rPr>
          <w:sz w:val="20"/>
          <w:szCs w:val="20"/>
          <w:color w:val="auto"/>
        </w:rPr>
      </w:pPr>
      <w:r>
        <w:rPr>
          <w:rFonts w:ascii="Arial" w:cs="Arial" w:eastAsia="Arial" w:hAnsi="Arial"/>
          <w:sz w:val="16"/>
          <w:szCs w:val="16"/>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54" w:lineRule="exact"/>
        <w:rPr>
          <w:sz w:val="20"/>
          <w:szCs w:val="20"/>
          <w:color w:val="auto"/>
        </w:rPr>
      </w:pPr>
    </w:p>
    <w:p>
      <w:pPr>
        <w:ind w:right="20" w:firstLine="630"/>
        <w:spacing w:after="0" w:line="264" w:lineRule="auto"/>
        <w:rPr>
          <w:sz w:val="20"/>
          <w:szCs w:val="20"/>
          <w:color w:val="auto"/>
        </w:rPr>
      </w:pPr>
      <w:r>
        <w:rPr>
          <w:rFonts w:ascii="Arial" w:cs="Arial" w:eastAsia="Arial" w:hAnsi="Arial"/>
          <w:sz w:val="18"/>
          <w:szCs w:val="18"/>
          <w:color w:val="auto"/>
        </w:rPr>
        <w:t>We have been working with a number of Chinese domestic banks to assist them in leveraging blockchain technology. Using this technology, a loyalty reward solution was developed allowing domestic banks to track and trace transactions in real-time. It was recently implemented in Jiangnan Rural Commercial Bank. Also, the pilot phase of this solution was completed for Taicang Rural Commercial Bank.</w:t>
      </w:r>
    </w:p>
    <w:p>
      <w:pPr>
        <w:spacing w:after="0" w:line="181" w:lineRule="exact"/>
        <w:rPr>
          <w:sz w:val="20"/>
          <w:szCs w:val="20"/>
          <w:color w:val="auto"/>
        </w:rPr>
      </w:pPr>
    </w:p>
    <w:p>
      <w:pPr>
        <w:ind w:right="180" w:firstLine="630"/>
        <w:spacing w:after="0" w:line="257" w:lineRule="auto"/>
        <w:rPr>
          <w:sz w:val="20"/>
          <w:szCs w:val="20"/>
          <w:color w:val="auto"/>
        </w:rPr>
      </w:pPr>
      <w:r>
        <w:rPr>
          <w:rFonts w:ascii="Arial" w:cs="Arial" w:eastAsia="Arial" w:hAnsi="Arial"/>
          <w:sz w:val="18"/>
          <w:szCs w:val="18"/>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w:t>
      </w:r>
    </w:p>
    <w:p>
      <w:pPr>
        <w:spacing w:after="0" w:line="188" w:lineRule="exact"/>
        <w:rPr>
          <w:sz w:val="20"/>
          <w:szCs w:val="20"/>
          <w:color w:val="auto"/>
        </w:rPr>
      </w:pPr>
    </w:p>
    <w:p>
      <w:pPr>
        <w:ind w:right="60" w:firstLine="630"/>
        <w:spacing w:after="0" w:line="277" w:lineRule="auto"/>
        <w:rPr>
          <w:sz w:val="20"/>
          <w:szCs w:val="20"/>
          <w:color w:val="auto"/>
        </w:rPr>
      </w:pPr>
      <w:r>
        <w:rPr>
          <w:rFonts w:ascii="Arial" w:cs="Arial" w:eastAsia="Arial" w:hAnsi="Arial"/>
          <w:sz w:val="18"/>
          <w:szCs w:val="18"/>
          <w:color w:val="auto"/>
        </w:rPr>
        <w:t>We will continue to develop our new IT solutions to meet the evolving needs of our Chinese and global financial institutional clientele drawing upon the forward-looking research of our R&amp;D center.</w:t>
      </w:r>
    </w:p>
    <w:p>
      <w:pPr>
        <w:spacing w:after="0" w:line="170" w:lineRule="exact"/>
        <w:rPr>
          <w:sz w:val="20"/>
          <w:szCs w:val="20"/>
          <w:color w:val="auto"/>
        </w:rPr>
      </w:pPr>
    </w:p>
    <w:p>
      <w:pPr>
        <w:ind w:right="80" w:firstLine="630"/>
        <w:spacing w:after="0" w:line="257" w:lineRule="auto"/>
        <w:rPr>
          <w:sz w:val="20"/>
          <w:szCs w:val="20"/>
          <w:color w:val="auto"/>
        </w:rPr>
      </w:pPr>
      <w:r>
        <w:rPr>
          <w:rFonts w:ascii="Arial" w:cs="Arial" w:eastAsia="Arial" w:hAnsi="Arial"/>
          <w:sz w:val="18"/>
          <w:szCs w:val="18"/>
          <w:color w:val="auto"/>
        </w:rPr>
        <w:t>For the years ended June 30, 2017 and 2016, revenues from our customized IT solution services were approximately USD$1.8 million and USD$0.9 million, respectively. Revenues from our customized IT solution service accounted for 5.9% and 3.2% of our total revenues in fiscal years 2017 and 2016, respectively. For the six months ended December 31, 2017 and 2016, revenues from our customized IT solution services were approximately USD$0.5 million and USD$0.8 million, respectively. Revenues from our customized IT solution service accounted for 2.4% and 5.3% of our total revenues for the six months ended December 31, 2017 and 2016,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training platform for IT talents owned by CLPS. For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developed and intend to implement the following strategies to expand and grow the size of our Company:</w:t>
      </w:r>
    </w:p>
    <w:p>
      <w:pPr>
        <w:spacing w:after="0" w:line="225" w:lineRule="exact"/>
        <w:rPr>
          <w:sz w:val="20"/>
          <w:szCs w:val="20"/>
          <w:color w:val="auto"/>
        </w:rPr>
      </w:pPr>
    </w:p>
    <w:p>
      <w:pPr>
        <w:ind w:firstLine="656"/>
        <w:spacing w:after="0" w:line="255"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Grow revenue with existing and new clients </w:t>
      </w:r>
      <w:r>
        <w:rPr>
          <w:rFonts w:ascii="Arial" w:cs="Arial" w:eastAsia="Arial" w:hAnsi="Arial"/>
          <w:sz w:val="18"/>
          <w:szCs w:val="18"/>
          <w:color w:val="auto"/>
        </w:rPr>
        <w:t>- We intend to pursue additional revenue opportunities from existing Chinese and global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193" w:lineRule="exact"/>
        <w:rPr>
          <w:rFonts w:ascii="Arial" w:cs="Arial" w:eastAsia="Arial" w:hAnsi="Arial"/>
          <w:sz w:val="18"/>
          <w:szCs w:val="18"/>
          <w:color w:val="auto"/>
        </w:rPr>
      </w:pPr>
    </w:p>
    <w:p>
      <w:pPr>
        <w:ind w:right="20" w:firstLine="656"/>
        <w:spacing w:after="0" w:line="276"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research and development, deepen domain expertise and develop specific solutions for target industry verticals </w:t>
      </w:r>
      <w:r>
        <w:rPr>
          <w:rFonts w:ascii="Arial" w:cs="Arial" w:eastAsia="Arial" w:hAnsi="Arial"/>
          <w:sz w:val="17"/>
          <w:szCs w:val="17"/>
          <w:color w:val="auto"/>
        </w:rPr>
        <w:t>- We will</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72" w:lineRule="exact"/>
        <w:rPr>
          <w:rFonts w:ascii="Arial" w:cs="Arial" w:eastAsia="Arial" w:hAnsi="Arial"/>
          <w:sz w:val="17"/>
          <w:szCs w:val="17"/>
          <w:color w:val="auto"/>
        </w:rPr>
      </w:pPr>
    </w:p>
    <w:p>
      <w:pPr>
        <w:ind w:right="80" w:firstLine="656"/>
        <w:spacing w:after="0" w:line="269" w:lineRule="auto"/>
        <w:tabs>
          <w:tab w:leader="none" w:pos="111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invest in training and development of our world-class human capital base </w:t>
      </w:r>
      <w:r>
        <w:rPr>
          <w:rFonts w:ascii="Arial" w:cs="Arial" w:eastAsia="Arial" w:hAnsi="Arial"/>
          <w:sz w:val="17"/>
          <w:szCs w:val="17"/>
          <w:color w:val="auto"/>
        </w:rPr>
        <w:t>- We place a high priority on attracting,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and retaining our human capital base to be increasingly competitive.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College,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The strength of our TCP/TDP program adds to our recognition in the industry by competitors and customers alike.</w:t>
      </w:r>
    </w:p>
    <w:p>
      <w:pPr>
        <w:spacing w:after="0" w:line="182" w:lineRule="exact"/>
        <w:rPr>
          <w:rFonts w:ascii="Arial" w:cs="Arial" w:eastAsia="Arial" w:hAnsi="Arial"/>
          <w:sz w:val="17"/>
          <w:szCs w:val="17"/>
          <w:color w:val="auto"/>
        </w:rPr>
      </w:pPr>
    </w:p>
    <w:p>
      <w:pPr>
        <w:ind w:right="20" w:firstLine="656"/>
        <w:spacing w:after="0" w:line="293" w:lineRule="auto"/>
        <w:tabs>
          <w:tab w:leader="none" w:pos="1117"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Drive efficiencies through ongoing improvements in operational excellence </w:t>
      </w:r>
      <w:r>
        <w:rPr>
          <w:rFonts w:ascii="Arial" w:cs="Arial" w:eastAsia="Arial" w:hAnsi="Arial"/>
          <w:sz w:val="16"/>
          <w:szCs w:val="16"/>
          <w:color w:val="auto"/>
        </w:rPr>
        <w:t>- We strive to gain significant operating efficiencies by leveraging</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64" w:lineRule="exact"/>
        <w:rPr>
          <w:rFonts w:ascii="Arial" w:cs="Arial" w:eastAsia="Arial" w:hAnsi="Arial"/>
          <w:sz w:val="16"/>
          <w:szCs w:val="16"/>
          <w:color w:val="auto"/>
        </w:rPr>
      </w:pPr>
    </w:p>
    <w:p>
      <w:pPr>
        <w:ind w:right="120" w:firstLine="656"/>
        <w:spacing w:after="0" w:line="257" w:lineRule="auto"/>
        <w:tabs>
          <w:tab w:leader="none" w:pos="1117"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7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81"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right="180" w:firstLine="656"/>
        <w:spacing w:after="0" w:line="277"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Banking or their China-based IT centers </w:t>
      </w:r>
      <w:r>
        <w:rPr>
          <w:rFonts w:ascii="Arial" w:cs="Arial" w:eastAsia="Arial" w:hAnsi="Arial"/>
          <w:sz w:val="18"/>
          <w:szCs w:val="18"/>
          <w:color w:val="auto"/>
        </w:rPr>
        <w:t>- Citibank, Standard Chartered Bank (China) Ltd., ANZ Bank, Commonwealth Bank of Australia,</w:t>
      </w:r>
      <w:r>
        <w:rPr>
          <w:rFonts w:ascii="Arial" w:cs="Arial" w:eastAsia="Arial" w:hAnsi="Arial"/>
          <w:sz w:val="18"/>
          <w:szCs w:val="18"/>
          <w:i w:val="1"/>
          <w:iCs w:val="1"/>
          <w:color w:val="auto"/>
        </w:rPr>
        <w:t xml:space="preserve"> </w:t>
      </w:r>
      <w:r>
        <w:rPr>
          <w:rFonts w:ascii="Arial" w:cs="Arial" w:eastAsia="Arial" w:hAnsi="Arial"/>
          <w:sz w:val="18"/>
          <w:szCs w:val="18"/>
          <w:color w:val="auto"/>
        </w:rPr>
        <w:t>Bank of Communications.</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Financial Industry </w:t>
      </w:r>
      <w:r>
        <w:rPr>
          <w:rFonts w:ascii="Arial" w:cs="Arial" w:eastAsia="Arial" w:hAnsi="Arial"/>
          <w:sz w:val="17"/>
          <w:szCs w:val="17"/>
          <w:color w:val="auto"/>
        </w:rPr>
        <w:t>- AIA, China Life Insurance, First Data, Haitong Securities, Orient Securities and China Universal Asset Management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120" w:hanging="464"/>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CRIF Information Technology, Experian, AGFA Healthcare and Neusoft.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invested in building a broad sales force and marketing team. As of December 31, 2017, our business development teams consisted of 24 full-time sales and marketing personnel, including 19 sales managers, each of whom is responsible for a designated sales region or client account. We plan to enhance our sales efforts by recruiting more sales personnel both domestically and overseas.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212121"/>
        </w:rPr>
        <w:t>R&amp;D is an integral part of our continued growth. In order to serve our Chinese and global clients’ needs better, we focus on exploring and researching new and advanced technologies and how to best integrate them into our existing and new solutions.</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212121"/>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 chain, big data and cloud native applications. We have developed a loyalty reward solution based on a block 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74" w:name="page75"/>
    <w:bookmarkEnd w:id="7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1,055 employees in fiscal 2016 to 1,487 employees as of November 30, 2017. Approximately 70.3%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primary trademark portfolio consists of 9 registered trademarks (with 5 trademarks currently under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clpsglobal.com.cn, and clpsgroup.com.cn.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19289112</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service; Digital file transfer Teleconference call service</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19289503</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Recorded computer operating programs;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program); Electronic publications (downloadable);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program (downloadable software);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19289341</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analysis; Computer software installation; Computer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consulting</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55"/>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-4681855</wp:posOffset>
            </wp:positionV>
            <wp:extent cx="63436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-3583940</wp:posOffset>
            </wp:positionV>
            <wp:extent cx="634365" cy="2571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677545"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-1388745</wp:posOffset>
            </wp:positionV>
            <wp:extent cx="67754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Application</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40"/>
              <w:spacing w:after="0"/>
              <w:rPr>
                <w:sz w:val="20"/>
                <w:szCs w:val="20"/>
                <w:color w:val="auto"/>
              </w:rPr>
            </w:pPr>
            <w:r>
              <w:rPr>
                <w:rFonts w:ascii="Arial" w:cs="Arial" w:eastAsia="Arial" w:hAnsi="Arial"/>
                <w:sz w:val="18"/>
                <w:szCs w:val="18"/>
                <w:b w:val="1"/>
                <w:bCs w:val="1"/>
                <w:color w:val="auto"/>
              </w:rPr>
              <w:t>Class/Description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00" w:type="dxa"/>
            <w:vAlign w:val="bottom"/>
            <w:tcBorders>
              <w:top w:val="single" w:sz="8" w:color="CCEEFF"/>
            </w:tcBorders>
            <w:shd w:val="clear" w:color="auto" w:fill="CCEEFF"/>
          </w:tcPr>
          <w:p>
            <w:pPr>
              <w:spacing w:after="0"/>
              <w:rPr>
                <w:sz w:val="17"/>
                <w:szCs w:val="17"/>
                <w:color w:val="auto"/>
              </w:rPr>
            </w:pPr>
          </w:p>
        </w:tc>
        <w:tc>
          <w:tcPr>
            <w:tcW w:w="4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Class 35: Advertising; Advertising agency Advertising</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ChinaLink</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space rental; Online advertising on the computer network;</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Advertisement layout design; Business management</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assistance; Business inquiry; Business information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agency; Business management and organization</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consulting; Business management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19289214</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 and organize general meeting; Arrange and</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organize symposium; Arrange and organize training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classes</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19289175</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Class 42: Technical research; Research or develop new</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design; Computer hardware design and</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consulting; Computer software rental;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software maintenance; Computer system</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analysis; Computer software installation; Computer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consulting</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19289492</w:t>
            </w:r>
          </w:p>
        </w:tc>
        <w:tc>
          <w:tcPr>
            <w:tcW w:w="100" w:type="dxa"/>
            <w:vAlign w:val="bottom"/>
            <w:shd w:val="clear" w:color="auto" w:fill="CCEEFF"/>
          </w:tcPr>
          <w:p>
            <w:pPr>
              <w:spacing w:after="0"/>
              <w:rPr>
                <w:sz w:val="17"/>
                <w:szCs w:val="17"/>
                <w:color w:val="auto"/>
              </w:rPr>
            </w:pPr>
          </w:p>
        </w:tc>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38: Information transmission; Computer terminal</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global computer network; Telecommunications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service; Digital file transfer; Teleconference call service</w:t>
            </w: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2"/>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19289420</w:t>
            </w:r>
          </w:p>
        </w:tc>
        <w:tc>
          <w:tcPr>
            <w:tcW w:w="100" w:type="dxa"/>
            <w:vAlign w:val="bottom"/>
          </w:tcPr>
          <w:p>
            <w:pPr>
              <w:spacing w:after="0"/>
              <w:rPr>
                <w:sz w:val="17"/>
                <w:szCs w:val="17"/>
                <w:color w:val="auto"/>
              </w:rPr>
            </w:pPr>
          </w:p>
        </w:tc>
        <w:tc>
          <w:tcPr>
            <w:tcW w:w="4320" w:type="dxa"/>
            <w:vAlign w:val="bottom"/>
            <w:gridSpan w:val="2"/>
          </w:tcPr>
          <w:p>
            <w:pPr>
              <w:spacing w:after="0" w:line="201" w:lineRule="exact"/>
              <w:rPr>
                <w:sz w:val="20"/>
                <w:szCs w:val="20"/>
                <w:color w:val="auto"/>
              </w:rPr>
            </w:pPr>
            <w:r>
              <w:rPr>
                <w:rFonts w:ascii="Arial" w:cs="Arial" w:eastAsia="Arial" w:hAnsi="Arial"/>
                <w:sz w:val="18"/>
                <w:szCs w:val="18"/>
                <w:color w:val="auto"/>
              </w:rPr>
              <w:t>Class 41: Teaching; Education; Training; Practical</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ChinaLink</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training (demonstration); Employment guidance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(education or training consultants); Arrange and organize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Services Co., Ltd</w:t>
            </w: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academic seminars; Arrange and organize meetings;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Arrange and organize general meeting; Arrange and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organize symposium; Arrange and organize training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classes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55"/>
        </w:trPr>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-5641975</wp:posOffset>
            </wp:positionV>
            <wp:extent cx="634365"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-4681855</wp:posOffset>
            </wp:positionV>
            <wp:extent cx="63436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-3583940</wp:posOffset>
            </wp:positionV>
            <wp:extent cx="63436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436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677545"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545" cy="27432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-1388745</wp:posOffset>
            </wp:positionV>
            <wp:extent cx="677545"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545" cy="2743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CLPS HR Management Platform Software</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2009SR015975</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29th April 2009</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3"/>
              </w:rPr>
              <w:t>CLPS Food and Beverage Report Analysis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6"/>
              </w:rPr>
              <w:t>and 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Apparel Industry POS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Express Information Interactive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2009SR060112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CLPS Chain Store Information Interactive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2009SR060108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CLPS Project Analysis and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2009SR060169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28th December 2009</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Payroll Accounting System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Fast Moving Consumer Goods</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2010SR043561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Frontline Staff Management Platform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Staff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2010SR043562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2"/>
              </w:rPr>
              <w:t>25th August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Coal Mining Enterprise Information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2010SR045449</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System Management Platform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CLPS Campus Expense Card Web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2010SR045441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1st September 2010</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CLPS Campus Expense Card Bathroom</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2010SR045444</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1st September 2010</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Service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Machinery Industry ERP</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2010SR045802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2nd September 2010</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Assignment and Task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2011SR076863</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25th October 2011</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Assignment and Task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Marketing Assistant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2012SR096727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Outsourcing Service Staff</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System Platform Software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Outsourcing Service Staff System</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2012SR096731</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Logistics Terminal Distribution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2012SR096668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15th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Platform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HR Background Support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2012SR098440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System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HR Management System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2012SR098429</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Software(short name: HR management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system)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7"/>
              </w:rPr>
              <w:t>CLPS Outsourcing Service Staff Resume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2012SR098687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19th October 2012</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Entry System Platform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Document Business</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2013SR054800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5th June 2013</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Document Management)V1.0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82"/>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Monetary Transaction</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2013SR054796</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5th June 2013</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(short name: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Monetary Transaction Management) V1.0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Expense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2014SR168125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CLPS Bank Repayment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Point Accumulative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Interest Process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2014SR168136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Credit Application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2014SR168138</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1"/>
              </w:rPr>
              <w:t>4th November 2014</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Risk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2015SR028695</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Account Establishment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2015SR029015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and Card Making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Customer Service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2015SR029012</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Credit Card Cleaning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2015SR028884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Authorization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2015SR028914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10th February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9"/>
              </w:rPr>
              <w:t>CLPS Mortgage Loan Plan Spreadsheet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Tool Software (short name: loan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spreadsheet) 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Product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2015SR198610</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Deposit and Withdrawal</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2015SR198176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Services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Loan Application</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2015SR198654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6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CLPS Bank Repayment Management</w:t>
            </w:r>
          </w:p>
        </w:tc>
        <w:tc>
          <w:tcPr>
            <w:tcW w:w="12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2015SR198649</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16th October 2015</w:t>
            </w: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6"/>
              </w:rPr>
              <w:t>CLPS Bank Exchange Rate Management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2015SR198774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CLPS Bank Interest Settlement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2015SR198246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Foreign Exchange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2015SR198240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16th October 2015</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Transaction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Bank Investment Management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2016SR376924</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16th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Business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Bank Big Data Decision-making</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2016SR382920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20th December 2016</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Platform Customer Portrayal Software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V1.0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Services Ca,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Internet Financial Cloud Mobile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2016SR398821</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27th December 2016</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Professional</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Services 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Wantong Calculas Mall Software</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2017SR118507</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6"/>
              </w:rPr>
              <w:t>CLPS Beijing</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Hengtong 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RcRules Engine Software</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2017SR169307</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3"/>
              </w:rPr>
              <w:t>9th May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Internet Financing Collection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7"/>
              </w:rPr>
              <w:t>2017SR119266</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Points Management Platform</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7"/>
              </w:rPr>
              <w:t>2017SR119078</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17th April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Full-web Order Receiving Unified</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2017SR202535</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CLPS Ruicheng Co.,</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24th May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Platform Management Software V2.0</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rPr>
              <w:t>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655"/>
        </w:trPr>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Country of</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1"/>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Software Name</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Current Owner</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Approval 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3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Quanxi Intelligent Marketing</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2017SR565576</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13th October 2017</w:t>
            </w: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Platform Clients Growth Center Software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V2.0</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Recruitment Intelligent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2017SR646712</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Intelligent Online Training Test</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2017SR646507</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Instructional Management Software V1.0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Internet Qinqin Loan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2017SR647634</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Background Management Software V1.0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2017SR645676</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Background Management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Talent Information</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2017SR645650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Intelligent Mangement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2"/>
        </w:trPr>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Credit Card Big Data Integrated</w:t>
            </w:r>
          </w:p>
        </w:tc>
        <w:tc>
          <w:tcPr>
            <w:tcW w:w="17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89"/>
              </w:rPr>
              <w:t>2017SR645763</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Management Background Software V2.0</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CLPS Enterprise Recruitment Intelligent</w:t>
            </w: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China</w:t>
            </w:r>
          </w:p>
        </w:tc>
        <w:tc>
          <w:tcPr>
            <w:tcW w:w="17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89"/>
              </w:rPr>
              <w:t>2017SR647190</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7"/>
              </w:rPr>
              <w:t>ChinaLink</w:t>
            </w: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24th November 2017</w:t>
            </w:r>
          </w:p>
        </w:tc>
        <w:tc>
          <w:tcPr>
            <w:tcW w:w="1360" w:type="dxa"/>
            <w:vAlign w:val="bottom"/>
          </w:tcPr>
          <w:p>
            <w:pPr>
              <w:jc w:val="center"/>
              <w:spacing w:after="0" w:line="201" w:lineRule="exact"/>
              <w:rPr>
                <w:sz w:val="20"/>
                <w:szCs w:val="20"/>
                <w:color w:val="auto"/>
              </w:rPr>
            </w:pPr>
            <w:r>
              <w:rPr>
                <w:rFonts w:ascii="Arial" w:cs="Arial" w:eastAsia="Arial" w:hAnsi="Arial"/>
                <w:sz w:val="18"/>
                <w:szCs w:val="18"/>
                <w:color w:val="auto"/>
                <w:w w:val="87"/>
              </w:rPr>
              <w:t>Registered</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Cooperation Platform Software V2.0</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Professional Services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 Ltd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right="160" w:firstLine="648"/>
        <w:spacing w:after="0" w:line="280" w:lineRule="auto"/>
        <w:rPr>
          <w:sz w:val="20"/>
          <w:szCs w:val="20"/>
          <w:color w:val="auto"/>
        </w:rPr>
      </w:pPr>
      <w:r>
        <w:rPr>
          <w:rFonts w:ascii="Arial" w:cs="Arial" w:eastAsia="Arial" w:hAnsi="Arial"/>
          <w:sz w:val="18"/>
          <w:szCs w:val="18"/>
          <w:color w:val="auto"/>
        </w:rPr>
        <w:t>Our principal executive office is located on the 2nd Floor, Building 18, Shanghai Pudong Software Park 498 Guoshoujing Road, Pudong, Shanghai 201203, PRC. We lease the premises and the lease term expires on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2019.</w:t>
      </w:r>
    </w:p>
    <w:p>
      <w:pPr>
        <w:spacing w:after="0" w:line="4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the Company manages and operates several other facilities. We rent an office space in Tianjin, Shenzhen, Guangzhou, Dalian, Chengdu, Beijing, Australia and Singapore. Rent expenses amounted to $565,328 and $431,043 for the years ended June 30, 2017 and 2016, respectively. Rent expenses amounted to $310,505 and $244,458 for the six months ended December 31, 2017 and 2016, respectively. We believe our facilities are adequate for our current needs.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0"/>
                <w:szCs w:val="20"/>
                <w:color w:val="auto"/>
              </w:rPr>
            </w:pPr>
          </w:p>
        </w:tc>
        <w:tc>
          <w:tcPr>
            <w:tcW w:w="8220" w:type="dxa"/>
            <w:vAlign w:val="bottom"/>
            <w:gridSpan w:val="2"/>
          </w:tcPr>
          <w:p>
            <w:pPr>
              <w:ind w:left="3740"/>
              <w:spacing w:after="0"/>
              <w:rPr>
                <w:sz w:val="20"/>
                <w:szCs w:val="20"/>
                <w:color w:val="auto"/>
              </w:rPr>
            </w:pPr>
            <w:r>
              <w:rPr>
                <w:rFonts w:ascii="Arial" w:cs="Arial" w:eastAsia="Arial" w:hAnsi="Arial"/>
                <w:sz w:val="18"/>
                <w:szCs w:val="18"/>
                <w:b w:val="1"/>
                <w:bCs w:val="1"/>
                <w:color w:val="auto"/>
              </w:rPr>
              <w:t>Address</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Space (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Shanghai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2nd Floor, Building 18, Shanghai Pudong Software Park, 498 Guoshoujing Road, Pudong District, Shanghai,</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Tianjin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W5-C1-403-1, 51 West Area of Financial Street, the 3rd Street, Economic Development District, Tianjian,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Shenzhen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 2008, Anhui Building, Shennan Avenue, Futian District, Shenzhen,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Guangzhou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6C03, 377 Tianhe Road, Tianhe District, Guangzhou, Guangdong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Dalian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Room#01-04, 1/F, 1 Huixian Garden, New &amp; High-tech Industrial Park, Dalian, Liaoning Province,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Chengdu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Unit 10, 25/Floor, Tower 2, 88 Jitai 5th Road, Gaoxin District, Chengdu, Sichuan District,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Office</w:t>
            </w:r>
          </w:p>
        </w:tc>
        <w:tc>
          <w:tcPr>
            <w:tcW w:w="834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1/F, Shangke Chuangye Area, Guotou Shangke Building, 111 Huihe South Street, Gaobeidian, Chaoyang</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District, Beijing, PRC</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Australia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Part Tenancy 5, Part Level 9, 276 Flinders Street, Melbourne, VIC, Australia</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Singapore Office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 456 Office, Singapore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Legal Proceedings</w:t>
            </w:r>
          </w:p>
        </w:tc>
        <w:tc>
          <w:tcPr>
            <w:tcW w:w="1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u w:val="single" w:color="auto"/>
          <w:color w:val="auto"/>
        </w:rPr>
        <w:t>Foreign Currency Exchange.</w:t>
      </w:r>
      <w:r>
        <w:rPr>
          <w:rFonts w:ascii="Arial" w:cs="Arial" w:eastAsia="Arial" w:hAnsi="Arial"/>
          <w:sz w:val="17"/>
          <w:szCs w:val="17"/>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8"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5" w:name="page86"/>
    <w:bookmarkEnd w:id="8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executive officers and directors, their ages and the positions held by them: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top w:val="single" w:sz="8" w:color="CCEEFF"/>
            </w:tcBorders>
            <w:shd w:val="clear" w:color="auto" w:fill="CCEEFF"/>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Jian Xu</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Senior Vice President of Operations, Corporate Secretary</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 He Shao (1)(4)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Kewei Huang (2)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Amooi (3)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shd w:val="clear" w:color="auto" w:fill="CCEEFF"/>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07"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Xiao Feng Yang </w:t>
      </w:r>
      <w:r>
        <w:rPr>
          <w:rFonts w:ascii="Arial" w:cs="Arial" w:eastAsia="Arial" w:hAnsi="Arial"/>
          <w:sz w:val="16"/>
          <w:szCs w:val="16"/>
          <w:color w:val="auto"/>
        </w:rPr>
        <w:t>is the chairman, president and director of the Company. Mr. Yang has over 20 years of executive management and operational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the IT services business. From October 2012 to present, Mr. Yang served as chairman and president of ChinaLink. From April 2009 to October 2012, Mr. Yang served as deputy general manager of ADP China to manage the service operation of HR BPO service in China. From June 2002 to April 2009,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54"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a certified public account licensed in the State of Massachusetts.</w:t>
      </w:r>
    </w:p>
    <w:p>
      <w:pPr>
        <w:spacing w:after="0" w:line="189"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 xml:space="preserve">Jian Xu </w:t>
      </w:r>
      <w:r>
        <w:rPr>
          <w:rFonts w:ascii="Arial" w:cs="Arial" w:eastAsia="Arial" w:hAnsi="Arial"/>
          <w:sz w:val="17"/>
          <w:szCs w:val="17"/>
          <w:color w:val="auto"/>
        </w:rPr>
        <w:t>is our senior vice president of operations and corporate secretary. He has been the SVP of Opertions since July 2008. From December 2003</w:t>
      </w:r>
      <w:r>
        <w:rPr>
          <w:rFonts w:ascii="Arial" w:cs="Arial" w:eastAsia="Arial" w:hAnsi="Arial"/>
          <w:sz w:val="17"/>
          <w:szCs w:val="17"/>
          <w:b w:val="1"/>
          <w:bCs w:val="1"/>
          <w:color w:val="auto"/>
        </w:rPr>
        <w:t xml:space="preserve"> </w:t>
      </w:r>
      <w:r>
        <w:rPr>
          <w:rFonts w:ascii="Arial" w:cs="Arial" w:eastAsia="Arial" w:hAnsi="Arial"/>
          <w:sz w:val="17"/>
          <w:szCs w:val="17"/>
          <w:color w:val="auto"/>
        </w:rPr>
        <w:t>to June 2008, Mr. Xu acted as IT consultant and trainer at A-IT Software Co., Ltd. From January 2003 to December 2003, Mr. Xu served as senior software developer at Neusoft Group Co., Ltd. From July 2000 to December 2003, he held the position of senior software developer at two software companies. Mr. Xu holds a Bachelor’s degree in Mechanical and Electronic Engineering from Shenyang University of Technology.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50" w:lineRule="exact"/>
        <w:rPr>
          <w:sz w:val="20"/>
          <w:szCs w:val="20"/>
          <w:color w:val="auto"/>
        </w:rPr>
      </w:pPr>
    </w:p>
    <w:p>
      <w:pPr>
        <w:jc w:val="both"/>
        <w:ind w:right="20" w:firstLine="8"/>
        <w:spacing w:after="0" w:line="254" w:lineRule="auto"/>
        <w:tabs>
          <w:tab w:leader="none" w:pos="1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jc w:val="both"/>
        <w:ind w:right="300"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positions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9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w:t>
      </w:r>
    </w:p>
    <w:p>
      <w:pPr>
        <w:spacing w:after="0" w:line="124"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issues” status.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Our board plays a significant role in our risk oversight. The board makes all relevant Company decisions. As such, it is important for us to have our Chief Executive Officer serve on the board as he plays key roles in the risk oversight or the Company. As a smaller reporting company with a small board of directors, we believe it is appropriate to have the involvement and input of all of our directors in risk oversight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8" w:name="page89"/>
    <w:bookmarkEnd w:id="8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660" w:right="4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Compensation Committee consists of Kathryn Amooi, Kewei Huang and Jin He Shao, with Mr. Huang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Nominating Committee consists of consists of Kathryn Amooi, Kewei Huang and Jin He Shao,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See “Description of Share Capital —Differences in Corporate Law” for additional information on our directors’ fiduciary duties under Cayman Islands law. In fulfilling their duty of care to us, our directors must ensure compliance with our memorandum and articles of association. We have the right to seek damages if a duty owed by our directors is breached.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and powers of our board of directors include, among others:</w:t>
      </w:r>
    </w:p>
    <w:p>
      <w:pPr>
        <w:spacing w:after="0" w:line="225" w:lineRule="exact"/>
        <w:rPr>
          <w:sz w:val="20"/>
          <w:szCs w:val="20"/>
          <w:color w:val="auto"/>
        </w:rPr>
      </w:pPr>
    </w:p>
    <w:p>
      <w:pPr>
        <w:ind w:left="700" w:hanging="32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the payment of donations to religious, charitable, public or other bodies, clubs, funds or associations as deemed advisable;</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700" w:hanging="327"/>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Interested Transactions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Remuneration and Borrowing</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annual compensation paid by us for the years ended June 30, 2017 and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All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Salary</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Compensation</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 Chairman and President (1)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636,872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47,396</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Raymond Ming Hui Lin, CEO and Director (2)</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37,379</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585,402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39,127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3,260,617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3,299,744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Tian van Acken, CFO (3)</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20" w:hanging="332"/>
        <w:spacing w:after="0" w:line="25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Xian Feng Yang Employment Agreement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Xian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1" w:name="page92"/>
    <w:bookmarkEnd w:id="9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his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Equity Incentive Plan</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have adopted a 2017 Equity Incentive Plan (the “Plan”).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No grants have been made under the plan as of the date hereof. The following is a summary of the Plan and is qualified by the full text of the Plan.</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Plan will be administered by our board of directors, or, once constituted, the Compensation Committee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refer to body administering the Plan as the “Committee”).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Number of Shares of Common Shares</w:t>
      </w:r>
      <w:r>
        <w:rPr>
          <w:rFonts w:ascii="Arial" w:cs="Arial" w:eastAsia="Arial" w:hAnsi="Arial"/>
          <w:sz w:val="17"/>
          <w:szCs w:val="17"/>
          <w:color w:val="auto"/>
        </w:rPr>
        <w:t>. The number of common shares that may be issued under the Plan is 2,210,000. Shares issuable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may be authorized but unissued shares or treasury shares. If there is a lapse, forfeiture, expiration, termination or cancellation of any award made under the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Plan may be transferred, except by will, the laws of descent and distribution.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Plan.</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Plan.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9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Plan will be effective and exercisable</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ectPr>
          <w:pgSz w:w="11900" w:h="16838" w:orient="portrait"/>
          <w:cols w:equalWidth="0" w:num="1">
            <w:col w:w="11420"/>
          </w:cols>
          <w:pgMar w:left="240" w:top="226" w:right="239" w:bottom="1440" w:gutter="0" w:footer="0" w:header="0"/>
        </w:sect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2" w:name="page93"/>
    <w:bookmarkEnd w:id="9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Amendment of Award Agreements; Amendment and Termination of the Plan; Term of the Plan</w:t>
      </w:r>
      <w:r>
        <w:rPr>
          <w:rFonts w:ascii="Arial" w:cs="Arial" w:eastAsia="Arial" w:hAnsi="Arial"/>
          <w:sz w:val="18"/>
          <w:szCs w:val="18"/>
          <w:color w:val="auto"/>
        </w:rPr>
        <w:t>. The Committee may amend any award agreement at</w:t>
      </w:r>
      <w:r>
        <w:rPr>
          <w:rFonts w:ascii="Arial" w:cs="Arial" w:eastAsia="Arial" w:hAnsi="Arial"/>
          <w:sz w:val="18"/>
          <w:szCs w:val="18"/>
          <w:i w:val="1"/>
          <w:iCs w:val="1"/>
          <w:color w:val="auto"/>
        </w:rPr>
        <w:t xml:space="preserve"> </w:t>
      </w:r>
      <w:r>
        <w:rPr>
          <w:rFonts w:ascii="Arial" w:cs="Arial" w:eastAsia="Arial" w:hAnsi="Arial"/>
          <w:sz w:val="18"/>
          <w:szCs w:val="18"/>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w:t>
      </w:r>
    </w:p>
    <w:p>
      <w:pPr>
        <w:spacing w:after="0" w:line="18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(This prohibition on repricing without shareholder approval does not apply in case of an equitable adjustment to the awards to reflect changes in the capital structure of the company or similar events.)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awards may be granted under the Plan on or after the tenth anniversary of the effective date of the Plan.</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While currently the Company does not have specific amounts and grantees designated, following the completion of this offering, the Company’s Board of Directors may issue grants permissible under the Plan in such amounts and to such eligible grantees as may be advisable and appropriate in the exercise of the Board’s discretion.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w:t>
      </w:r>
    </w:p>
    <w:p>
      <w:pPr>
        <w:spacing w:after="0" w:line="18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directors may receive such remuneration as our board of directors may determine from time to time. For the services rendered by the independent director in any capacity the company will a cash fee in the amount of USD$1,500 per month.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Other Indemnification Matters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3" w:name="page94"/>
    <w:bookmarkEnd w:id="9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 Our directors received no compensation in 2017.</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and for the six months ended December 31, 2017,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20" w:type="dxa"/>
            <w:vAlign w:val="bottom"/>
          </w:tcPr>
          <w:p>
            <w:pPr>
              <w:ind w:left="660"/>
              <w:spacing w:after="0"/>
              <w:rPr>
                <w:sz w:val="20"/>
                <w:szCs w:val="20"/>
                <w:color w:val="auto"/>
              </w:rPr>
            </w:pPr>
            <w:r>
              <w:rPr>
                <w:rFonts w:ascii="Arial" w:cs="Arial" w:eastAsia="Arial" w:hAnsi="Arial"/>
                <w:sz w:val="18"/>
                <w:szCs w:val="18"/>
                <w:color w:val="auto"/>
                <w:w w:val="95"/>
              </w:rPr>
              <w:t>The balances due to and due from related parties were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55"/>
        </w:trPr>
        <w:tc>
          <w:tcPr>
            <w:tcW w:w="5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of June 30,</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20" w:type="dxa"/>
            <w:vAlign w:val="bottom"/>
            <w:vMerge w:val="restart"/>
          </w:tcPr>
          <w:p>
            <w:pPr>
              <w:spacing w:after="0"/>
              <w:rPr>
                <w:sz w:val="20"/>
                <w:szCs w:val="20"/>
                <w:color w:val="auto"/>
              </w:rPr>
            </w:pPr>
            <w:r>
              <w:rPr>
                <w:rFonts w:ascii="Arial" w:cs="Arial" w:eastAsia="Arial" w:hAnsi="Arial"/>
                <w:sz w:val="18"/>
                <w:szCs w:val="18"/>
                <w:color w:val="auto"/>
              </w:rPr>
              <w:t>Due from related parties: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 shareholder of Judge China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Mr. Xiao Feng Yang, Chairman and President of the Company (ii)</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353,011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Mr. Raymond Ming Hui Lin, CEO of the Company (ii)</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1,094,367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1,447,378</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118,006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60,136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right="6560" w:firstLine="8"/>
        <w:spacing w:after="0" w:line="250"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The amount was subsequently offset with the acquisition payable </w:t>
      </w:r>
      <w:r>
        <w:rPr>
          <w:rFonts w:ascii="Arial" w:cs="Arial" w:eastAsia="Arial" w:hAnsi="Arial"/>
          <w:sz w:val="18"/>
          <w:szCs w:val="18"/>
          <w:color w:val="auto"/>
        </w:rPr>
        <w:t>Due to related parties</w:t>
      </w:r>
    </w:p>
    <w:p>
      <w:pPr>
        <w:spacing w:after="0"/>
        <w:rPr>
          <w:rFonts w:ascii="Arial" w:cs="Arial" w:eastAsia="Arial" w:hAnsi="Arial"/>
          <w:sz w:val="18"/>
          <w:szCs w:val="18"/>
          <w:color w:val="auto"/>
        </w:rPr>
      </w:pPr>
      <w:r>
        <w:rPr>
          <w:rFonts w:ascii="Arial" w:cs="Arial" w:eastAsia="Arial" w:hAnsi="Arial"/>
          <w:sz w:val="18"/>
          <w:szCs w:val="18"/>
          <w:color w:val="auto"/>
        </w:rPr>
        <w:t>Shanghai Qisheng Co., Ltd (“Qisheng”), controlled by the Chairman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0" w:type="dxa"/>
            <w:vAlign w:val="bottom"/>
          </w:tcPr>
          <w:p>
            <w:pPr>
              <w:ind w:left="100"/>
              <w:spacing w:after="0"/>
              <w:rPr>
                <w:sz w:val="20"/>
                <w:szCs w:val="20"/>
                <w:color w:val="auto"/>
              </w:rPr>
            </w:pPr>
            <w:r>
              <w:rPr>
                <w:rFonts w:ascii="Arial" w:cs="Arial" w:eastAsia="Arial" w:hAnsi="Arial"/>
                <w:sz w:val="18"/>
                <w:szCs w:val="18"/>
                <w:color w:val="auto"/>
              </w:rPr>
              <w:t>Company</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7,742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7,222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7,080</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Non-controlling shareholder of CLPS Beijing</w:t>
            </w: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shareholder of JQ</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66,116</w:t>
            </w:r>
          </w:p>
        </w:tc>
      </w:tr>
      <w:tr>
        <w:trPr>
          <w:trHeight w:val="237"/>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Mr. Raymond Ming Hui Lin, CEO of the Company (i)</w:t>
            </w:r>
          </w:p>
        </w:tc>
        <w:tc>
          <w:tcPr>
            <w:tcW w:w="10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1,140,975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1,722,711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854,192</w:t>
            </w:r>
          </w:p>
        </w:tc>
        <w:tc>
          <w:tcPr>
            <w:tcW w:w="100" w:type="dxa"/>
            <w:vAlign w:val="bottom"/>
            <w:tcBorders>
              <w:bottom w:val="single" w:sz="8" w:color="CCEEFF"/>
            </w:tcBorders>
          </w:tcPr>
          <w:p>
            <w:pPr>
              <w:spacing w:after="0"/>
              <w:rPr>
                <w:sz w:val="20"/>
                <w:szCs w:val="20"/>
                <w:color w:val="auto"/>
              </w:rPr>
            </w:pPr>
          </w:p>
        </w:tc>
      </w:tr>
      <w:tr>
        <w:trPr>
          <w:trHeight w:val="25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1,148,197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1,729,791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920,373</w:t>
            </w:r>
          </w:p>
        </w:tc>
      </w:tr>
      <w:tr>
        <w:trPr>
          <w:trHeight w:val="21"/>
        </w:trPr>
        <w:tc>
          <w:tcPr>
            <w:tcW w:w="5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dividends, wages and other benefit to the Company’s executives.</w:t>
      </w:r>
    </w:p>
    <w:p>
      <w:pPr>
        <w:spacing w:after="0" w:line="225" w:lineRule="exact"/>
        <w:rPr>
          <w:rFonts w:ascii="Arial" w:cs="Arial" w:eastAsia="Arial" w:hAnsi="Arial"/>
          <w:sz w:val="18"/>
          <w:szCs w:val="18"/>
          <w:color w:val="auto"/>
        </w:rPr>
      </w:pPr>
    </w:p>
    <w:p>
      <w:pPr>
        <w:ind w:left="340" w:right="30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amounts due from Mr. Yang and Mr. Lin of $353,011 and $1,094,367 as of June 30, 2015, respectively, represented short term loans to them with annual interest of 6% and due on demand. These loans were fully repaid in August 2015. For the years ended June 30, 2016 and 2015, the interest income was $Nil and $107,662, respectively.</w:t>
      </w:r>
    </w:p>
    <w:p>
      <w:pPr>
        <w:spacing w:after="0" w:line="181" w:lineRule="exact"/>
        <w:rPr>
          <w:sz w:val="20"/>
          <w:szCs w:val="20"/>
          <w:color w:val="auto"/>
        </w:rPr>
      </w:pPr>
    </w:p>
    <w:p>
      <w:pPr>
        <w:jc w:val="both"/>
        <w:ind w:right="380" w:firstLine="648"/>
        <w:spacing w:after="0" w:line="279" w:lineRule="auto"/>
        <w:rPr>
          <w:sz w:val="20"/>
          <w:szCs w:val="20"/>
          <w:color w:val="auto"/>
        </w:rPr>
      </w:pPr>
      <w:r>
        <w:rPr>
          <w:rFonts w:ascii="Arial" w:cs="Arial" w:eastAsia="Arial" w:hAnsi="Arial"/>
          <w:sz w:val="17"/>
          <w:szCs w:val="17"/>
          <w:color w:val="auto"/>
        </w:rPr>
        <w:t>On May 17, 2017, the Company entered into a revolving credit facility with China Merchants Bank (“CMB Credit Facility”) which permits the Company to borrow up to approximately $753,100 (RMB 5,000,000) during the period from May 17, 2017 to May 16, 2018. The CMB Credit Facility is guaranteed by the CEO and Chairman and President of the Company as joint guarantors. During the six months ended December 31, 2017, the Company borrowed $1,505,752 (RMB 10,000,000) from CMB Credit Facility which was fully repaid as of December 31, 2017.</w:t>
      </w:r>
    </w:p>
    <w:p>
      <w:pPr>
        <w:spacing w:after="0" w:line="1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with an interest rate at 5.655% per annum expiring June 30, 2018.</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2018, the Company borrowed $1,906,193 (RMB 12,000,000) from China Merchants Bank. These loans are due in May and July 2018.</w:t>
      </w:r>
    </w:p>
    <w:p>
      <w:pPr>
        <w:sectPr>
          <w:pgSz w:w="11900" w:h="16838" w:orient="portrait"/>
          <w:cols w:equalWidth="0" w:num="1">
            <w:col w:w="11420"/>
          </w:cols>
          <w:pgMar w:left="240" w:top="226" w:right="239" w:bottom="73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730" w:gutter="0" w:footer="0" w:header="0"/>
          <w:type w:val="continuous"/>
        </w:sectPr>
      </w:pPr>
    </w:p>
    <w:bookmarkStart w:id="94" w:name="page95"/>
    <w:bookmarkEnd w:id="9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set forth certain information with respect to the beneficial ownership of our common shares and as adjusted to reflect the sale of the common shares offered by us in our initial public offering, for:</w:t>
      </w:r>
    </w:p>
    <w:p>
      <w:pPr>
        <w:spacing w:after="0" w:line="17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common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April 17,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11,290,000 common shares outstanding as of April 17, 2018. Unless otherwise indicated, the address of each beneficial owner listed in the table below is c/o CLPS Incorporation, c/o 2nd Floor, Building 18, Shanghai Pudong Software Park, 498 Guoshoujing Road, Pudong, Shanghai 201203. People’s Republic of China.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Beneficial Ownership</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After Offering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Prior to Offering (1)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Common</w:t>
            </w: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Percentage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Xiao Feng Yang (2)</w:t>
            </w:r>
          </w:p>
        </w:tc>
        <w:tc>
          <w:tcPr>
            <w:tcW w:w="10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Raymond Ming Hui Lin (3)</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Jin He Shao</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Kathryn Amooi</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10,000,000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88.58%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44.29%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49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340" w:right="10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 This calculation also assumes that the underwriters exercise their option to purchase additional shares in full for the purpose of covering over-allotments. See “Underwriting”.</w:t>
      </w:r>
    </w:p>
    <w:p>
      <w:pPr>
        <w:spacing w:after="0" w:line="1" w:lineRule="exact"/>
        <w:rPr>
          <w:rFonts w:ascii="Arial" w:cs="Arial" w:eastAsia="Arial" w:hAnsi="Arial"/>
          <w:sz w:val="18"/>
          <w:szCs w:val="18"/>
          <w:color w:val="auto"/>
        </w:rPr>
      </w:pPr>
    </w:p>
    <w:p>
      <w:pPr>
        <w:ind w:left="340" w:right="120" w:hanging="332"/>
        <w:spacing w:after="0" w:line="25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Xian Feng Yang as its sole shareholder. As such, Mr. Yang is deemed to be the owner of all shares of the Company held by this entity.</w:t>
      </w:r>
    </w:p>
    <w:p>
      <w:pPr>
        <w:spacing w:after="0" w:line="1" w:lineRule="exact"/>
        <w:rPr>
          <w:rFonts w:ascii="Arial" w:cs="Arial" w:eastAsia="Arial" w:hAnsi="Arial"/>
          <w:sz w:val="18"/>
          <w:szCs w:val="18"/>
          <w:color w:val="auto"/>
        </w:rPr>
      </w:pPr>
    </w:p>
    <w:p>
      <w:pPr>
        <w:ind w:left="340" w:right="20" w:hanging="332"/>
        <w:spacing w:after="0" w:line="255"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Vistra Corporate Services Centre, WIskhams Cay II, Road Town, Tortola, VG 1110, British Virgin Islands, with Raymond Ming Hui Lin as its sole shareholder. As such, Mr. Lin is deemed to be the owner of all shares of the Company held by this entity.</w:t>
      </w:r>
    </w:p>
    <w:p>
      <w:pPr>
        <w:spacing w:after="0" w:line="19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As of December 7, 2017, there were 5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5" w:name="page96"/>
    <w:bookmarkEnd w:id="9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are a Cayman Islands company and our affairs are governed by our Memorandum and Articles of Association and Companies Law of the Cayman Islands, which we refer to as the Companies Law below. As of the date hereof, our authorized share capital consists of 100,000,000 common shares with a par value of US$0.0001 per share. As of April 14, 2018, there are 11,290,000 common shares issued and outstanding. The following are summaries of material provisions of our memorandum and articles of association and the Companies Law insofar as they relate to the material terms of our common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All of our outstanding common shares are fully paid and non-assessable. Certificates representing the common shares are issued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form. Our shareholders, whether or not they are non-residents of the Cayman Islands, may freely hold and transfer their common shares in accordance with the Memorandum and Articles of Association.</w:t>
      </w:r>
    </w:p>
    <w:p>
      <w:pPr>
        <w:spacing w:after="0" w:line="181" w:lineRule="exact"/>
        <w:rPr>
          <w:sz w:val="20"/>
          <w:szCs w:val="20"/>
          <w:color w:val="auto"/>
        </w:rPr>
      </w:pPr>
    </w:p>
    <w:p>
      <w:pPr>
        <w:jc w:val="both"/>
        <w:ind w:right="40" w:firstLine="648"/>
        <w:spacing w:after="0" w:line="308"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The holders of our common shares are entitled to such dividends as may be declared by our board of directors. Our articles of association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our board of directors may declare and pay dividends if justified by our financial position and permitted by law.</w:t>
      </w:r>
    </w:p>
    <w:p>
      <w:pPr>
        <w:spacing w:after="0" w:line="147" w:lineRule="exact"/>
        <w:rPr>
          <w:sz w:val="20"/>
          <w:szCs w:val="20"/>
          <w:color w:val="auto"/>
        </w:rPr>
      </w:pPr>
    </w:p>
    <w:p>
      <w:pPr>
        <w:jc w:val="center"/>
        <w:ind w:right="60"/>
        <w:spacing w:after="0" w:line="285"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In respect of all matters subject to a shareholders’ vote, each common share is entitled to one vote. Voting at any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is by show of hands unless voting by way of a poll is required by the rules of any stock exchange on which our shares are listed for trading, or a poll is demanded by the chairman of such meeting or one or more shareholders holding not less than 10% of the total voting rights of all shareholders having the right to vote at the meeting. A quorum required for a meeting of shareholders consists of one shareholder who holds at least one-third of our issued voting shares. Shareholders’ meetings may be held annually. Each general meeting, other than an annual general meeting, shall be an extraordinary general meeting.</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Extraordinary general meetings may be called by a majority of our board of directors or upon a requisition of shareholders holding at the date of deposit of the requisition not less than 40% of the aggregate share capital of our company that carries the right to vote at a general meeting, in which case an advance notice of at least 120 clear days is required for the convening of our annual general meeting and other general meetings by requisition of the shareholders. An ordinary resolution to be passed at a meeting by the shareholders requires the affirmative vote of a simple majority of the votes attaching to the common shares cast at a meeting, while a special resolution requires the affirmative vote of no less than two-thirds of the votes attaching to the common shares cast at a meeting. A special resolution will be required for important matters such as a change of name or making changes to our memorandum and articles of association.</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Transfer of Common Shares. </w:t>
      </w:r>
      <w:r>
        <w:rPr>
          <w:rFonts w:ascii="Arial" w:cs="Arial" w:eastAsia="Arial" w:hAnsi="Arial"/>
          <w:sz w:val="17"/>
          <w:szCs w:val="17"/>
          <w:color w:val="auto"/>
        </w:rPr>
        <w:t>Subject to the restrictions set out below, any of our shareholders may transfer all or any of his or her common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an instrument of transfer in the usual or common form or any other form approved by our board of directors. Our board of directors may, in its absolute discretion, decline to register any transfer of any common share irrespective of whether the shares is fully paid or the Company has no lien over it. If our board of directors refuses to register a transfer, it shall, within two months after the date on which the transfer was lodged, send to each of the transferor and the transferee notice of such refusal. Upon completion of this offering, we intend to waive our right to refuse transfers of any common shares. The registration of transfers may, after compliance with any notice required of the stock exchange on which our shares are listed, be suspended at such times and for such periods as our board of directors may determine, provided, however, that the registration of transfers shall not be suspended for more than 30 days in any year as our board of directors may determine.</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Calls on Common Shares and Forfeiture of Common Shares. </w:t>
      </w:r>
      <w:r>
        <w:rPr>
          <w:rFonts w:ascii="Arial" w:cs="Arial" w:eastAsia="Arial" w:hAnsi="Arial"/>
          <w:sz w:val="18"/>
          <w:szCs w:val="18"/>
          <w:color w:val="auto"/>
        </w:rPr>
        <w:t>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common shares in a notice served to such shareholders at least 14 clear days prior to the specified time of payment. The common shares that have been called upon and remain unpaid are subject to forfeiture.</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Redemption of Common Shares. </w:t>
      </w:r>
      <w:r>
        <w:rPr>
          <w:rFonts w:ascii="Arial" w:cs="Arial" w:eastAsia="Arial" w:hAnsi="Arial"/>
          <w:sz w:val="17"/>
          <w:szCs w:val="17"/>
          <w:color w:val="auto"/>
        </w:rPr>
        <w:t>The Companies Law and our memorandum of association permit us to purchase our own shares. In accordance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articles of association and provided the necessary shareholders or board approval have been obtained, we may issue shares on terms that are subject to redemption, at our option or at the option of the holders of these shares, on such terms and in such manner, provided the requirements under the Companies Law have been satisfied, including out of capital, as may be determined by our board of directors.</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common shares have no general right under our articles of association to inspect or obtain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memorandum of association authorizes our board of directors to issue additional common shares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our board of directors shall determine, to the extent of available authorized but unissued shares. Our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8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designation of the series to be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6" w:name="page97"/>
    <w:bookmarkEnd w:id="9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common shares.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memorandum and articles of association may discourage, delay or prevent a change of control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company or management that shareholders may consider favorable, including provisions that authorize our board of directors to issue preference shares in one or more series and to designate the price, rights, preferences, privileges and restrictions of such preference shares without any further vote or action by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 Exclusive Forum Provision</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Our Articles of Association provides that the courts of the Cayman Islands shall be the sole and exclusive forum for (i) any derivative action or proceeding brought on behalf of the Company, (ii) any action asserting a claim of breach of a fiduciary duty owed by any director or officer of the Company to the Company or the Company’s shareholders, (iii) any action asserting a claim against the Company arising pursuant to any provision of the Companies Law, the Memorandum of Association of the Company or the Articles of Association of the Company, and (iv) any action asserting a claim against the Company in respect of shareholders’ rights as shareholders or distributions of dividends. This choice of forum provision may limit a shareholder’s ability to bring a claim in a judicial forum that it finds favorable for disputes with us or our directors, officers or other employees, which may discourage such lawsuits against us and our directors, officers and employees. Alternatively, a court, including a Cayman Islands court, could find these provisions of our Articles of Association to be inapplicable or unenforceable in respect of one or more of the specified types of actions or proceedings, which may require us to incur additional costs associated with resolving such matters in other jurisdictions, which could adversely affect our business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some of the significant differences between the provisions of the Companies Law applicable to us and the laws applicable to companies incorporated in the State of Delaware.</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The Companies Law permits mergers and consolidations between Cayman Islands companies and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consolidated company and the vesting of the undertaking, property and liabilities of such companies to the consolidated company.</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Law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97" w:name="page98"/>
    <w:bookmarkEnd w:id="9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17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arrangement is such that an intelligent and honest man of that class acting in respect of his interest would reasonably approve;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When a take-over offer is made and accepted by holders of not less than 90% of the shares within four months, the offer, or may, within a two-month period conversing on the expiration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to sue for a wrong done to us as a company and as a general rule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181"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 and is therefore incapable of ratification by the shareholders;</w:t>
      </w:r>
    </w:p>
    <w:p>
      <w:pPr>
        <w:spacing w:after="0" w:line="225"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duly effected if authorized by more than a simple majority vote that has not been obtained;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The Companies Law does not limit the extent to which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 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courts are moving towards an objective standard with regard to the required skill and care and these authorities are likely to be followed in the Cayman Islands.</w:t>
      </w:r>
    </w:p>
    <w:p>
      <w:pPr>
        <w:spacing w:after="0" w:line="3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written consent by amendment to its certificate of incorporation. Cayman Islands law and our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Shareholder Proposals. </w:t>
      </w:r>
      <w:r>
        <w:rPr>
          <w:rFonts w:ascii="Arial" w:cs="Arial" w:eastAsia="Arial" w:hAnsi="Arial"/>
          <w:sz w:val="17"/>
          <w:szCs w:val="17"/>
          <w:color w:val="auto"/>
        </w:rPr>
        <w:t>Under the Delaware General Corporation Law, a shareholder has the right to put any proposal before the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 The Companies Law provides shareholders with only limited rights to requisition a general meeting and does not provide shareholders with any right to put any proposal before a general meeting. However, these rights may be provided in articles of association. Our articles of association allow our shareholders holding not less than 40%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Law but our articles of association do not provide for cumulative voting.</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Removal of Directors. </w:t>
      </w:r>
      <w:r>
        <w:rPr>
          <w:rFonts w:ascii="Arial" w:cs="Arial" w:eastAsia="Arial" w:hAnsi="Arial"/>
          <w:sz w:val="18"/>
          <w:szCs w:val="18"/>
          <w:color w:val="auto"/>
        </w:rPr>
        <w:t>Under the Delaware General Corporation Law, a director of a corporation with a may be removed with the approval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the outstanding shares entitled to vote, unless the certificate of incorporation provides otherwise. Under our articles of association, directors may be removed with or without cause, by an ordinary resolution of our shareholders.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Transactions with Interested Shareholders. </w:t>
      </w:r>
      <w:r>
        <w:rPr>
          <w:rFonts w:ascii="Arial" w:cs="Arial" w:eastAsia="Arial" w:hAnsi="Arial"/>
          <w:sz w:val="17"/>
          <w:szCs w:val="17"/>
          <w:color w:val="auto"/>
        </w:rPr>
        <w:t>The Delaware General Corporation Law contains a business combination statute applicable to Delaware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The Companies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8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Dissolution; Winding up. </w:t>
      </w:r>
      <w:r>
        <w:rPr>
          <w:rFonts w:ascii="Arial" w:cs="Arial" w:eastAsia="Arial" w:hAnsi="Arial"/>
          <w:sz w:val="17"/>
          <w:szCs w:val="17"/>
          <w:color w:val="auto"/>
        </w:rPr>
        <w:t>Under the Delaware General Corporation Law, unless the board of directors approves the proposal to dissolve, dissolution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articles of association, our company may be dissolved, liquidated or wound up by a special resolution of our shareholders.</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Variation of Rights of Shares. </w:t>
      </w:r>
      <w:r>
        <w:rPr>
          <w:rFonts w:ascii="Arial" w:cs="Arial" w:eastAsia="Arial" w:hAnsi="Arial"/>
          <w:sz w:val="18"/>
          <w:szCs w:val="18"/>
          <w:color w:val="auto"/>
        </w:rPr>
        <w:t>Under the Delaware General Corporation Law, a corporation may vary the rights of a class of shares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of such class, unless the certificate of incorporation provides otherwise. Under the Companies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separate general meeting of the holders of the shares of that class.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Amendment of Governing Documents. </w:t>
      </w:r>
      <w:r>
        <w:rPr>
          <w:rFonts w:ascii="Arial" w:cs="Arial" w:eastAsia="Arial" w:hAnsi="Arial"/>
          <w:sz w:val="17"/>
          <w:szCs w:val="17"/>
          <w:color w:val="auto"/>
        </w:rPr>
        <w:t>Under the Delaware General Corporation Law, a corporation’s governing documents may be amended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approval of a majority of the outstanding shares entitled to vote, unless the certificate of incorporation provides otherwise. As permitted by the Companies Law, our memorandum and articles of association may only be amended with a special resolution of our shareholders.</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Rights of Non-resident or Foreign Shareholders. </w:t>
      </w:r>
      <w:r>
        <w:rPr>
          <w:rFonts w:ascii="Arial" w:cs="Arial" w:eastAsia="Arial" w:hAnsi="Arial"/>
          <w:sz w:val="18"/>
          <w:szCs w:val="18"/>
          <w:color w:val="auto"/>
        </w:rPr>
        <w:t>There are no limitations imposed by our memorandum and articles of association on the rights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Future sales of substantial amounts of common shares in the public market after this offering could adversely affect market prices prevailing from time to time and could impair our ability to raise capital through the sale of our equity securities. We are unable to estimate the number of shares that may be sold in the future.</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Upon the completion of this offering, we will have outstanding 13,290,000 shares (or 13,590,000 shares assuming that the underwriters’ over-allotment option is exercised in full). All of the shares sold in this offering will be freely tradable without restriction under the Securities Act unless purchased by one of our affiliates as that term is defined in Rule 144 under the Securities Act, which generally includes directors, officers or 10% stockholders.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w:t>
      </w:r>
    </w:p>
    <w:p>
      <w:pPr>
        <w:spacing w:after="0" w:line="229"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We and our executive officers and directors have agreed with the underwriters not to offer, sell, dispose of or hedge any shares of our common shares, subject to specified limited exceptions and extensions described elsewhere in this prospectus, during the period continuing through the date that is [twelve] months (subject to extension) after the date of this prospectus, except with the prior written consent of Benchmark on behalf of the underwriters. Benchmark in its sole discretion on behalf of the underwriters, may release any of the securities subject to these lock-up agreements at any time without notice. The lock-up period may be extended in the circumstances described under “Underwriting.”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Common shares held by any of our affiliates, as that term is defined in Rule 144 of the Securities Act, as well as shares held by our current stockholders, may be resold only pursuant to further registration under the Securities Act or in transactions that are exempt from registration under the Securities Act. In general, under Rule 144 as currently in effect, beginning 90 days after our Form F-1 Registration Statement becomes effective, any of our affiliates would be entitled to sell, without further registration, within any three-month period a number of shares that does not exceed the greater of:</w:t>
      </w:r>
    </w:p>
    <w:p>
      <w:pPr>
        <w:spacing w:after="0" w:line="154"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common shares then outstanding, which will equal approximately shares immediately after this offering;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average weekly trading volume of the common shares during the four calendar weeks preceding the filing of a Form 144 with respect to the sale.</w:t>
      </w:r>
    </w:p>
    <w:p>
      <w:pPr>
        <w:spacing w:after="0" w:line="24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Sales under Rule 144 by our affiliates will also be subject to manner of sale provisions and notice requirements and to the availability of current public information about us.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prospectus, all of which are subject to change. This summary does not deal with all possible tax consequences relating to an investment in our common shares, such as the tax consequences under state, local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7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common shares. The discussion below of the U.S. federal income tax consequences to “U.S. Holders” will apply to a beneficial owner of our shares that is for U.S. federal income tax purposes:</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 The U.S. federal income tax consequences applicable to Non-U.S. Holders is described below under the heading “Tax Consequences to Non-U.S. Holders of Common Shares.”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(see “— Taxation on the Disposition of Common Shares” below)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8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Under these rules,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25" w:lineRule="exact"/>
        <w:rPr>
          <w:rFonts w:ascii="Arial" w:cs="Arial" w:eastAsia="Arial" w:hAnsi="Arial"/>
          <w:sz w:val="18"/>
          <w:szCs w:val="18"/>
          <w:color w:val="auto"/>
        </w:rPr>
      </w:pPr>
    </w:p>
    <w:p>
      <w:pPr>
        <w:jc w:val="both"/>
        <w:ind w:left="660" w:right="32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6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18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Individual U.S. Holders may be required to report ownership of our common shares and certain related information on their individual federal income tax returns in certain circumstances. Generally, this reporting requirement will apply if (1) the common shares are held in an account of the individual U.S. Holder maintained with a “foreign financial institution” or (2) the common shares are not held in an account maintained with a “financial institution,” as such terms are defined in the Code. The reporting obligation will not apply to an individual, however, unless the total aggregate value of the individual’s foreign financial assets exceeds US$50,000 during a taxable year. For avoidance of doubt, this reporting requirement should not apply to common shares held in an account with a U.S. brokerage firm. Failure to comply with this reporting requirement, if it applies, will result in substantial penalties. In certain circumstances, additional tax and other reporting requirements may apply, and U.S. Holders of our common shares are advised to consult with their own tax advisors concerning all such reporting requirements.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incorporated in the Cayman Islands in order to enjoy the following benefits: (1) political and economic stability; (2) an effective judicial system; (3) a favorable tax system; (4) the absence of exchange control or currency restrictions; and (5) the availability of professional and support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46" w:lineRule="exact"/>
        <w:rPr>
          <w:sz w:val="20"/>
          <w:szCs w:val="20"/>
          <w:color w:val="auto"/>
        </w:rPr>
      </w:pPr>
    </w:p>
    <w:p>
      <w:pPr>
        <w:ind w:right="440" w:firstLine="8"/>
        <w:spacing w:after="0" w:line="323"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Cayman Islands has a less developed body of securities laws as compared to the United States and these securities laws provide significantly less protection to investors; and (2) Cayman Islands companies may not have standing to sue before the federal courts of the United States.</w:t>
      </w:r>
    </w:p>
    <w:p>
      <w:pPr>
        <w:spacing w:after="0" w:line="13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All of our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have appointed Vcorp Services, LLC, located at 25 Robert Pitt Drive, Suite 204, Monsey, NY 10952, as our agent upon whom process may be served in any action brought against us under the securities laws of the United States.</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Ogier, our counsel as to Cayman Islands law, and Hansen &amp; Partners, our counsel as to PRC law, have advised us, respectively, that there is uncertainty as to whether the courts of the Cayman Islands and China, respectively, would:</w:t>
      </w:r>
    </w:p>
    <w:p>
      <w:pPr>
        <w:spacing w:after="0" w:line="170" w:lineRule="exact"/>
        <w:rPr>
          <w:sz w:val="20"/>
          <w:szCs w:val="20"/>
          <w:color w:val="auto"/>
        </w:rPr>
      </w:pPr>
    </w:p>
    <w:p>
      <w:pPr>
        <w:ind w:left="660" w:right="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Ogier has advised us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8" w:name="page109"/>
    <w:bookmarkEnd w:id="10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Hansen &amp; Partners has advised us that the recognition and enforcement of foreign judgments are provided for under PRC Civil Procedure Law. PRC courts may recognize and enforce foreign judgments in accordance with the requirements of PRC Civil Procedure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connection with this offering, we will enter into an underwriting agreement with The Benchmark Company, LLC as representative for the underwriters in this offering. Each underwriter named below has severally agreed to purchase from us, on a firm commitment basis, the number of common shares set forth opposite its name below, at the public offering price, less the underwriting discount set forth on the cover page of this prospectus.</w:t>
      </w:r>
    </w:p>
    <w:p>
      <w:pPr>
        <w:sectPr>
          <w:pgSz w:w="11900" w:h="16838" w:orient="portrait"/>
          <w:cols w:equalWidth="0" w:num="1">
            <w:col w:w="11420"/>
          </w:cols>
          <w:pgMar w:left="240" w:top="226" w:right="239" w:bottom="1440" w:gutter="0" w:footer="0" w:header="0"/>
        </w:sect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Underwriter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27940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9480" w:space="720"/>
            <w:col w:w="1220"/>
          </w:cols>
          <w:pgMar w:left="240" w:top="226"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Benchmark Company,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Cuttone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underwriting agreement will provide that the underwriters are obligated to purchase all of the common shares offered by this prospectus, other than those covered by the over-allotment option, if any common shares are purchased. The underwriters are offering the common shares when, as and if issued to and accepted by them, subject to a number of conditions. These conditions include, among other things, the requirements that no stop order suspending the effectiveness of the registration statement be in effect and that no proceedings for this purpose have been initiated or threatened by the SEC.</w:t>
      </w:r>
    </w:p>
    <w:p>
      <w:pPr>
        <w:spacing w:after="0" w:line="154"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representative of the underwriters has advised us that the underwriters propose to offer our common shares to the public at the offering price set forth on the cover page of this prospectus and to selected dealers at that price less a concession of not more than $[●] per share. The underwriters and selected dealers may re-allow a concession to other dealers, including the underwriters, of not more than $[●] per share. After completion of the public offering of the common shares, the offering price, the concessions to selected dealers and the reallowance to their dealers may be changed by the underwriters.</w:t>
      </w:r>
    </w:p>
    <w:p>
      <w:pPr>
        <w:spacing w:after="0" w:line="15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been advised by the representative of the underwriters that the underwriters intend to make a market in our securities but that they are not obligated to do so and may discontinue making a market at any time without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offering, the underwriters or certain of the securities dealers may distribute prospectuses electronically.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have granted a 45-day option to the underwriters, exercisable one or more times in whole or in part, to purchase up to an additional 300,000 common shares on the same terms as the other shares being purchased by the underwriters from us, underwriting discounts and commissions to cover over-allotments, if any. The underwriters may exercise this option only to cover over-allotments made in connection with this offering. If the underwriters exercise this option in whole or in part, then the underwriters will be committed, subject to the conditions described in the underwriting agreement, to purchase the additional offered securities in proportion to each of their commitments set forth in the prior table.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Underwriters’ Compensation</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Except as disclosed in this prospectus, the underwriters have not received and will not receive from us any other item of compensation or expense in connection with this offering considered by the Financial Industry Regulatory Authority, Inc. (“FINRA”), to be underwriting compensation under its rule of fair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09" w:name="page110"/>
    <w:bookmarkEnd w:id="10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Discount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underwriting discount is equal to the public offering price per share, less the amount paid by the underwriters to us per share. The underwriting discount was determined through an arms’ length negotiation between us and the underwriters.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have agreed to sell the common shares to the underwriters, (i) with respect to sales of common shares to investors introduced by the underwriters in this offering, at the initial offering price of $[●] per share, which represents the initial public offering price of the common shares of common stock set forth on the cover page of this prospectus less a 6.5% underwriting discount; and (ii) with respect to sales of common shares to investors introduced by Company in this offering, at the initial offering price of $[●] per share, which represents the initial public offering price of the common shares of common stock set forth on the cover page of this prospectus less a 4% underwriting discount.</w:t>
      </w:r>
    </w:p>
    <w:p>
      <w:pPr>
        <w:spacing w:after="0" w:line="18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table shows the per share price and total underwriting discounts and commissions to be paid to the underwriters. Such amounts are shown assuming both no exercise and full exercise of the underwriters’ option to purchase 300,000 additional common shares.</w:t>
      </w:r>
    </w:p>
    <w:p>
      <w:pPr>
        <w:spacing w:after="0" w:line="143" w:lineRule="exact"/>
        <w:rPr>
          <w:sz w:val="20"/>
          <w:szCs w:val="20"/>
          <w:color w:val="auto"/>
        </w:rPr>
      </w:pPr>
    </w:p>
    <w:tbl>
      <w:tblPr>
        <w:tblLayout w:type="fixed"/>
        <w:tblInd w:w="608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Total Without</w:t>
            </w:r>
          </w:p>
        </w:tc>
        <w:tc>
          <w:tcPr>
            <w:tcW w:w="10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Total With</w:t>
            </w:r>
          </w:p>
        </w:tc>
      </w:tr>
      <w:tr>
        <w:trPr>
          <w:trHeight w:val="216"/>
        </w:trPr>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Exercise of</w:t>
            </w:r>
          </w:p>
        </w:tc>
      </w:tr>
      <w:tr>
        <w:trPr>
          <w:trHeight w:val="216"/>
        </w:trPr>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Over-</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Per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allotment</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allotment</w:t>
            </w:r>
          </w:p>
        </w:tc>
      </w:tr>
      <w:tr>
        <w:trPr>
          <w:trHeight w:val="234"/>
        </w:trPr>
        <w:tc>
          <w:tcPr>
            <w:tcW w:w="1400" w:type="dxa"/>
            <w:vAlign w:val="bottom"/>
          </w:tcPr>
          <w:p>
            <w:pPr>
              <w:jc w:val="center"/>
              <w:ind w:right="130"/>
              <w:spacing w:after="0"/>
              <w:rPr>
                <w:sz w:val="20"/>
                <w:szCs w:val="20"/>
                <w:color w:val="auto"/>
              </w:rPr>
            </w:pPr>
            <w:r>
              <w:rPr>
                <w:rFonts w:ascii="Arial" w:cs="Arial" w:eastAsia="Arial" w:hAnsi="Arial"/>
                <w:sz w:val="18"/>
                <w:szCs w:val="18"/>
                <w:b w:val="1"/>
                <w:bCs w:val="1"/>
                <w:u w:val="single" w:color="auto"/>
                <w:color w:val="auto"/>
                <w:w w:val="90"/>
              </w:rPr>
              <w:t>Common share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Warrant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option</w:t>
            </w:r>
          </w:p>
        </w:tc>
        <w:tc>
          <w:tcPr>
            <w:tcW w:w="104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option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Discounts &amp; commissions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Non-accountable expense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proceeds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Reimbursement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agreed to pay a non-accountable expense allowance to the underwriters equal to 0.5% of the gross proceeds received in this offering. In addition to the 0.5% non-accountable expense allowance, we have also agreed to pay or reimburse the underwriters for certain of the underwriters’ out-of-pocket expenses relating to the offering, including all reasonable fees and expenses of the underwriters’ outside legal counsel, which shall not exceed $75,000 ($10,000 of which was already paid). All fees already paid shall be reimbursable to us to the extent not actually incurred. Furthermore, pursuant to the underwriting agreement, the underwriters’ obligations are subject to customary conditions, representations and warranties contained in the underwriting agreement, such as receipt by the underwriters of officers’ certificates and legal opinions.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$9.8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Upon the closing of this offering, we have agreed to sell to the underwriters a warrant to purchase: (i) up to 5% of the number of common shares sold to investors introduced by the underwriters in this offering; and (ii) up to 3% of the number of common shares issued to investors identified by us in this offering. The warrant will be exercisable at a per share and warrant exercise price equal to 120% of the public offering price per common share and warrant sold pursuant to this offering, subject to standard anti-dilution adjustments for share splits and similar transactions. The warrant will be exercisable at any time, and from time to time, in whole or in part, during the period from the effective date of the offering, which period shall not extend further than five years from the effective date of the offering in compliance with FINRA Rule 5110(f)(2)(G)(i). The warrant is also exercisable on a cashless basis. The warrants have been deemed compensation by FINRA and are therefore subject to a 180-day lock-up pursuant to FINRA Rule 5110(g)(1). Except as permitted by Rule 5110(g)(1), the underwriters (or permitted assignees under the Rule) will not sell, transfer, assign, pledge, or hypothecate the warrants or the securities underlying the warrants, nor will any, of them engage in any hedging, short sale, derivative, put, or call transaction that would result in the effective economic disposition of the option or the underlying securities for a period of 180 days from the date of effectiveness of the registration statement of which this prospectus forms a part or the commencement of sales under this prospectus. Although the warrants and the underlying common shares have been registered in the registration statement of which this prospectus forms a part, we have also agreed on only one occasion to register all of such underlying common shares at such time as we become eligible to file a resale registration statement on Form F-3. These registration rights apply to all of the securities directly and indirectly issuable upon exercise of the warrants, and shall expire on the fifth anniversary of the effective date of the registration statement of which this prospectus forms a part. We will bear all fees and expenses attendant to registering the securities issuable on exercise of the warrants, other than underwriting commissions incurred and payable by the holders.</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May , 2018, we placed an escrow fund in the amount of USD $200,000 in an escrow account to be released to the underwriters in the connection with the payments of our indemnification pursuant to the underwriting agreement. The escrow account will remain in place for a period of 18 months.</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0" w:name="page111"/>
    <w:bookmarkEnd w:id="11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have agreed with the underwriters that we will not, without the prior consent of The Benchmark Company, LLC, as representative of the underwriters, directly or indirectly sell, offer, contract or grant any option to sell, pledge, transfer, or otherwise dispose of or enter into any transaction which may result in the disposition of any common shares or securities convertible into, exchangeable or exercisable for any common shares (excluding the exercise of certain warrants and or options currently outstanding and exercisable) for a period of [twelve] months after the date of this prospectus.</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each of our executive officers and directors and 5% or more holders of all of our common shares and warrants outstanding prior to the effective date of this offering, have agreed with the underwriters not to directly or indirectly sell, offer, contract or grant any option to sell, pledge, transfer (excluding intra-family transfers, transfers to a trust for estate planning purposes or to beneficiaries of officers, directors and shareholders upon their death), or otherwise dispose of or enter into any transaction which may result in the disposition of any common shares or securities convertible into, exchangeable or exercisable for any common shares, without the prior written consent of The Benchmark Company, LLC, as representative of the underwriters, for a period of six months after the date of this prospectus.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this offering, the underwriters may engage in transactions that stabilize, maintain or otherwise affect the price of our common shares. Specifically, the underwriters may over-allot in connection with this offering by selling more common shares than they are obligated to purchase under the underwriting agreement, creating a short position in our common shares. The short position may be either a covered short position or a naked short position. In a covered short position, the number of shares common of stock over-allotted by the underwriters is not greater than the number of common shares that they may purchase in the over-allotment option. In a naked short position, the number of shares of common shares involved is greater than the number of common shares in the over-allotment option. To close out a short position or to stabilize the price per share of our common shares the underwriters may bid for, and purchase, common shares in the open market. The underwriters may also elect to reduce any short position by exercising all or part of the over-allotment option. In determining the source of common shares to close out the short position, the underwriters will consider, among other things, the price of common share available for purchase in the open market as compared to the price at which it may purchase common shares through the over-allotment option. If the underwriters sell more than could be covered by the over-allotment option, a naked short position, the position can only be closed out by buying common shares in the open market. A naked short position is more likely to be created if the underwriters are concerned that there could be downward pressure on the price of the common shares in the open market after pricing that could adversely affect investors who purchase in the offering.</w:t>
      </w:r>
    </w:p>
    <w:p>
      <w:pPr>
        <w:spacing w:after="0" w:line="16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 has repurchased common shares sold by or for the account of such underwriter in stabilizing or short covering transactions.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Finally, the underwriters may bid for, and purchase, common shares in market making transactions, including “passive” market making transactions as described below.</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foregoing transactions may stabilize or maintain the market price of our common shares at a price that is higher than the price that might otherwise exist in the absence of these activities. The underwriters are not required to engage in these activities, and may discontinue any of these activities at any time without notice. These transactions may be effected on the Nasdaq Capital Market or otherwise.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connection with this offering, the underwriters and selling group members, if any, or their affiliates may engage in passive market making transactions in common shares on the Nasdaq Capital Market immediately prior to the commencement of sales in this offering, in accordance with Rule 103 of Regulation M under the Exchange Act of 1934. Rule 103 generally provides that:</w:t>
      </w:r>
    </w:p>
    <w:p>
      <w:pPr>
        <w:spacing w:after="0" w:line="181" w:lineRule="exact"/>
        <w:rPr>
          <w:sz w:val="20"/>
          <w:szCs w:val="20"/>
          <w:color w:val="auto"/>
        </w:rPr>
      </w:pPr>
    </w:p>
    <w:p>
      <w:pPr>
        <w:ind w:left="660" w:right="2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passive market maker may not effect transactions or display bids for our common share and or warrants in excess of the highest independent bid price by persons who are not passive market makers; net purchases by a passive market maker on each day are generally limited to 30% of the passive market maker’s average daily trading volume in our common share during a specified two-month prior period or 200 shares, whichever is greater, and must be discontinued when that limit is reached;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passive market making bids must be identified as such.</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Passive market making may stabilize or maintain the market price of our common shares at a level above that which might otherwise prevail and, if commenced, may be discontinued at any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common shares offered.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liabilities arising from breaches of representations and warranties contained in the underwriting agreement, or to contribute to payments that the underwriter may be required to make in respect of those liabilities.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Participation in Future Offerings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Until twelve months from the closing of the offering, the underwriters shall have a right of first refusal to act on our behalf as lead or managing underwriters or exclusive financial advisors for any offering of securities, merger, acquisition or similar transaction.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Prior to this offering, there has not been a public market for our common shares. The public offering price of the common shares offered by this prospectus has been determined by negotiation between us and the underwriters. Among the factors considered in determining the public offering price of the common shares were:</w:t>
      </w:r>
    </w:p>
    <w:p>
      <w:pPr>
        <w:spacing w:after="0" w:line="18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history and our prospects;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financial information and historical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industry in which we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status and development prospects for our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experience and skills of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offering price stated on the cover page of this prospectus should not be considered an indication of the actual value of the common shares. That price is subject to change as a result of market conditions and other factors, and we cannot assure you that the common shares can be resold at or above the public offering price.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shares have been approved for listing on The Nasdaq Capital Market under the symbol “CLPS”.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 prospectus in electronic format may be made available on websites or through other online services maintained by the underwriter of this offering, or by its affiliates. Other than the prospectus in electronic format, the information on the underwriters’ website and any information contained in any other website maintained by an underwriter is not part of this prospectus or the registration statement of which this prospectus forms a part, has not been approved and/or endorsed by us or the underwriter in its capacity as underwriter, and should not be relied upon by investors.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underwriters have informed us that they do not expect to confirm sales of our common shares offered by this prospectus to any accounts over which they exercise discretionary authority.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Some of the underwriters and their affiliates may in the future engage in investment banking and other commercial dealings in the ordinary course of business with us or our affiliates. They may in the future receive customary fees and commissions for these transactions.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ectPr>
          <w:pgSz w:w="11900" w:h="16838" w:orient="portrait"/>
          <w:cols w:equalWidth="0" w:num="1">
            <w:col w:w="11380"/>
          </w:cols>
          <w:pgMar w:left="240" w:top="226" w:right="279" w:bottom="1440" w:gutter="0" w:footer="0" w:header="0"/>
        </w:sect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12" w:name="page113"/>
    <w:bookmarkEnd w:id="11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The common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xml:space="preserve"> . Any resale of the common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to investment professionals falling within Article 19(5) of the Financial Services and Markets Act 2000 (Financial Promotion) Order 2005 within, and/or (ii) high net worth entities, and other persons to whom it may lawfully be communicated, falling with Article 49(2)(a) to (d) (all such persons together being referred to as “relevant persons”).</w:t>
      </w:r>
    </w:p>
    <w:p>
      <w:pPr>
        <w:spacing w:after="0" w:line="187" w:lineRule="exact"/>
        <w:rPr>
          <w:sz w:val="20"/>
          <w:szCs w:val="20"/>
          <w:color w:val="auto"/>
        </w:rPr>
      </w:pPr>
    </w:p>
    <w:p>
      <w:pPr>
        <w:jc w:val="both"/>
        <w:ind w:right="700" w:firstLine="648"/>
        <w:spacing w:after="0" w:line="26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who is not a relevant person should not act or rely on this prospectus or any of its contents.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common shares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2" w:lineRule="exact"/>
        <w:rPr>
          <w:sz w:val="20"/>
          <w:szCs w:val="20"/>
          <w:color w:val="auto"/>
        </w:rPr>
      </w:pPr>
    </w:p>
    <w:p>
      <w:pPr>
        <w:ind w:right="20" w:firstLine="8"/>
        <w:spacing w:after="0" w:line="255" w:lineRule="auto"/>
        <w:tabs>
          <w:tab w:leader="none" w:pos="2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the People’s Republic of China</w:t>
      </w:r>
    </w:p>
    <w:p>
      <w:pPr>
        <w:spacing w:after="0" w:line="22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This prospectus may not be circulated or distributed in China and the common shares may not be offered or sold, and will not offer or sell to any person for re-offering or resale directly or indirectly to any resident of China except pursuant to applicable laws, rules and regulations of China. For the purpose of this paragraph only, China does not include Taiwan and the special administrative regions of Hong Kong and Macau.</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common shares may not be offered or sold in Hong Kong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our common shares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to Prospective Investors in Taiwan, the Republic of China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common shares have not been and will not be registered with the Financial Supervisory Commission of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3" w:name="page114"/>
    <w:bookmarkEnd w:id="11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placement discounts and commissions) will be as follows. With the exception of the filing fees for the U.S. Securities Exchange Commission, FINRA and NASDAQ, all amounts are estimates.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Securities and Exchange Commission registration fee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1,669.41</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FINRA filing fee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listing fee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Underwriters out-of-pocket expenses (due diligence, etc.)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92,580</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fees and expenses for Benchmark counsel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Legal fees and expenses for Cayman Islands counsel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Legal fees and expenses for U.S. counsel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Accounting fees and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Investor relations fees and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Website fees and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Financial advisor fees and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ind w:left="40"/>
              <w:spacing w:after="0"/>
              <w:rPr>
                <w:sz w:val="20"/>
                <w:szCs w:val="20"/>
                <w:color w:val="auto"/>
              </w:rPr>
            </w:pPr>
            <w:r>
              <w:rPr>
                <w:rFonts w:ascii="Arial" w:cs="Arial" w:eastAsia="Arial" w:hAnsi="Arial"/>
                <w:sz w:val="18"/>
                <w:szCs w:val="18"/>
                <w:color w:val="auto"/>
              </w:rPr>
              <w:t>Printing fees and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18"/>
                <w:szCs w:val="18"/>
                <w:color w:val="auto"/>
              </w:rPr>
            </w:pPr>
          </w:p>
        </w:tc>
      </w:tr>
      <w:tr>
        <w:trPr>
          <w:trHeight w:val="250"/>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agent and registrar fees and expenses*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723,568.22</w:t>
            </w:r>
          </w:p>
        </w:tc>
        <w:tc>
          <w:tcPr>
            <w:tcW w:w="10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Estimates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matters as to U.S. federal law in connection with this offering will be passed upon for us by Schiff Hardin LLP. The validity of the shares and certain legal matters relating to the offering as to Cayman Islands law will be passed upon for us by Ogier. Certain legal matters relating to the offering as to Chinese law will be passed upon for us by Hansen &amp; Partners of People’s Republic of China. Hunter Taubman Fischer &amp; Li LLC has acted as counsel for the underwriters with respect to this offering.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Financial statements as of June 30, 2017 and 2016, respectively, and for the years then ended appearing in this prospectus, have been included herein and in the registration statement in reliance upon the report of Friedman LLP an independent registered public accounting firm, appearing elsewhere herein, and upon the authority of that firm as experts in accounting and auditing.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We have filed with the SEC a registration statement on Form F-1 under the Securities Act with respect to the common shares offered hereby. This prospectus, which constitutes a part of the registration statement, does not contain all of the information set forth in the registration statement or the exhibits filed therewith. For further information about us and the common shares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closing of our initial public offering, we will be required to file periodic reports (including an annual report on Form 20-F, which we will be required to file within 120 days from the end of each fiscal year),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t>
      </w:r>
      <w:r>
        <w:rPr>
          <w:rFonts w:ascii="Arial" w:cs="Arial" w:eastAsia="Arial" w:hAnsi="Arial"/>
          <w:sz w:val="17"/>
          <w:szCs w:val="17"/>
          <w:i w:val="1"/>
          <w:iCs w:val="1"/>
          <w:color w:val="auto"/>
        </w:rPr>
        <w:t>www.sec.gov.</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right"/>
        <w:ind w:right="2619"/>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07"/>
        </w:trPr>
        <w:tc>
          <w:tcPr>
            <w:tcW w:w="46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5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b w:val="1"/>
                <w:bCs w:val="1"/>
                <w:color w:val="auto"/>
                <w:w w:val="99"/>
              </w:rPr>
              <w:t>CLPS INCORPORATION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60" w:type="dxa"/>
            <w:vAlign w:val="bottom"/>
            <w:gridSpan w:val="2"/>
          </w:tcPr>
          <w:p>
            <w:pPr>
              <w:jc w:val="center"/>
              <w:ind w:right="457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39"/>
        </w:trPr>
        <w:tc>
          <w:tcPr>
            <w:tcW w:w="466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58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3"/>
        </w:trPr>
        <w:tc>
          <w:tcPr>
            <w:tcW w:w="4660" w:type="dxa"/>
            <w:vAlign w:val="bottom"/>
            <w:gridSpan w:val="9"/>
            <w:vMerge w:val="continue"/>
          </w:tcPr>
          <w:p>
            <w:pPr>
              <w:spacing w:after="0"/>
              <w:rPr>
                <w:sz w:val="17"/>
                <w:szCs w:val="17"/>
                <w:color w:val="auto"/>
              </w:rPr>
            </w:pPr>
          </w:p>
        </w:tc>
        <w:tc>
          <w:tcPr>
            <w:tcW w:w="5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8"/>
            <w:shd w:val="clear" w:color="auto" w:fill="CCEEFF"/>
          </w:tcPr>
          <w:p>
            <w:pPr>
              <w:spacing w:after="0" w:line="189" w:lineRule="exact"/>
              <w:rPr>
                <w:rFonts w:ascii="Arial" w:cs="Arial" w:eastAsia="Arial" w:hAnsi="Arial"/>
                <w:sz w:val="18"/>
                <w:szCs w:val="18"/>
                <w:color w:val="0000EE"/>
              </w:rPr>
            </w:pPr>
            <w:hyperlink w:anchor="page117">
              <w:r>
                <w:rPr>
                  <w:rFonts w:ascii="Arial" w:cs="Arial" w:eastAsia="Arial" w:hAnsi="Arial"/>
                  <w:sz w:val="18"/>
                  <w:szCs w:val="18"/>
                  <w:color w:val="0000EE"/>
                </w:rPr>
                <w:t>Report of Independent Registered Public Accounting Firm</w:t>
              </w:r>
            </w:hyperlink>
          </w:p>
        </w:tc>
        <w:tc>
          <w:tcPr>
            <w:tcW w:w="58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Consolidated Balance Sheets</w:t>
              </w:r>
            </w:hyperlink>
          </w:p>
        </w:tc>
        <w:tc>
          <w:tcPr>
            <w:tcW w:w="440" w:type="dxa"/>
            <w:vAlign w:val="bottom"/>
            <w:tcBorders>
              <w:top w:val="single" w:sz="8" w:color="CCEEFF"/>
            </w:tcBorders>
            <w:gridSpan w:val="3"/>
          </w:tcPr>
          <w:p>
            <w:pPr>
              <w:spacing w:after="0"/>
              <w:rPr>
                <w:sz w:val="15"/>
                <w:szCs w:val="15"/>
                <w:color w:val="auto"/>
              </w:rPr>
            </w:pPr>
          </w:p>
        </w:tc>
        <w:tc>
          <w:tcPr>
            <w:tcW w:w="58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2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119">
              <w:r>
                <w:rPr>
                  <w:rFonts w:ascii="Arial" w:cs="Arial" w:eastAsia="Arial" w:hAnsi="Arial"/>
                  <w:sz w:val="18"/>
                  <w:szCs w:val="18"/>
                  <w:color w:val="0000EE"/>
                  <w:w w:val="89"/>
                </w:rPr>
                <w:t>Consolidated Statements of Income and Comprehensive Income</w:t>
              </w:r>
            </w:hyperlink>
          </w:p>
        </w:tc>
        <w:tc>
          <w:tcPr>
            <w:tcW w:w="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8"/>
          </w:tcPr>
          <w:p>
            <w:pPr>
              <w:spacing w:after="0" w:line="17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Consolidated Statements of Changes in Shareholders’ Equity</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w:anchor="page121">
              <w:r>
                <w:rPr>
                  <w:rFonts w:ascii="Arial" w:cs="Arial" w:eastAsia="Arial" w:hAnsi="Arial"/>
                  <w:sz w:val="18"/>
                  <w:szCs w:val="18"/>
                  <w:color w:val="0000EE"/>
                  <w:w w:val="88"/>
                </w:rPr>
                <w:t>Consolidated Statements of Cash Flows</w:t>
              </w:r>
            </w:hyperlink>
          </w:p>
        </w:tc>
        <w:tc>
          <w:tcPr>
            <w:tcW w:w="1780" w:type="dxa"/>
            <w:vAlign w:val="bottom"/>
            <w:tcBorders>
              <w:bottom w:val="single" w:sz="8" w:color="CCEEFF"/>
            </w:tcBorders>
            <w:gridSpan w:val="5"/>
            <w:shd w:val="clear" w:color="auto" w:fill="CCEEFF"/>
          </w:tcPr>
          <w:p>
            <w:pPr>
              <w:spacing w:after="0"/>
              <w:rPr>
                <w:sz w:val="17"/>
                <w:szCs w:val="17"/>
                <w:color w:val="auto"/>
              </w:rPr>
            </w:pPr>
          </w:p>
        </w:tc>
        <w:tc>
          <w:tcPr>
            <w:tcW w:w="58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8"/>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Notes to Consolidated Financial Statements</w:t>
              </w:r>
            </w:hyperlink>
          </w:p>
        </w:tc>
        <w:tc>
          <w:tcPr>
            <w:tcW w:w="586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2"/>
              </w:rPr>
              <w:t>F-8 - F-33</w:t>
            </w: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18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2"/>
          </w:tcPr>
          <w:p>
            <w:pPr>
              <w:jc w:val="center"/>
              <w:ind w:right="455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215640" cy="5746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1564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CLPS Incorporation and Subsidiaries (collectively, the “Company”) as of June 30, 2017 and 2016, and the related consolidated statements of income and comprehensive income, changes in shareholders’ equity, and cash flows for the years then ended. The Company’s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CLPS Incorporation and Subsidiaries as of June 30, 2017 and 2016, and the consolidated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 except for Notes 1, 2, 17, and 18 which are dated March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554990</wp:posOffset>
            </wp:positionV>
            <wp:extent cx="5368290" cy="523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6829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80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6240" w:type="dxa"/>
            <w:vAlign w:val="bottom"/>
          </w:tcPr>
          <w:p>
            <w:pPr>
              <w:jc w:val="center"/>
              <w:ind w:left="1410"/>
              <w:spacing w:after="0"/>
              <w:rPr>
                <w:sz w:val="20"/>
                <w:szCs w:val="20"/>
                <w:color w:val="auto"/>
              </w:rPr>
            </w:pPr>
            <w:r>
              <w:rPr>
                <w:rFonts w:ascii="Arial" w:cs="Arial" w:eastAsia="Arial" w:hAnsi="Arial"/>
                <w:sz w:val="18"/>
                <w:szCs w:val="18"/>
                <w:b w:val="1"/>
                <w:bCs w:val="1"/>
                <w:color w:val="auto"/>
                <w:w w:val="99"/>
              </w:rPr>
              <w:t>CLPS INCORPORATION</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24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As of June 30,</w:t>
            </w:r>
          </w:p>
        </w:tc>
        <w:tc>
          <w:tcPr>
            <w:tcW w:w="100" w:type="dxa"/>
            <w:vAlign w:val="bottom"/>
          </w:tcPr>
          <w:p>
            <w:pPr>
              <w:spacing w:after="0"/>
              <w:rPr>
                <w:sz w:val="22"/>
                <w:szCs w:val="22"/>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8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4,814,568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5,277,196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4,659,037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6,644,774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4,373,489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10,813,479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578,391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260,156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Prepaid income tax</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169,557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134,559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 related parties</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12,325,296</w:t>
            </w: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9,910,841</w:t>
            </w: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16,619,705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273,347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326,820</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417,026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195,080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203,265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114,248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45,141</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74,479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3"/>
          </w:tcPr>
          <w:p>
            <w:pPr>
              <w:spacing w:after="0" w:line="203"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13,521,923</w:t>
            </w:r>
          </w:p>
        </w:tc>
        <w:tc>
          <w:tcPr>
            <w:tcW w:w="1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10,471,529</w:t>
            </w:r>
          </w:p>
        </w:tc>
        <w:tc>
          <w:tcPr>
            <w:tcW w:w="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17,853,399</w:t>
            </w:r>
          </w:p>
        </w:tc>
        <w:tc>
          <w:tcPr>
            <w:tcW w:w="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Accounts payable and other current liabilities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239,165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58,593</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526,861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loans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Tax payables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640,864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428,675</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688,117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97,740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49,612</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779,219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5,392,434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7,190,519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Amounts due to related parties</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1,729,791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1,148,197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920,373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8,210,625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6,264,005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10,985,416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
          </w:tcPr>
          <w:p>
            <w:pPr>
              <w:spacing w:after="0" w:line="201" w:lineRule="exact"/>
              <w:rPr>
                <w:sz w:val="20"/>
                <w:szCs w:val="20"/>
                <w:color w:val="auto"/>
              </w:rPr>
            </w:pPr>
            <w:r>
              <w:rPr>
                <w:rFonts w:ascii="Arial" w:cs="Arial" w:eastAsia="Arial" w:hAnsi="Arial"/>
                <w:sz w:val="18"/>
                <w:szCs w:val="18"/>
                <w:color w:val="auto"/>
                <w:w w:val="90"/>
              </w:rPr>
              <w:t>Common share, $0.0001 par value; 100,000,000 shares authorized; 11,290,000 shares issued and outstanding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as of June 30, 2017 and 2016 and December 31, 2017 *</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7,120,943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7,120,943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7,120,943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Statuary reserves</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680,671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418,722</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905,553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(2,521,285)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(2,984,943)</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(1,414,838)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(447,270)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(352,361)</w:t>
            </w:r>
          </w:p>
        </w:tc>
        <w:tc>
          <w:tcPr>
            <w:tcW w:w="1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(236,819)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4,834,188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4,203,490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6,375,968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Interests</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477,110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5,311,298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4,207,524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6,867,983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13,521,923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10,471,529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17,853,399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5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CLPS INCORPORATION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260" w:type="dxa"/>
            <w:vAlign w:val="bottom"/>
            <w:gridSpan w:val="11"/>
          </w:tcPr>
          <w:p>
            <w:pPr>
              <w:jc w:val="right"/>
              <w:ind w:right="1040"/>
              <w:spacing w:after="0"/>
              <w:rPr>
                <w:sz w:val="20"/>
                <w:szCs w:val="20"/>
                <w:color w:val="auto"/>
              </w:rPr>
            </w:pPr>
            <w:r>
              <w:rPr>
                <w:rFonts w:ascii="Arial" w:cs="Arial" w:eastAsia="Arial" w:hAnsi="Arial"/>
                <w:sz w:val="18"/>
                <w:szCs w:val="18"/>
                <w:b w:val="1"/>
                <w:bCs w:val="1"/>
                <w:color w:val="auto"/>
              </w:rPr>
              <w:t>CONSOLIDATED STATEMENTS OF INCOME AND COMPREHENSIVE 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For the years ended</w:t>
            </w:r>
          </w:p>
        </w:tc>
        <w:tc>
          <w:tcPr>
            <w:tcW w:w="100" w:type="dxa"/>
            <w:vAlign w:val="bottom"/>
          </w:tcPr>
          <w:p>
            <w:pPr>
              <w:spacing w:after="0"/>
              <w:rPr>
                <w:sz w:val="24"/>
                <w:szCs w:val="24"/>
                <w:color w:val="auto"/>
              </w:rPr>
            </w:pPr>
          </w:p>
        </w:tc>
        <w:tc>
          <w:tcPr>
            <w:tcW w:w="25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31,361,976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29,024,178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22,199,995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14,323,938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Less: Cost of revenues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(18,669,812)</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(17,463,416)</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(13,341,978)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(8,483,897)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11,560,762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8,858,017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Selling and marketing</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1,206,493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413,016</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1,132,931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282,618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4,232,788</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3,562,988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2,006,766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5,647,790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4,955,037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3,064,232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3,032,589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10,947,111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7,760,151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gridSpan w:val="2"/>
          </w:tcPr>
          <w:p>
            <w:pPr>
              <w:spacing w:after="0" w:line="203" w:lineRule="exact"/>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613,651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1,097,866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518,068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Subsidies and other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508,187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(10,469)</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(13,213)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2,102,811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2,054,124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1,451,451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970,931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(118,546)</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269,153</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1,784,971</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1,325,391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1,024,973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(41,141)</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gridSpan w:val="2"/>
            <w:vMerge w:val="continue"/>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2,047,445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1,826,112</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1,331,329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1,025,448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(93,177)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231,224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w w:val="96"/>
              </w:rPr>
              <w:t>Less: foreign currency translation gain (loss) attributable to Non-controlling</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1,732</w:t>
            </w: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comprehensive (loss) income attributable to CLPS</w:t>
            </w: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Incorporation’s shareholders</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40"/>
              <w:spacing w:after="0" w:line="271" w:lineRule="exact"/>
              <w:rPr>
                <w:sz w:val="20"/>
                <w:szCs w:val="20"/>
                <w:color w:val="auto"/>
              </w:rPr>
            </w:pPr>
            <w:r>
              <w:rPr>
                <w:rFonts w:ascii="Arial" w:cs="Arial" w:eastAsia="Arial" w:hAnsi="Arial"/>
                <w:sz w:val="16"/>
                <w:szCs w:val="16"/>
                <w:color w:val="auto"/>
              </w:rPr>
              <w:t>(94,909</w:t>
            </w:r>
            <w:r>
              <w:rPr>
                <w:rFonts w:ascii="Arial" w:cs="Arial" w:eastAsia="Arial" w:hAnsi="Arial"/>
                <w:sz w:val="31"/>
                <w:szCs w:val="31"/>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6"/>
                <w:szCs w:val="16"/>
                <w:color w:val="auto"/>
              </w:rPr>
              <w:t>(385,629</w:t>
            </w:r>
            <w:r>
              <w:rPr>
                <w:rFonts w:ascii="Arial" w:cs="Arial" w:eastAsia="Arial" w:hAnsi="Arial"/>
                <w:sz w:val="31"/>
                <w:szCs w:val="31"/>
                <w:color w:val="auto"/>
                <w:vertAlign w:val="superscript"/>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210,451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line="271" w:lineRule="exact"/>
              <w:rPr>
                <w:sz w:val="20"/>
                <w:szCs w:val="20"/>
                <w:color w:val="auto"/>
              </w:rPr>
            </w:pPr>
            <w:r>
              <w:rPr>
                <w:rFonts w:ascii="Arial" w:cs="Arial" w:eastAsia="Arial" w:hAnsi="Arial"/>
                <w:sz w:val="16"/>
                <w:szCs w:val="16"/>
                <w:color w:val="auto"/>
              </w:rPr>
              <w:t>(226,776</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CLPS Incorporation shareholders</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1,952,536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1,440,483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1,541,780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798,672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175,644</w:t>
            </w: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(42,612)</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2,128,180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1,397,871</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1,556,615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791,148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Basic and diluted earnings per common share *</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 and diluted</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11,290,000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84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CLPS INCORPORATION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7560" w:type="dxa"/>
            <w:vAlign w:val="bottom"/>
            <w:gridSpan w:val="20"/>
          </w:tcPr>
          <w:p>
            <w:pPr>
              <w:jc w:val="right"/>
              <w:ind w:right="420"/>
              <w:spacing w:after="0"/>
              <w:rPr>
                <w:sz w:val="20"/>
                <w:szCs w:val="20"/>
                <w:color w:val="auto"/>
              </w:rPr>
            </w:pPr>
            <w:r>
              <w:rPr>
                <w:rFonts w:ascii="Arial" w:cs="Arial" w:eastAsia="Arial" w:hAnsi="Arial"/>
                <w:sz w:val="18"/>
                <w:szCs w:val="18"/>
                <w:b w:val="1"/>
                <w:bCs w:val="1"/>
                <w:color w:val="auto"/>
              </w:rPr>
              <w:t>CONSOLIDATED STATEMENTS OF CHANGES IN SHAREHOLDERS’ EQUITY</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Retained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gridSpan w:val="6"/>
            <w:vMerge w:val="restart"/>
          </w:tcPr>
          <w:p>
            <w:pPr>
              <w:ind w:left="320"/>
              <w:spacing w:after="0"/>
              <w:rPr>
                <w:sz w:val="20"/>
                <w:szCs w:val="20"/>
                <w:color w:val="auto"/>
              </w:rPr>
            </w:pPr>
            <w:r>
              <w:rPr>
                <w:rFonts w:ascii="Arial" w:cs="Arial" w:eastAsia="Arial" w:hAnsi="Arial"/>
                <w:sz w:val="18"/>
                <w:szCs w:val="18"/>
                <w:b w:val="1"/>
                <w:bCs w:val="1"/>
                <w:color w:val="auto"/>
              </w:rPr>
              <w:t>Common Share</w:t>
            </w:r>
          </w:p>
        </w:tc>
        <w:tc>
          <w:tcPr>
            <w:tcW w:w="6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40" w:type="dxa"/>
            <w:vAlign w:val="bottom"/>
          </w:tcPr>
          <w:p>
            <w:pPr>
              <w:spacing w:after="0"/>
              <w:rPr>
                <w:sz w:val="20"/>
                <w:szCs w:val="20"/>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0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Paid-in</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Statutory</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7"/>
              </w:rPr>
              <w:t>(Accumulated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controlling</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Surplus</w:t>
            </w:r>
          </w:p>
        </w:tc>
        <w:tc>
          <w:tcPr>
            <w:tcW w:w="14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July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11,290,000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$ 2,696,377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2,639,885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5,913,141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Shareholder’s contribution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3,377,813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3,377,813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Recapitalization of Shanghai CLPS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1,051,952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(551,684)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(500,268)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Non-controlling shareholders’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contribution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46,919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46,919</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Repurchase of Non-controlling interest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(6,521,233)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(6,521,233)</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for the year</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1,826,112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1,784,971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Appropriation of statutory reserve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429,439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(429,439)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(385,629)</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(387,100)</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at June 30, 2016</w:t>
            </w: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11,290,000</w:t>
            </w: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1,129</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$ 7,120,943</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418,722</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(2,984,943)</w:t>
            </w: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(352,361)</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4,034</w:t>
            </w: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4,207,524</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Non-controlling shareholders’</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Non-controlling interest through</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acquisition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290,994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(1,321,838)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(1,321,838)</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Net income for the year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2,047,445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173,912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2,221,357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Appropriation of statutory reserve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(261,949)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(94,909)</w:t>
            </w:r>
          </w:p>
        </w:tc>
        <w:tc>
          <w:tcPr>
            <w:tcW w:w="1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11,290,000</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$ 7,120,943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(2,521,285)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477,110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5,311,298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spacing w:after="0" w:line="201" w:lineRule="exact"/>
              <w:rPr>
                <w:sz w:val="20"/>
                <w:szCs w:val="20"/>
                <w:color w:val="auto"/>
              </w:rPr>
            </w:pPr>
            <w:r>
              <w:rPr>
                <w:rFonts w:ascii="Arial" w:cs="Arial" w:eastAsia="Arial" w:hAnsi="Arial"/>
                <w:sz w:val="18"/>
                <w:szCs w:val="18"/>
                <w:color w:val="auto"/>
              </w:rPr>
              <w:t>Non-controlling interest through</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acquisition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1,331,329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1,325,391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Appropriation of statutory reserve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(224,882)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210,451</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20,773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231,224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2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Balance at December 31, 2017</w:t>
            </w:r>
          </w:p>
        </w:tc>
        <w:tc>
          <w:tcPr>
            <w:tcW w:w="8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(Unaudited)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11,290,000</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4"/>
              </w:rPr>
              <w:t>$ 7,120,943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905,553</w:t>
            </w:r>
          </w:p>
        </w:tc>
        <w:tc>
          <w:tcPr>
            <w:tcW w:w="1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line="271" w:lineRule="exact"/>
              <w:rPr>
                <w:sz w:val="20"/>
                <w:szCs w:val="20"/>
                <w:color w:val="auto"/>
              </w:rPr>
            </w:pPr>
            <w:r>
              <w:rPr>
                <w:rFonts w:ascii="Arial" w:cs="Arial" w:eastAsia="Arial" w:hAnsi="Arial"/>
                <w:sz w:val="16"/>
                <w:szCs w:val="16"/>
                <w:color w:val="auto"/>
              </w:rPr>
              <w:t>(1,414,838</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1420" w:type="dxa"/>
            <w:vAlign w:val="bottom"/>
            <w:gridSpan w:val="3"/>
          </w:tcPr>
          <w:p>
            <w:pPr>
              <w:jc w:val="right"/>
              <w:spacing w:after="0" w:line="271" w:lineRule="exact"/>
              <w:rPr>
                <w:sz w:val="20"/>
                <w:szCs w:val="20"/>
                <w:color w:val="auto"/>
              </w:rPr>
            </w:pPr>
            <w:r>
              <w:rPr>
                <w:rFonts w:ascii="Arial" w:cs="Arial" w:eastAsia="Arial" w:hAnsi="Arial"/>
                <w:sz w:val="16"/>
                <w:szCs w:val="16"/>
                <w:color w:val="auto"/>
              </w:rPr>
              <w:t>(236,819</w:t>
            </w:r>
            <w:r>
              <w:rPr>
                <w:rFonts w:ascii="Arial" w:cs="Arial" w:eastAsia="Arial" w:hAnsi="Arial"/>
                <w:sz w:val="31"/>
                <w:szCs w:val="31"/>
                <w:color w:val="auto"/>
                <w:vertAlign w:val="superscript"/>
              </w:rPr>
              <w:t>)</w:t>
            </w:r>
            <w:r>
              <w:rPr>
                <w:rFonts w:ascii="Arial" w:cs="Arial" w:eastAsia="Arial" w:hAnsi="Arial"/>
                <w:sz w:val="16"/>
                <w:szCs w:val="16"/>
                <w:color w:val="auto"/>
              </w:rPr>
              <w:t xml:space="preserve"> $</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492,015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6,867,983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7"/>
        </w:trPr>
        <w:tc>
          <w:tcPr>
            <w:tcW w:w="60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1820" w:type="dxa"/>
            <w:vAlign w:val="bottom"/>
            <w:tcBorders>
              <w:top w:val="single" w:sz="8" w:color="0000EE"/>
            </w:tcBorders>
          </w:tcPr>
          <w:p>
            <w:pPr>
              <w:spacing w:after="0"/>
              <w:rPr>
                <w:sz w:val="24"/>
                <w:szCs w:val="24"/>
                <w:color w:val="auto"/>
              </w:rPr>
            </w:pPr>
          </w:p>
        </w:tc>
        <w:tc>
          <w:tcPr>
            <w:tcW w:w="5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CLPS INCORPORATION</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00" w:type="dxa"/>
            <w:vAlign w:val="bottom"/>
            <w:gridSpan w:val="7"/>
          </w:tcPr>
          <w:p>
            <w:pPr>
              <w:jc w:val="right"/>
              <w:spacing w:after="0"/>
              <w:rPr>
                <w:sz w:val="20"/>
                <w:szCs w:val="20"/>
                <w:color w:val="auto"/>
              </w:rPr>
            </w:pPr>
            <w:r>
              <w:rPr>
                <w:rFonts w:ascii="Arial" w:cs="Arial" w:eastAsia="Arial" w:hAnsi="Arial"/>
                <w:sz w:val="18"/>
                <w:szCs w:val="18"/>
                <w:b w:val="1"/>
                <w:bCs w:val="1"/>
                <w:color w:val="auto"/>
              </w:rPr>
              <w:t>CONSOLIDATED STATEMENTS OF CASH FLOWS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For the years ended</w:t>
            </w:r>
          </w:p>
        </w:tc>
        <w:tc>
          <w:tcPr>
            <w:tcW w:w="100" w:type="dxa"/>
            <w:vAlign w:val="bottom"/>
          </w:tcPr>
          <w:p>
            <w:pPr>
              <w:spacing w:after="0"/>
              <w:rPr>
                <w:sz w:val="24"/>
                <w:szCs w:val="24"/>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2,221,357</w:t>
            </w: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1,784,971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1,325,391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1"/>
              </w:rPr>
              <w:t>Adjustments to reconcile net income to net cash provided by (used in) operating</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Deferred tax (benefit) provision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(96,713)</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109,116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Changes in assets and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(2,410,155)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1,053,207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(4,168,705)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Prepayment, deposits and other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(357,761)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417,190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(303,637)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income tax</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52,574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27,152</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287,696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219,672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110,153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681,479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tcPr>
          <w:p>
            <w:pPr>
              <w:ind w:left="320"/>
              <w:spacing w:after="0"/>
              <w:rPr>
                <w:sz w:val="20"/>
                <w:szCs w:val="20"/>
                <w:color w:val="auto"/>
              </w:rPr>
            </w:pPr>
            <w:r>
              <w:rPr>
                <w:rFonts w:ascii="Arial" w:cs="Arial" w:eastAsia="Arial" w:hAnsi="Arial"/>
                <w:sz w:val="18"/>
                <w:szCs w:val="18"/>
                <w:color w:val="auto"/>
              </w:rPr>
              <w:t>Salaries and benefits payable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899,462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957,167</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1,798,085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943,076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4,462,268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(137,467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(62,518)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(327,768)</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 for business acquisition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(349,617)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Cash acquired from acquisition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266,856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266,856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Disposition (acquisition) of long term investment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44,061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(46,580)</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provided by investing activities</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(101,218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(374,348</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(219,693</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236,476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short-term bank loans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2,243,570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Repayment of short-term bank loans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(1,505,752)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contribution by shareholders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2,135,673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 shareholder’s contribution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46,919</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non-controlling interest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155,267</w:t>
            </w:r>
          </w:p>
        </w:tc>
        <w:tc>
          <w:tcPr>
            <w:tcW w:w="1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2,491,794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Amounts due to related parties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(102,754)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77,590</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(209,251)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177,956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 paid</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(736,436)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(5,279,093)</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(600,167)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provided by financing activities</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(378,837</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(13,730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170,232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Effect of exchange rate changes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(153,002)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(227,771)</w:t>
            </w:r>
          </w:p>
        </w:tc>
        <w:tc>
          <w:tcPr>
            <w:tcW w:w="1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215,359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(decrease) increase in cash</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(462,628)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3,481,312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(155,531)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1,026,739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5,277,196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1,795,884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5,277,196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4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4,814,568</w:t>
            </w:r>
          </w:p>
        </w:tc>
        <w:tc>
          <w:tcPr>
            <w:tcW w:w="46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5,277,196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4,659,037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6,303,935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335,143</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285,019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131,826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Interest paid</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Dividend payable included in due to related parties</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585,402</w:t>
            </w: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top w:val="single" w:sz="8" w:color="CCEEFF"/>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Payable for business acquisition</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Dividend contributed to capital</w:t>
            </w:r>
          </w:p>
        </w:tc>
        <w:tc>
          <w:tcPr>
            <w:tcW w:w="3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980" w:type="dxa"/>
            <w:vAlign w:val="bottom"/>
            <w:tcBorders>
              <w:bottom w:val="single" w:sz="8" w:color="CCEEFF"/>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1,242,140</w:t>
            </w:r>
          </w:p>
        </w:tc>
        <w:tc>
          <w:tcPr>
            <w:tcW w:w="2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Capital contribution from non-controlling shareholders</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16" w:right="239" w:bottom="391"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391"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and President, together with Mr. Raymond Ming Hui Lin, the Company’s Chief Executive Officer (“CEO”) are the controlling shareholders of the Company. (the “controlling shareholder”).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and President, together with Mr. Raymond Ming Hui Lin, the Company’s Chief Executive Officer (“CEO”) are the controlling shareholders of the Company (the “Controlling shareholders”).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reorganization of the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Prior to the reorganization, CLPS Shanghai’s equity interests were 100% controlled by the same group of the controlling shareholders of CLPS.</w:t>
      </w:r>
    </w:p>
    <w:p>
      <w:pPr>
        <w:spacing w:after="0" w:line="23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the Company and its subsidiaries are effectively controlled by the same group of the shareholders before and after the reorganization, they are considered under common control. The above 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5300"/>
        <w:spacing w:after="0" w:line="362" w:lineRule="auto"/>
        <w:rPr>
          <w:sz w:val="20"/>
          <w:szCs w:val="20"/>
          <w:color w:val="auto"/>
        </w:rPr>
      </w:pPr>
      <w:r>
        <w:rPr>
          <w:rFonts w:ascii="Arial" w:cs="Arial" w:eastAsia="Arial" w:hAnsi="Arial"/>
          <w:sz w:val="18"/>
          <w:szCs w:val="18"/>
          <w:b w:val="1"/>
          <w:bCs w:val="1"/>
          <w:color w:val="auto"/>
        </w:rPr>
        <w:t>NOTE 1 – ORGANIZATION AND DESCRIPTION OF BUSINESS - continued Reorganization - continued</w:t>
      </w:r>
    </w:p>
    <w:p>
      <w:pPr>
        <w:spacing w:after="0" w:line="1" w:lineRule="exact"/>
        <w:rPr>
          <w:sz w:val="20"/>
          <w:szCs w:val="20"/>
          <w:color w:val="auto"/>
        </w:rPr>
      </w:pPr>
    </w:p>
    <w:p>
      <w:pPr>
        <w:ind w:right="780"/>
        <w:spacing w:after="0" w:line="258" w:lineRule="auto"/>
        <w:rPr>
          <w:sz w:val="20"/>
          <w:szCs w:val="20"/>
          <w:color w:val="auto"/>
        </w:rPr>
      </w:pPr>
      <w:r>
        <w:rPr>
          <w:rFonts w:ascii="Arial" w:cs="Arial" w:eastAsia="Arial" w:hAnsi="Arial"/>
          <w:sz w:val="18"/>
          <w:szCs w:val="18"/>
          <w:color w:val="auto"/>
        </w:rPr>
        <w:t>Upon the reorganization, the Company has subsidiaries in PRC, Hong Kong, Taiwan, British Virgin Islands, Australia and Singapore. Details of the subsidiaries of the Company are set out below:</w:t>
      </w:r>
    </w:p>
    <w:tbl>
      <w:tblPr>
        <w:tblLayout w:type="fixed"/>
        <w:tblInd w:w="0" w:type="dxa"/>
        <w:tblCellMar>
          <w:top w:w="0" w:type="dxa"/>
          <w:left w:w="0" w:type="dxa"/>
          <w:bottom w:w="0" w:type="dxa"/>
          <w:right w:w="0" w:type="dxa"/>
        </w:tblCellMar>
      </w:tblPr>
      <w:tr>
        <w:trPr>
          <w:trHeight w:val="199"/>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100"/>
              <w:spacing w:after="0" w:line="200" w:lineRule="exact"/>
              <w:rPr>
                <w:sz w:val="20"/>
                <w:szCs w:val="20"/>
                <w:color w:val="auto"/>
              </w:rPr>
            </w:pPr>
            <w:r>
              <w:rPr>
                <w:rFonts w:ascii="Arial" w:cs="Arial" w:eastAsia="Arial" w:hAnsi="Arial"/>
                <w:sz w:val="18"/>
                <w:szCs w:val="18"/>
                <w:b w:val="1"/>
                <w:bCs w:val="1"/>
                <w:color w:val="auto"/>
                <w:w w:val="88"/>
              </w:rPr>
              <w:t>Date of</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Incorporation/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Place of</w:t>
            </w: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1"/>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acquisition</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Incorporation</w:t>
            </w:r>
          </w:p>
        </w:tc>
        <w:tc>
          <w:tcPr>
            <w:tcW w:w="3620" w:type="dxa"/>
            <w:vAlign w:val="bottom"/>
            <w:gridSpan w:val="3"/>
          </w:tcPr>
          <w:p>
            <w:pPr>
              <w:ind w:left="840"/>
              <w:spacing w:after="0"/>
              <w:rPr>
                <w:sz w:val="20"/>
                <w:szCs w:val="20"/>
                <w:color w:val="auto"/>
              </w:rPr>
            </w:pPr>
            <w:r>
              <w:rPr>
                <w:rFonts w:ascii="Arial" w:cs="Arial" w:eastAsia="Arial" w:hAnsi="Arial"/>
                <w:sz w:val="18"/>
                <w:szCs w:val="18"/>
                <w:b w:val="1"/>
                <w:bCs w:val="1"/>
                <w:color w:val="auto"/>
              </w:rPr>
              <w:t>% of Equity Ownership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Activities</w:t>
            </w:r>
          </w:p>
        </w:tc>
      </w:tr>
      <w:tr>
        <w:trPr>
          <w:trHeight w:val="202"/>
        </w:trPr>
        <w:tc>
          <w:tcPr>
            <w:tcW w:w="2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CLPS Incorporation (“CLPS”</w:t>
            </w: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Incorporated on</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Cayman Islands</w:t>
            </w:r>
          </w:p>
        </w:tc>
        <w:tc>
          <w:tcPr>
            <w:tcW w:w="1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6"/>
              </w:rPr>
              <w:t>Parent</w:t>
            </w: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 the “Company”)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May 11, 2017</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Qinheng Co., Limited</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Hong Kong,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(“Qinheng”)</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June 9, 2017</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Qiner Co., Limited (“Qiner”)</w:t>
            </w:r>
          </w:p>
        </w:tc>
        <w:tc>
          <w:tcPr>
            <w:tcW w:w="1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Hong Kong,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21, 2017</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w w:val="97"/>
              </w:rPr>
              <w:t>Shanghai Qincheng Information</w:t>
            </w:r>
          </w:p>
        </w:tc>
        <w:tc>
          <w:tcPr>
            <w:tcW w:w="1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Shanghai,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Technology Co., Ltd (“CLPS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18"/>
                <w:szCs w:val="18"/>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QC” or “WOFE”)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ChinaLink Professional Service</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Shanghai,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Ltd (“CLPS Shanghai”)</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August 30, 2005</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CLPS Dalian Co., Ltd (“CLPS</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2"/>
              </w:rPr>
              <w:t>Incorporated on May</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Dalian,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Dalian”)</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25, 2011</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Ruicheng Co., Ltd</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Shanghai,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RC”)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26, 2013</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CLPS Beijing Hengtong Co.,</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Beijing,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70% owned by CLPS</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Ltd (“CLPS Beijing”)</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30, 2015</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Shanghai and 30%</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0"/>
              </w:rPr>
              <w:t>owned by unrelated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2"/>
              </w:rPr>
              <w:t>individual shareholders</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w:t>
            </w:r>
          </w:p>
        </w:tc>
        <w:tc>
          <w:tcPr>
            <w:tcW w:w="180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0"/>
              </w:rPr>
              <w:t>Incorporated</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7"/>
              </w:rPr>
              <w:t>Singapore</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(SINGAPORE) PTE.LTD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on August 18, 2015</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18"/>
                <w:szCs w:val="18"/>
                <w:color w:val="auto"/>
              </w:rPr>
            </w:pP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SG”)</w:t>
            </w: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w:t>
            </w:r>
          </w:p>
        </w:tc>
        <w:tc>
          <w:tcPr>
            <w:tcW w:w="18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Incorporated</w:t>
            </w:r>
          </w:p>
        </w:tc>
        <w:tc>
          <w:tcPr>
            <w:tcW w:w="182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4"/>
              </w:rPr>
              <w:t>Australia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(AUSTRALIA) PTY LTD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on November 10, 2015</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18"/>
                <w:szCs w:val="18"/>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(“CLPS AU”)</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CLPS Technology (Hong Kong)</w:t>
            </w:r>
          </w:p>
        </w:tc>
        <w:tc>
          <w:tcPr>
            <w:tcW w:w="18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Hong Kong,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0"/>
              </w:rPr>
              <w:t>80% owned by CLPS</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Limited (“CLPS Hong</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January 7, 2016</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Shanghai and 20%</w:t>
            </w: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18"/>
                <w:szCs w:val="18"/>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Kong”)</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owned by unrelated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individual shareholders</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Judge (Shanghai) Co., Ltd</w:t>
            </w:r>
          </w:p>
        </w:tc>
        <w:tc>
          <w:tcPr>
            <w:tcW w:w="1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3"/>
              </w:rPr>
              <w:t>Acquired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Shanghai,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60% owned by CLPS</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(“Judge China”)</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9, 2016</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Shanghai and 40%</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owned by an unrelated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0"/>
              </w:rPr>
              <w:t>Company;</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Judge (Shanghai) Human</w:t>
            </w:r>
          </w:p>
        </w:tc>
        <w:tc>
          <w:tcPr>
            <w:tcW w:w="1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3"/>
              </w:rPr>
              <w:t>Acquired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Shanghai,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89"/>
              </w:rPr>
              <w:t>70% owned by Judge</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Resource Co., Ltd (“Judge HR”)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9, 2016</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China and 30% owned</w:t>
            </w: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18"/>
                <w:szCs w:val="18"/>
                <w:color w:val="auto"/>
              </w:rPr>
            </w:pPr>
          </w:p>
        </w:tc>
      </w:tr>
      <w:tr>
        <w:trPr>
          <w:trHeight w:val="216"/>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by an unrelated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company</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CLPS Shenzhen Co., Ltd</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6"/>
              </w:rPr>
              <w:t>Shenzhen,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70% owned by CLPS</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(“CLPS Shenzhen”)</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7, 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Shanghai and 30%</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1"/>
              </w:rPr>
              <w:t>owned by CLPS Hong</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ind w:right="70"/>
              <w:spacing w:after="0"/>
              <w:rPr>
                <w:sz w:val="20"/>
                <w:szCs w:val="20"/>
                <w:color w:val="auto"/>
              </w:rPr>
            </w:pPr>
            <w:r>
              <w:rPr>
                <w:rFonts w:ascii="Arial" w:cs="Arial" w:eastAsia="Arial" w:hAnsi="Arial"/>
                <w:sz w:val="18"/>
                <w:szCs w:val="18"/>
                <w:color w:val="auto"/>
                <w:w w:val="95"/>
              </w:rPr>
              <w:t>Kong</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Guangzhou Co.,</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Guangzhou,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Ltd(“CLPS Guangzhou”)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27, 2017</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Tianjin Huanyu Qinshang</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4"/>
              </w:rPr>
              <w:t>Tianjin,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4"/>
              </w:rPr>
              <w:t>30%</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2"/>
              </w:rPr>
              <w:t>Equity investment</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2"/>
              </w:rPr>
              <w:t>Network technology</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Network Technology Co., Ltd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September 27, 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(“Huan Yu”) *</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CLIVST Ltd. (“CLIVST”) *</w:t>
            </w:r>
          </w:p>
        </w:tc>
        <w:tc>
          <w:tcPr>
            <w:tcW w:w="18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British Virgin Islands</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100%</w:t>
            </w:r>
          </w:p>
        </w:tc>
        <w:tc>
          <w:tcPr>
            <w:tcW w:w="178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Holding Company</w:t>
            </w: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July 25, 2017</w:t>
            </w: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FDT-CL Financial Technology</w:t>
            </w:r>
          </w:p>
        </w:tc>
        <w:tc>
          <w:tcPr>
            <w:tcW w:w="18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Hong Kong, China</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89"/>
              </w:rPr>
              <w:t>52% owned by</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Services Limited (“FDT-CL”) *</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24, 2017</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4"/>
              </w:rPr>
              <w:t>CLIVST, 48% owned</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8"/>
              </w:rPr>
              <w:t>by an unrelated</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Consolidated</w:t>
            </w:r>
          </w:p>
        </w:tc>
        <w:tc>
          <w:tcPr>
            <w:tcW w:w="1700" w:type="dxa"/>
            <w:vAlign w:val="bottom"/>
          </w:tcPr>
          <w:p>
            <w:pPr>
              <w:spacing w:after="0"/>
              <w:rPr>
                <w:sz w:val="18"/>
                <w:szCs w:val="18"/>
                <w:color w:val="auto"/>
              </w:rPr>
            </w:pPr>
          </w:p>
        </w:tc>
      </w:tr>
      <w:tr>
        <w:trPr>
          <w:trHeight w:val="230"/>
        </w:trPr>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8"/>
              </w:rPr>
              <w:t>individual</w:t>
            </w: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20"/>
                <w:szCs w:val="20"/>
                <w:color w:val="auto"/>
              </w:rPr>
            </w:pPr>
          </w:p>
        </w:tc>
      </w:tr>
      <w:tr>
        <w:trPr>
          <w:trHeight w:val="202"/>
        </w:trPr>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JQ Technology Co.,</w:t>
            </w:r>
          </w:p>
        </w:tc>
        <w:tc>
          <w:tcPr>
            <w:tcW w:w="1800" w:type="dxa"/>
            <w:vAlign w:val="bottom"/>
            <w:gridSpan w:val="2"/>
            <w:shd w:val="clear" w:color="auto" w:fill="CCEEFF"/>
          </w:tcPr>
          <w:p>
            <w:pPr>
              <w:jc w:val="center"/>
              <w:ind w:right="140"/>
              <w:spacing w:after="0" w:line="201" w:lineRule="exact"/>
              <w:rPr>
                <w:sz w:val="20"/>
                <w:szCs w:val="20"/>
                <w:color w:val="auto"/>
              </w:rPr>
            </w:pPr>
            <w:r>
              <w:rPr>
                <w:rFonts w:ascii="Arial" w:cs="Arial" w:eastAsia="Arial" w:hAnsi="Arial"/>
                <w:sz w:val="18"/>
                <w:szCs w:val="18"/>
                <w:color w:val="auto"/>
                <w:w w:val="93"/>
              </w:rPr>
              <w:t>Acquired on</w:t>
            </w:r>
          </w:p>
        </w:tc>
        <w:tc>
          <w:tcPr>
            <w:tcW w:w="18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Hong Kong, China</w:t>
            </w:r>
          </w:p>
        </w:tc>
        <w:tc>
          <w:tcPr>
            <w:tcW w:w="1840" w:type="dxa"/>
            <w:vAlign w:val="bottom"/>
            <w:shd w:val="clear" w:color="auto" w:fill="CCEEFF"/>
          </w:tcPr>
          <w:p>
            <w:pPr>
              <w:jc w:val="center"/>
              <w:ind w:right="50"/>
              <w:spacing w:after="0" w:line="201" w:lineRule="exact"/>
              <w:rPr>
                <w:sz w:val="20"/>
                <w:szCs w:val="20"/>
                <w:color w:val="auto"/>
              </w:rPr>
            </w:pPr>
            <w:r>
              <w:rPr>
                <w:rFonts w:ascii="Arial" w:cs="Arial" w:eastAsia="Arial" w:hAnsi="Arial"/>
                <w:sz w:val="18"/>
                <w:szCs w:val="18"/>
                <w:color w:val="auto"/>
                <w:w w:val="91"/>
              </w:rPr>
              <w:t>55% owned by Qiner,</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Limited(“JQ”) *</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17, 2017</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45% owned by an</w:t>
            </w:r>
          </w:p>
        </w:tc>
        <w:tc>
          <w:tcPr>
            <w:tcW w:w="1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Consolidated</w:t>
            </w:r>
          </w:p>
        </w:tc>
        <w:tc>
          <w:tcPr>
            <w:tcW w:w="1700" w:type="dxa"/>
            <w:vAlign w:val="bottom"/>
            <w:shd w:val="clear" w:color="auto" w:fill="CCEEFF"/>
          </w:tcPr>
          <w:p>
            <w:pPr>
              <w:spacing w:after="0"/>
              <w:rPr>
                <w:sz w:val="18"/>
                <w:szCs w:val="18"/>
                <w:color w:val="auto"/>
              </w:rPr>
            </w:pP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unrelated individuals</w:t>
            </w:r>
          </w:p>
        </w:tc>
        <w:tc>
          <w:tcPr>
            <w:tcW w:w="17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shd w:val="clear" w:color="auto" w:fill="CCEEFF"/>
          </w:tcPr>
          <w:p>
            <w:pPr>
              <w:spacing w:after="0"/>
              <w:rPr>
                <w:sz w:val="20"/>
                <w:szCs w:val="20"/>
                <w:color w:val="auto"/>
              </w:rPr>
            </w:pPr>
          </w:p>
        </w:tc>
      </w:tr>
      <w:tr>
        <w:trPr>
          <w:trHeight w:val="202"/>
        </w:trPr>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JIALIN Technology Limited</w:t>
            </w:r>
          </w:p>
        </w:tc>
        <w:tc>
          <w:tcPr>
            <w:tcW w:w="180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3"/>
              </w:rPr>
              <w:t>Acquired on</w:t>
            </w:r>
          </w:p>
        </w:tc>
        <w:tc>
          <w:tcPr>
            <w:tcW w:w="18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89"/>
              </w:rPr>
              <w:t>Taiwan</w:t>
            </w:r>
          </w:p>
        </w:tc>
        <w:tc>
          <w:tcPr>
            <w:tcW w:w="1840" w:type="dxa"/>
            <w:vAlign w:val="bottom"/>
          </w:tcPr>
          <w:p>
            <w:pPr>
              <w:jc w:val="center"/>
              <w:ind w:right="50"/>
              <w:spacing w:after="0" w:line="201" w:lineRule="exact"/>
              <w:rPr>
                <w:sz w:val="20"/>
                <w:szCs w:val="20"/>
                <w:color w:val="auto"/>
              </w:rPr>
            </w:pPr>
            <w:r>
              <w:rPr>
                <w:rFonts w:ascii="Arial" w:cs="Arial" w:eastAsia="Arial" w:hAnsi="Arial"/>
                <w:sz w:val="18"/>
                <w:szCs w:val="18"/>
                <w:color w:val="auto"/>
                <w:w w:val="90"/>
              </w:rPr>
              <w:t>100% owned by JQ</w:t>
            </w:r>
          </w:p>
        </w:tc>
        <w:tc>
          <w:tcPr>
            <w:tcW w:w="178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Consolidated</w:t>
            </w:r>
          </w:p>
        </w:tc>
        <w:tc>
          <w:tcPr>
            <w:tcW w:w="17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 development</w:t>
            </w: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(“JL”) *</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October 17, 2017</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subsidiary</w:t>
            </w:r>
          </w:p>
        </w:tc>
        <w:tc>
          <w:tcPr>
            <w:tcW w:w="1700" w:type="dxa"/>
            <w:vAlign w:val="bottom"/>
          </w:tcPr>
          <w:p>
            <w:pPr>
              <w:spacing w:after="0"/>
              <w:rPr>
                <w:sz w:val="20"/>
                <w:szCs w:val="20"/>
                <w:color w:val="auto"/>
              </w:rPr>
            </w:pPr>
          </w:p>
        </w:tc>
      </w:tr>
    </w:tbl>
    <w:p>
      <w:pPr>
        <w:spacing w:after="0" w:line="80" w:lineRule="exact"/>
        <w:rPr>
          <w:sz w:val="20"/>
          <w:szCs w:val="20"/>
          <w:color w:val="auto"/>
        </w:rPr>
      </w:pPr>
    </w:p>
    <w:p>
      <w:pPr>
        <w:ind w:left="340" w:right="22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Entities incorporated or acquired subsequent to June 30, 2017 are included in the Company’s unaudited condensed consolidated financial statement for the six months ended December 31, 2017.</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requirements of the Securities Exchange Commission (“SEC”).</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accompanying consolidated financial statements include the financial statements of CLPS, Qinheng, Qiner, CLPS QC, CLPS Shanghai, CLPS Beijing, CLPS RC, CLPS Dalian, CLPS AU, CLPS SG, CLPS Hong Kong, CLPS Shenzhen, Judge China, Judge HR, CLIVST, CLPS Guangzhou, FDT-CL, JQ and JL. All inter-company balances and transactions have been eliminated upon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intangible assets, goodwill impairment, the impairment of long-lived assets, provision for contingent liabilities, revenue recognition, accrued expenses and other current liabilities and realization of deferred tax assets.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7"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prices (unadjusted) for identical assets or liabilities in active markets.</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Unless otherwise disclosed, the fair value of the Company’s financial instruments including cash and cash equivalents, accounts receivable, other receivables and other current assets, accounts payable, customer deposits, accrued expenses and other current liabilities approximates their recorded values due to their short-term maturities.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Accounts receivable are recorded at original invoice.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Prepayment, deposit and other assets primarily consists of advances to suppliers for purchasing goods or services that have not been received or provided and advances to employees. These advances are interest free, unsecured and short-term in nature and are reviewed periodically to determine whether their carrying value has become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costs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Deferred contract costs represent costs incurred in advance of revenue recognition arising from direct and incremental staff costs in respect of the fixed fee contracts according to the customer’s requirements prior to the delivery of services, and such deferred costs will be recognized upon the recognition of the related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investment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Investee companies over which the Company has the ability to exercise significant influence, but does not have a controlling interest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Business combinations are recorded using the business acquisition method of accounting. The assets acquired, the liabilities assumed, and any non-controlling interest of the acquiree at the acquisition date, if any, are measured at their fair values as of that date. Goodwill is recognized and measured as the excess of the total consideration transferred plus the fair value of any non-controlling interest of the acquiree, if any, at the acquisition date over the fair values of the identifiable net assets acquired.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income and comprehensive income as an allocation of the total income or loss for the year between non-controlling interest holders and the shareholders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and amortization.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w:t>
            </w: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w:t>
            </w:r>
          </w:p>
        </w:tc>
        <w:tc>
          <w:tcPr>
            <w:tcW w:w="3980" w:type="dxa"/>
            <w:vAlign w:val="bottom"/>
            <w:shd w:val="clear" w:color="auto" w:fill="CCEEFF"/>
          </w:tcPr>
          <w:p>
            <w:pPr>
              <w:ind w:left="960"/>
              <w:spacing w:after="0" w:line="201" w:lineRule="exact"/>
              <w:rPr>
                <w:sz w:val="20"/>
                <w:szCs w:val="20"/>
                <w:color w:val="auto"/>
              </w:rPr>
            </w:pPr>
            <w:r>
              <w:rPr>
                <w:rFonts w:ascii="Arial" w:cs="Arial" w:eastAsia="Arial" w:hAnsi="Arial"/>
                <w:sz w:val="18"/>
                <w:szCs w:val="18"/>
                <w:color w:val="auto"/>
              </w:rPr>
              <w:t>the shorter of lease terms or</w:t>
            </w:r>
          </w:p>
        </w:tc>
      </w:tr>
      <w:tr>
        <w:trPr>
          <w:trHeight w:val="230"/>
        </w:trPr>
        <w:tc>
          <w:tcPr>
            <w:tcW w:w="7440" w:type="dxa"/>
            <w:vAlign w:val="bottom"/>
            <w:shd w:val="clear" w:color="auto" w:fill="CCEEFF"/>
          </w:tcPr>
          <w:p>
            <w:pPr>
              <w:spacing w:after="0"/>
              <w:rPr>
                <w:sz w:val="20"/>
                <w:szCs w:val="20"/>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the estimated useful lives</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Machinery equipment</w:t>
            </w:r>
          </w:p>
        </w:tc>
        <w:tc>
          <w:tcPr>
            <w:tcW w:w="3980" w:type="dxa"/>
            <w:vAlign w:val="bottom"/>
          </w:tcPr>
          <w:p>
            <w:pPr>
              <w:jc w:val="center"/>
              <w:spacing w:after="0"/>
              <w:rPr>
                <w:sz w:val="20"/>
                <w:szCs w:val="20"/>
                <w:color w:val="auto"/>
              </w:rPr>
            </w:pPr>
            <w:r>
              <w:rPr>
                <w:rFonts w:ascii="Arial" w:cs="Arial" w:eastAsia="Arial" w:hAnsi="Arial"/>
                <w:sz w:val="18"/>
                <w:szCs w:val="18"/>
                <w:color w:val="auto"/>
                <w:w w:val="87"/>
              </w:rPr>
              <w:t>5–10 years</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vehicles</w:t>
            </w: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3980" w:type="dxa"/>
            <w:vAlign w:val="bottom"/>
          </w:tcPr>
          <w:p>
            <w:pPr>
              <w:jc w:val="center"/>
              <w:spacing w:after="0"/>
              <w:rPr>
                <w:sz w:val="20"/>
                <w:szCs w:val="20"/>
                <w:color w:val="auto"/>
              </w:rPr>
            </w:pPr>
            <w:r>
              <w:rPr>
                <w:rFonts w:ascii="Arial" w:cs="Arial" w:eastAsia="Arial" w:hAnsi="Arial"/>
                <w:sz w:val="18"/>
                <w:szCs w:val="18"/>
                <w:color w:val="auto"/>
                <w:w w:val="84"/>
              </w:rPr>
              <w:t>5 years</w:t>
            </w:r>
          </w:p>
        </w:tc>
      </w:tr>
    </w:tbl>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Intangible assets, other than goodwill, are initially measured and recorded at their fair values. Intangible assets primarily consists of customer contacts acquired by Judge China. Customer contacts are amortized using the estimated attrition pattern which is estimated over 10 years.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Goodwill was allocated to the one reporting unit as of June 30, 2017 and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assessed discounted cash flow amount.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reviews the carrying value of intangible assets not subject to amortization, including goodwill, to determine whether impairment may exist annually or more frequently if events and circumstances indicate that it is more likely than not that an impairment has occurred. The Company has the option to assess qualitative factors to determine whether it is necessary to perform the two-step in accordance with ASC 350-20. If the Company believes, as a result of the qualitative assessment, that it is more likely than not that the fair value of the reporting unit is less than its carrying amount, the two-step quantities impairment test described below is required. The first step compares the fair values of each reporting unit to its carrying amount, including goodwill. If the fair value of each reporting unit exceeds its carrying amount, goodwill is not considered to be impaired and the second step will not be required. If the carrying amount of a reporting unit exceeds its fair value, the second step compares the implied fair value of goodwill to the carrying value of a reporting unit’s goodwill. The implied fair value of goodwill is determined in a manner similar to accounting for a business acquisition with the allocation of the assessed fair value determined in the first step to the assets and liabilities of the reporting unit. The excess of the fair value of the reporting unit over the amounts assigned to the assets and liabilities is the implied fair value of goodwill. An impairment loss is recognized for any excess in the carrying value of goodwill over the implied fair value of goodwill. Estimating fair value is performed by utilizing various valuation techniques, with the primary technique being a discounted cash flow.</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there are following separated service elements in the fixed-fee customized solution contract:</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Solution development service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Specific service such as training, if applicable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multiple-element arrangements that include application customized services and PCS as well as specific service component, if applicable, the Company allocates contract revenue to all deliverables based on their relative selling prices. The Company uses a hierarchy to determine the selling price to be used for allocating revenue to the deliverables: (i) vendor-specific objective evidence of fair value (“VSOE”), (ii) third-party evidence of the selling price (“TPE”) and</w:t>
      </w:r>
    </w:p>
    <w:p>
      <w:pPr>
        <w:ind w:firstLine="8"/>
        <w:spacing w:after="0" w:line="269" w:lineRule="auto"/>
        <w:tabs>
          <w:tab w:leader="none" w:pos="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best estimate of the selling price (“BESP”). The Company uses VSOE of selling price in the selling price allocation in all instances where it exists. VSOE of selling price for products and services is determined when a substantial majority of the selling prices fall within a reasonable range when sold separately. Otherwise, BESP is used because the Company’s customized application differs substantially from that of competitors, it is difficult to obtain the reliable standalone competitive pricing necessary to establish TPE. Accordingly, the Company uses its best estimate of selling prices of solution development service and PCS (and specific service if applicable) as the basis of revenue allocation. In estimating its selling price for solution development service and PCS (and specific service if applicable), the Company considers the internal estimated cost to provide such services adjusted by reasonable profit margin for similar arrangements, customer demand, and the historical pricing as significant factors to determine the BESP.</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Revenue allocates to solution development service component is recognized using contract accounting in accordance with Accounting Standards Codification (“ASC”) 605-35-25. The revenue recognition for these contracts varies depending on the terms of the individual contracts, and may be recognized proportionally over the term of the contract or deferred until the end of the contract term and recognized when our obligations have been fulfilled with the customer. For contacts with development period within three months, the related revenue is recognized on the completed contract method. Otherwise,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Pursuant to the contract terms, the Company has enforceable right on payments for the work performed. Provisions for estimated losses, if any, on uncompleted contracts are recorded in the period in which such losses become probable based on the current contract estimates. In instances where substantive acceptance provisions are specified in customer contracts, revenues are deferred until all acceptance criteria have been met.</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fixed-priced customized solution arrangement provides customers with rights to unspecified PCS, if and when available. These services grant the customers on line and telephone access to technical support personnel during the term of the service. The revenue allocated to unspecific PCS component is deferred and recognized on a straight-line basis over the PCS period. Revenue allocates to the specific PCS or other services is recognized as the related services are rendered.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 date, the Company has not incurred a material loss on any contracts. However, as a policy, provisions for estimated losses on such engagements will be made during the period in which a loss becomes probable and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Differences between the timing of billings and the recognition of revenue based on various methods of accounting are recorded as deferred revenue.</w:t>
      </w:r>
    </w:p>
    <w:p>
      <w:pPr>
        <w:spacing w:after="0" w:line="23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 The Company reports revenues net of value added tax (“VAT”). The Company’s subsidiaries in the PRC are subject to a 6% to 17% value added tax (“VAT”) and related surcharges on the revenues earned from providing services.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incur in the development of new software modules and products, either as part of internally used software or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 Total government subsidies amounted to $385,448 and $1,282,882 for the years ended June 30, 2017 and 2016, respectively. Total government subsidies amounted to $332,070 and $388,099 for the six-month periods ended December 31, 2017 and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was expensed as incurred.</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 No significant penalties or interest relating to income taxes have been incurred during the years ended June 30, 2017 and 2016 and for the six months ended December 31, 2017 and 2016. All of the tax returns of the Company’s subsidiaries in China remain subject to examination by the tax authorities for five years from the date of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added tax (“VAT”)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Revenue represents the invoiced value of service, net of VAT. The VAT is based on gross sales price and VAT rates range up to 17%, depending on the type of service provided. Entities that are VAT general taxpayers are allowed to offset qualified input VAT paid to suppliers against their output VAT liabilities. Net VAT balance between input VAT and output VAT is recorded in tax payable. All of the VAT returns filed by the Company’s subsidiaries in China, have been and remain subject to examination by the tax authorities for five years from the date of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computes earnings per share (“EPS”) in accordance with ASC 260, “Earnings per Share”. ASC 260 requires companies to present basic and diluted EPS. Basic EPS is measured as net income divided by the weighted average common share outstanding for the period. Diluted EPS presents the dilutive effect on a per share basis of the potential common shares (e.g., convertible securities, options and warrants) as if they had been converted at the beginning of the periods presented, or issuance date, if later. Potential common shares that have an anti-dilutive effect (i.e., those that increase income per share or decrease loss per share) are excluded from the calculation of diluted EPS.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functional currencies of the Company are the local currency of the county in which the subsidiary operates. The Company’s financial statements are reported using U.S. Dollars. The results of operations and the consolidated statements of cash flows denominated in foreign currencies are translated at the average rates of exchange during the reporting period. Assets and liabilities denominated in foreign currencies at the balance sheet date are translated at the applicable rates of exchange in effect at that date. The equity denominated in the functional currencies is translated at the historical rates of exchange at the time of capital contributions. Because cash flows are translated based on the average translation rates,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changes in shareholders’ equity. Gains and losses from foreign currency transactions are included in the consolidated statement of income and comprehensive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revenue, expenses, gains and losses that under GAAP are recorded as an element of shareholders’ equity but are excluded from net income. Other comprehensive income (loss) consists of a foreign currency translation adjustment resulting from the Company not using the U.S. dollar as its functional currencies.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7.2% in fiscal year 2016 and further depreciated by 2.0% in fiscal 2017. The RMB appreciated by 4.0% for the six months ended December 31, 2017 and depreciated by 4.5% for the six months ended December 31, 2016.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4" w:lineRule="exact"/>
        <w:rPr>
          <w:sz w:val="20"/>
          <w:szCs w:val="20"/>
          <w:color w:val="auto"/>
        </w:rPr>
      </w:pPr>
    </w:p>
    <w:p>
      <w:pPr>
        <w:ind w:left="300" w:hanging="292"/>
        <w:spacing w:after="0"/>
        <w:tabs>
          <w:tab w:leader="none" w:pos="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Concentration of credit risk</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2017 and 2016, $4,199,905 and $4,890,214 of the Company’s cash and cash equivalents was on deposit at financial institutions in the PRC where there currently is no rule or regulation requiring such financial institutions to maintain insurance to cover bank deposits in the event of bank failure. As of June 30, 2017, the Company had $130,614, $130,413 and $353,636 of cash and cash equivalents on deposit at financial institutions in Singapore, Australia and Hong Kong, respectively. As of June 30, 2016, the Company had $224,292, $136,914 and $25,776 of cash and cash equivalents on deposit at financial institutions in Singapore, Australia and Hong Kong, respectively.</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of December 31, 2017 and 2016, $ 4,384,139 and $ 5,967,797 of the Company’s cash and cash equivalents was on deposit at financial institutions in the PRC where there currently is no rule or regulation requiring such financial institutions to maintain insurance to cover bank deposits in the event of bank failure. As of December 31, 2017, the Company had $ 47,432, $ 44,794, $134,880 and $ 47,792 of cash and cash equivalents on deposit at financial institutions in Singapore, Australia, Hong Kong and Taiwan, respectively.</w:t>
      </w:r>
    </w:p>
    <w:p>
      <w:pPr>
        <w:sectPr>
          <w:pgSz w:w="11900" w:h="16838" w:orient="portrait"/>
          <w:cols w:equalWidth="0" w:num="1">
            <w:col w:w="11400"/>
          </w:cols>
          <w:pgMar w:left="240" w:top="233" w:right="2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June 30, 2017 and 2016, Citibank accounted for 38.6% and 59.2% of the Company’s total revenues, respectively. For the year ended June 30, 2017, Citibank accounted for 39.1% of the Company’s total accounts receivable balance. For the year ended June 30, 2016, Citibank and eBay accounted for 47.3% and 10.0% of the Company’s total accounts receivable balance.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six months ended December 31, 2017, Citibank accounted for 30.7% of the Company’s total revenues. For the six months ended December 31, 2016, Citibank and eBay accounted for 41% and 15.5% of the Company’s total revenues, respectively. For the six months ended December 31, 2017, Citibank accounted for 33.8% of the Company’s total accounts receivable balance. For the six months ended December 31, 2016, Citibank and eBay accounted for 41.6% and 14.0% of the Company’s total accounts receivable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accordance with ASC 230, “Statement of Cash Flows,”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May 2014, the Financial Accounting Standards Board (“FASB”) issued ASU No. 2014-09, “Revenue from Contracts with Customers (Topic 606)” (“ASU 2014-09”). ASU 2014-09 requires an entity to recognize the amount of revenue to which it expects to be entitled for the transfer of promised goods or services to customers. ASU 2014-09 will replace most existing revenue recognition guidance in U.S. Generally Accepted Accounting Principles when it becomes effective and permits the use of either the retrospective or cumulative effect transition method. The guidance also requires additional disclosure about the nature, amount, timing and uncertainty of revenue and cash flows arising from customer contracts. In August 2015, the FASB issued ASU No.</w:t>
      </w:r>
    </w:p>
    <w:p>
      <w:pPr>
        <w:spacing w:after="0" w:line="2"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2015-14, “Deferral of the Effective Date” (“ASU 2015-14”), which defers the effective date for ASU 2014-09 by one year. For public entities, the guidance in ASU 2014-09 will be effective for annual reporting periods beginning after December 15, 2017 (including interim reporting periods within those periods), which means it will be effective for the Company’s fiscal year beginning July 1, 2018. In March 2016, the FASB issued ASU No. 2016-08, “Principal versus Agent Considerations (Reporting Revenue versus Net)” (“ASU 2016-08”), which clarifies the implementation guidance on principal versus agent considerations in the new revenue recognition standard. In April 2016, the FASB issued ASU No. 2016-10, “Identifying Performance Obligations and Licensing” (“ASU 2016-10”), which reduces the complexity when applying the guidance for identifying performance obligations and improves the operability and understandability of the license implementation guidance. In May 2016, the FASB issued ASU No. 2016-12 “Narrow-Scope Improvements and Practical Expedients” (“ASU 2016-12”), which amends the guidance on transition, collectability, noncash consideration and the presentation of sales and other similar taxes. In December 2016, the FASB further issued ASU 2016-20, “Technical Corrections and Improvements to Topic 606, Revenue from Contracts with Customers” (“ASU 2016-20”), which makes minor corrections or minor improvements to the Codification that are not expected to have a significant effect on current accounting practice or create a significant administrative cost to most entities. The amendments are intended to address implementation and provide additional practical expedients to reduce the cost and complexity of applying the new revenue standard. These amendments have the same effective date as the new revenue standard. In September 2017, the FASB issued ASU No. 2017-13, which to clarify effective dates that public business entities and other entities were required to adopt ASC Topic 606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606 for annual reporting periods beginning after December 15, 2018, and interim reporting periods within annual reporting periods beginning after December 15, 2019. We are planning to adopt Topic 606 in the first quarter of our fiscal -2020 using the retrospective transition method, and are continuing to evaluate the impact our pending adoption of Topic 606 will have on our consolidated financial statements. The Company’s current revenue recognition policies are generally consistent with the new revenue recognition standards set forth in ASU 2014-09. Potential adjustments to input measures are not expected to be pervasive to the majority of the Company’s contracts. While no significant impact is expected upon adoption of the new guidance, the Company will not be able to make that determination until the time of adoption based upon outstanding contracts at that time.</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2015, the FASB issued ASU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fiscal years beginning after December 15, 2016, and interim periods therein and may be applied either prospectively or retrospectively to all periods presented. Early adoption is permitted. The Company elected to early adopt the ASU 2015-17 in 2016 on a retrospective basis. The adoption of ASU 2015-17 did not have material impact on the consolidated financial statements.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February 2016, the FASB issued ASU No. 2016-02, Leases (Topic 842), to increase the transparency and comparability about leases among entities. The new guidance requires lessees to recognize a lease liability and a corresponding lease asset for virtually all lease contracts. It also requires additional disclosures about leasing arrangements. ASU 2016-02 is effective for interim and annual periods beginning after December 15, 2018, and requires a modified retrospective approach to adoption assuming the Company will remain an emerging growth company at that date. Early adoption is permitted. In September 2017, the FASB issued ASU No. 2017-13, which to clarify effective dates that public business entities and other entities were required to adopt ASC Topic 842 for annual reporting. A public business entity that otherwise would not meet the definition of a public business entity except for a requirement to include or the inclusion of its financial statements or financial information in another entity’s filing with the SEC adopting ASC Topic 842 for annual reporting periods beginning after December 15, 2019, and interim reporting periods within annual reporting periods beginning after December 15, 2020. ASU No.</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2017-13 also amended that all components of a leveraged lease be recalculated from inception of the lease based on the revised after tax cash flows arising from the change in the tax law, including revised tax rates. The difference between the amounts originally recorded and the recalculated amounts must be included in income of the year in which the tax law is enacted. The Company has not early adopted this update and it will become effective on July 1, 2020. The Company is currently evaluating the impact of this new standard on its consolidated financial statements and related disclosures.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August, 2016, the FASB issued a new pronouncement ASU 2016-15, Statement of Cash Flows (Topic 230): Classification of Certain Cash Receipts and Cash Payments, which amends the guidance in ASC 230 on the classification of certain cash receipts and payments in the statement of cash flows. The primary purpose of the ASU is to reduce the diversity in practice that has resulted from the lack of consistent principles on this topic. The ASU’s amendments add or clarify guidance on eight cash flow issues: (1)Debt prepayment or debt extinguishment costs; (2)Settlement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(8) Separately identifiable cash flows and application of the predominance principle. For public business entities, the guidance in the ASU is effective for fiscal years beginning after December 15, 2017, including interim periods within those fiscal years assuming the Company will remain as emerging growth company at that date. Early adoption is permitted for all entities. Entities must apply the guidance retrospectively to all periods presented but may apply it prospectively from the earliest date practicable if retrospective application would be impracticable. The Company has not early adopted this update and it will become effective on July 1, 2018. The Company is in the process of evaluating the impact that this guidance will have on its consolidated financial statements.</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October 2016, FASB issued ASU 2016-16, “Income Taxes: Intra-Entity Transfers of Assets Other than Inventory” which amends the accounting for income taxes. The new guidance requires the recognition of the income tax consequences of an intra-entity asset transfer, other than transfers of inventory, when the transfer occurs. For intra-entity transfers of inventory, the income tax effects will continue to be deferred until the inventory has been sold to a third party. The ASU is effective for reporting periods beginning after December 15, 2017 assuming the Company will remain as emerging growth company at the date, with early adoption permitted. The new guidance is required to be applied on a modified retrospective basis through a cumulative-effect adjustment directly to retained earnings as of the beginning of the period of adoption. The Company has not early adopted this update and it will become effective on July 1, 2018. The Company is currently evaluating the effects, if any, that the adoption of this guidance will have on the Company’s consolidated financial position, results of operations and cash flows.</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October 2016, the FASB issued ASU No. 2016-17, Consolidation (Topic 810): Interest Held through Related Parties That Are under Common Control, to provide guidance on the evaluation of whether a reporting entity is the primary beneficiary of a VIE by amending how a reporting entity, that is a single decision maker of a VIE, treats indirect interests in that entity held through related parties that are under common control. The amendments are effective for public business entities for fiscal years beginning after December 15, 2016, including interim periods within those fiscal years assuming the Company will remain an emerging growth company at that date. Early adoption is permitted, including adoption in an interim period. The Company has not early adopted this update and it will become effective on July 1, 2017. The Company is currently evaluating the impact of this new standard on its consolidated financial statements and related disclosures.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ASU clarify the definition of a business with the objective of adding guidance to assist entities with evaluating whether transactions should be accounted for as acquisitions (or disposals) of assets or businesses. These amendments take effect for public businesses for fiscal years beginning after December 15, 2017 and interim periods within those periods assuming the Company will remain an emerging growth company at that date. The Company has not early adopted this update and it will become effective on July 1, 2018. The Company does not expect that the adoption of this guidance will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January 2017 the FASB issued ASU No. 2017-04, “Intangibles—Goodwill and Other (Topic 350): Simplifying the Test for Goodwill Impairment.” This new standard eliminates Step 2 from the goodwill impairment test. Instead, an entity should compare the fair value of a reporting unit with its carrying amount and recognize an impairment charge for the amount by which the carrying amount exceeds the reporting unit’s fair value, not to exceed the total amount of goodwill allocated to the reporting unit. The standard is effective for fiscal years beginning after December 15, 2019, including interim periods within those fiscal years, which means that it will be effective for us in the first quarter of our fiscal year beginning July 1, 2020 assuming the Company still remains an emerging growth company at that date. Early adoption is permitted. The Company is currently evaluating the impact of our pending adoption of ASU 2017-04 on its consolidated financial statements.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2017, the FASB issued ASU No. 2017-09, Scope of Modification Accounting, to provide guidance to clarify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changes in terms or conditions. ASU 2017-09 is effective for all entities for annual periods, and interim periods within those annual periods, beginning after December 15, 2017 assuming the Company still remains an emerging growth company at that date. Early adoption is permitted and application is prospective. The Company has not early adopted this update and it will become effective on July 1, 2018. The Company does not expect that the adoption of this guidance will have a material impact on its consolidated financial statements.</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July 2017, the FASB issued ASU No. 2017-11, Earnings Per Share (Topic 260), Distinguishing Liabilities from Equity (Topic 480), and Derivatives and Hedging (Topic 815). The guidance of Part I is to clarify accounting for certain financial instruments with down round feature in a financial instrument that reduces the strike price of an issued financial instrument if the issuer sells shares of its stock for an amount less than the currently stated strike price of the issued financial instrument or issues an equity-linked financial instrument with a strike price below the currently stated strike price of the issued financial instrument. For freestanding equity classified financial instruments, the amendments require entities that 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The amendments also recharacterize the indefinite deferral of certain provisions of Topic 480 that now are presented as pending content in the Codification, to a scope exception. Those amendments do not have an accounting effect. The amendments in Part I of ASU No. 2017-11 are effective for fiscal years beginning after December 15, 2019, and interim periods within fiscal years beginning after December 15, 2020. Early adoption is permitted for all entities, including adoption in an interim period. The amendments in Part II of this Update do not require any transition guidance because those amendments do not have an accounting effect. The Company has not early adopted this update and it will become effective on July 1, 2020. The Company is currently evaluating the impact of our pending adoption of ASU 2017-11 on its consolidated financial statements.</w:t>
      </w:r>
    </w:p>
    <w:p>
      <w:pPr>
        <w:spacing w:after="0" w:line="18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February 2018, the FASB issued ASU No. 2018-02, “Income Statement—Reporting Comprehensive Income (Topic 220): Reclassification of Certain Tax Effects from Accumulated Other Comprehensive Income”. The amendments eliminate the stranded tax effects resulting from the Tax Cuts and Jobs Act and will improve the usefulness of information reported to financial statement users. ASU No. 2018-02 is effective for all entities for fiscal years beginning after December 15, 2018, and interim periods within those fiscal years. The Company has not early adopted this update and it will become effective on July 1, 2019. The Company does not expect that the adoption of this guidance will have a material impact on its consolidated financial statements.</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February 2018, the FASB issued ASU No. 2018-03, Technical Corrections and Improvements to Financial Instruments—Overall (Subtopic 825-10), to provide guidance to clarify recognition and measurement of financial assets and financial liabilities. The amendments clarify certain aspects of the guidance issued in ASU No. 2016-01. All entities may early adopt ASU No. 2018-03 for fiscal years beginning after December 15, 2017, including interim periods within those fiscal years, as long as they have adopted Update 2016-01. The Company has not early adopted this update and it will become effective on July 1, 2018. The Company is currently evaluating the impact of our pending adoption of ASU 2018-03 on its consolidated financial statements.</w:t>
      </w:r>
    </w:p>
    <w:p>
      <w:pPr>
        <w:spacing w:after="0" w:line="158"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does not believe other recently issued but not yet effective accounting statements, if recently adopted, would have a material effect on the Company’s consolidated balance sheets, statements of income and comprehensive income and statements of cash flows.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2016, CLPS Shanghai acquired 60% of Judge China and its 70% owned subsidiary Judge HR from Judge Company Asia Limited (“Judge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Asia”) with the final purchase price of $480,061 (RMB 3.25 million). The Company funded the acquisition with cash and a payable to Judge Asia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$128,928 (RMB 0.9 million), of which $103,255 was subsequently offset with the Company’s receivables from Judge Asia. The Company believes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 will allow it to better manage opportunities and capitalize on the growth potential in the human resource related industries.</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Intangible – customer relationship, net</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Wages payable and accruals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(290,994)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5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intangible assets include customer contacts of $339,883, which was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 (a) the assembled work force and (b) the expected but unidentifiable business growth as a result of the synergy resulting from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JQ</w:t>
      </w:r>
    </w:p>
    <w:p>
      <w:pPr>
        <w:spacing w:after="0" w:line="225"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On October 17, 2017, the Company acquired 55% of JQ equity interest, and its 100% owned subsidiary – JL in Taiwan for a cash consideration of approximately $0.07 million. As of the acquisition date, the assets of JQ were cash and other receivables and JQ and its subsidiary has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 The Company believes that this investment could offer new opportunities for operational synergies in the related markets.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20"/>
          </w:cols>
          <w:pgMar w:left="240" w:top="233"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ACCOUNTS RECEIVABLE,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Trade accounts receivable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allowance for doubtful accounts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As of</w:t>
            </w:r>
          </w:p>
        </w:tc>
      </w:tr>
      <w:tr>
        <w:trPr>
          <w:trHeight w:val="255"/>
        </w:trPr>
        <w:tc>
          <w:tcPr>
            <w:tcW w:w="25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b w:val="1"/>
                <w:bCs w:val="1"/>
                <w:color w:val="auto"/>
              </w:rPr>
              <w:t>As of June 30,</w:t>
            </w: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30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24612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ind w:left="2844"/>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44" w:hanging="444"/>
        <w:spacing w:after="0"/>
        <w:tabs>
          <w:tab w:leader="none" w:pos="4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6,753,891   $</w:t>
      </w:r>
      <w:r>
        <w:rPr>
          <w:rFonts w:ascii="Arial" w:cs="Arial" w:eastAsia="Arial" w:hAnsi="Arial"/>
          <w:sz w:val="17"/>
          <w:szCs w:val="17"/>
          <w:color w:val="auto"/>
        </w:rPr>
        <w:t>4,420,263   $   10,885,607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-130810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40"/>
        <w:spacing w:after="0"/>
        <w:tabs>
          <w:tab w:leader="none" w:pos="1960" w:val="left"/>
          <w:tab w:leader="none" w:pos="600" w:val="left"/>
        </w:tabs>
        <w:rPr>
          <w:sz w:val="20"/>
          <w:szCs w:val="20"/>
          <w:color w:val="auto"/>
        </w:rPr>
      </w:pPr>
      <w:r>
        <w:rPr>
          <w:rFonts w:ascii="Arial" w:cs="Arial" w:eastAsia="Arial" w:hAnsi="Arial"/>
          <w:sz w:val="18"/>
          <w:szCs w:val="18"/>
          <w:color w:val="auto"/>
        </w:rPr>
        <w:t>(109,117)</w:t>
      </w:r>
      <w:r>
        <w:rPr>
          <w:sz w:val="20"/>
          <w:szCs w:val="20"/>
          <w:color w:val="auto"/>
        </w:rPr>
        <w:tab/>
      </w:r>
      <w:r>
        <w:rPr>
          <w:rFonts w:ascii="Arial" w:cs="Arial" w:eastAsia="Arial" w:hAnsi="Arial"/>
          <w:sz w:val="18"/>
          <w:szCs w:val="18"/>
          <w:color w:val="auto"/>
        </w:rPr>
        <w:t>(46,774)</w:t>
      </w:r>
      <w:r>
        <w:rPr>
          <w:sz w:val="20"/>
          <w:szCs w:val="20"/>
          <w:color w:val="auto"/>
        </w:rPr>
        <w:tab/>
      </w:r>
      <w:r>
        <w:rPr>
          <w:rFonts w:ascii="Arial" w:cs="Arial" w:eastAsia="Arial" w:hAnsi="Arial"/>
          <w:sz w:val="16"/>
          <w:szCs w:val="16"/>
          <w:color w:val="auto"/>
        </w:rPr>
        <w:t>(72,128)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-4716145</wp:posOffset>
            </wp:positionH>
            <wp:positionV relativeFrom="paragraph">
              <wp:posOffset>14605</wp:posOffset>
            </wp:positionV>
            <wp:extent cx="72466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2" w:lineRule="exact"/>
        <w:rPr>
          <w:sz w:val="20"/>
          <w:szCs w:val="20"/>
          <w:color w:val="auto"/>
        </w:rPr>
      </w:pPr>
    </w:p>
    <w:p>
      <w:pPr>
        <w:ind w:left="4"/>
        <w:spacing w:after="0"/>
        <w:tabs>
          <w:tab w:leader="none" w:pos="424" w:val="left"/>
          <w:tab w:leader="none" w:pos="1364" w:val="left"/>
          <w:tab w:leader="none" w:pos="1784" w:val="left"/>
          <w:tab w:leader="none" w:pos="2724" w:val="left"/>
          <w:tab w:leader="none" w:pos="30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6,644,774</w:t>
        <w:tab/>
        <w:t>$</w:t>
      </w:r>
      <w:r>
        <w:rPr>
          <w:sz w:val="20"/>
          <w:szCs w:val="20"/>
          <w:color w:val="auto"/>
        </w:rPr>
        <w:tab/>
      </w:r>
      <w:r>
        <w:rPr>
          <w:rFonts w:ascii="Arial" w:cs="Arial" w:eastAsia="Arial" w:hAnsi="Arial"/>
          <w:sz w:val="18"/>
          <w:szCs w:val="18"/>
          <w:color w:val="auto"/>
        </w:rPr>
        <w:t>4,373,489</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10,813,479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24612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716" w:space="720"/>
            <w:col w:w="3984"/>
          </w:cols>
          <w:pgMar w:left="240" w:top="233" w:right="23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Unbilled accounts receivable included in trade accounts receivable above amounted to $263,434 and Nil as of June 30, 2017 and 2016, respectively. Unbilled accounts receivable included in trade accounts receivable above amounted to $775,305 as of December 31, 2017.</w:t>
      </w:r>
    </w:p>
    <w:p>
      <w:pPr>
        <w:sectPr>
          <w:pgSz w:w="11900" w:h="16838" w:orient="portrait"/>
          <w:cols w:equalWidth="0" w:num="1">
            <w:col w:w="11420"/>
          </w:cols>
          <w:pgMar w:left="240" w:top="233" w:right="2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Movement of the allowance for doubtful accounts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 off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As of</w:t>
            </w:r>
          </w:p>
        </w:tc>
      </w:tr>
      <w:tr>
        <w:trPr>
          <w:trHeight w:val="255"/>
        </w:trPr>
        <w:tc>
          <w:tcPr>
            <w:tcW w:w="240" w:type="dxa"/>
            <w:vAlign w:val="bottom"/>
          </w:tcPr>
          <w:p>
            <w:pPr>
              <w:spacing w:after="0"/>
              <w:rPr>
                <w:sz w:val="22"/>
                <w:szCs w:val="22"/>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As of June 30,</w:t>
            </w:r>
          </w:p>
        </w:tc>
        <w:tc>
          <w:tcPr>
            <w:tcW w:w="12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b w:val="1"/>
                <w:bCs w:val="1"/>
                <w:color w:val="auto"/>
                <w:w w:val="91"/>
              </w:rPr>
              <w:t>(Unaudited)</w:t>
            </w:r>
          </w:p>
        </w:tc>
        <w:tc>
          <w:tcPr>
            <w:tcW w:w="60" w:type="dxa"/>
            <w:vAlign w:val="bottom"/>
            <w:gridSpan w:val="2"/>
          </w:tcPr>
          <w:p>
            <w:pPr>
              <w:spacing w:after="0"/>
              <w:rPr>
                <w:sz w:val="17"/>
                <w:szCs w:val="17"/>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46,774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48,654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109,117</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62,990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1,908</w:t>
            </w:r>
          </w:p>
        </w:tc>
        <w:tc>
          <w:tcPr>
            <w:tcW w:w="4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(42,631)</w:t>
            </w:r>
          </w:p>
        </w:tc>
      </w:tr>
      <w:tr>
        <w:trPr>
          <w:trHeight w:val="244"/>
        </w:trPr>
        <w:tc>
          <w:tcPr>
            <w:tcW w:w="24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3,734</w:t>
            </w:r>
          </w:p>
        </w:tc>
        <w:tc>
          <w:tcPr>
            <w:tcW w:w="40" w:type="dxa"/>
            <w:vAlign w:val="bottom"/>
          </w:tcPr>
          <w:p>
            <w:pPr>
              <w:spacing w:after="0"/>
              <w:rPr>
                <w:sz w:val="21"/>
                <w:szCs w:val="2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109,117</w:t>
            </w:r>
          </w:p>
        </w:tc>
        <w:tc>
          <w:tcPr>
            <w:tcW w:w="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46,774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72,128</w:t>
            </w:r>
          </w:p>
        </w:tc>
        <w:tc>
          <w:tcPr>
            <w:tcW w:w="40" w:type="dxa"/>
            <w:vAlign w:val="bottom"/>
          </w:tcPr>
          <w:p>
            <w:pPr>
              <w:spacing w:after="0"/>
              <w:rPr>
                <w:sz w:val="21"/>
                <w:szCs w:val="2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6" w:lineRule="exact"/>
        <w:rPr>
          <w:sz w:val="20"/>
          <w:szCs w:val="20"/>
          <w:color w:val="auto"/>
        </w:rPr>
      </w:pPr>
    </w:p>
    <w:p>
      <w:pPr>
        <w:sectPr>
          <w:pgSz w:w="11900" w:h="16838" w:orient="portrait"/>
          <w:cols w:equalWidth="0" w:num="2">
            <w:col w:w="6720" w:space="720"/>
            <w:col w:w="39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5 – PREPAYMENTS, DEPOSITS AND OTHER ASSETS,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7440" w:type="dxa"/>
            <w:vAlign w:val="bottom"/>
          </w:tcPr>
          <w:p>
            <w:pPr>
              <w:spacing w:after="0"/>
              <w:rPr>
                <w:sz w:val="20"/>
                <w:szCs w:val="20"/>
                <w:color w:val="auto"/>
              </w:rPr>
            </w:pPr>
            <w:r>
              <w:rPr>
                <w:rFonts w:ascii="Arial" w:cs="Arial" w:eastAsia="Arial" w:hAnsi="Arial"/>
                <w:sz w:val="18"/>
                <w:szCs w:val="18"/>
                <w:color w:val="auto"/>
              </w:rPr>
              <w:t>Prepayments, deposits and other assets consisted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As of June 30,</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421,102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Advances and deposits to suppliers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231,731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216,752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179,384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58,732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Note receivable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21,813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103,840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(41,602)</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(18,390)</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(47,794)</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702,174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374,404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1,073,899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Long term portion</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(123,783)</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(114,248)</w:t>
            </w: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(121,405)</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952,494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Movement of the allowance for doubtful accounts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As of June 30,</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23,473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41,602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18,390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 TERM INVESTMENT</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Company’s subsidiary CLPS Shanghai invested $45,141 (or RMB 300,000) in Guangzhou Rongzhuan Technology Co., Ltd (“Guangzhou Rongzhuan”) to acquire a 30% equity interest in Guangzhou Rongzhuan. The balance of 70% of the equity of Guangzhou Rongzhuan was held by three independent shareholders. Rongzhuan provides system training and software development business in Guangzhou, PRC. As the Company has the ability to exercise significant influence over the operating and financial decisions, the equity method was used to account for the investment. Due to Guangzhou Ronghuan’s slow business development, CLPS Shanghai in March 2017 sold its investment to the other existing shareholders of Guangzhou Rongzhuan at cost.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June 30,</w:t>
            </w:r>
          </w:p>
        </w:tc>
        <w:tc>
          <w:tcPr>
            <w:tcW w:w="8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386,590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328,025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516,300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Office Furniture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100,524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104,817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108,144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122,128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Leasehold improvement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66,157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67,485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78,342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536,749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(315,630)</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(209,929)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(407,888)</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273,347</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326,820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417,026</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Depreciation expense was $109,356 and $54,105 for the years ended June 30, 2017 and 2016, respectively. Depreciation expense was $76,014 and $63,131 for the six months ended December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customer contacts acquired by Judge China. Judge China was acquired by the Company on November 9, 2016 (Note 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As of June 30,</w:t>
            </w:r>
          </w:p>
        </w:tc>
        <w:tc>
          <w:tcPr>
            <w:tcW w:w="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contacts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339,883</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354,144</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(34,419)</w:t>
            </w:r>
          </w:p>
        </w:tc>
        <w:tc>
          <w:tcPr>
            <w:tcW w:w="92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(62,760)</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291,384</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Amortization expense was $34,270 for the year ended June 30, 2017. Amortization expense was $26,351 and $8,647 for the six months ended December 31, 2017 and 2016, respectively. Estimated future amortization expense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4180" w:type="dxa"/>
            <w:vAlign w:val="bottom"/>
          </w:tcPr>
          <w:p>
            <w:pPr>
              <w:spacing w:after="0"/>
              <w:rPr>
                <w:sz w:val="20"/>
                <w:szCs w:val="20"/>
                <w:color w:val="auto"/>
              </w:rPr>
            </w:pPr>
            <w:r>
              <w:rPr>
                <w:rFonts w:ascii="Arial" w:cs="Arial" w:eastAsia="Arial" w:hAnsi="Arial"/>
                <w:sz w:val="18"/>
                <w:szCs w:val="18"/>
                <w:b w:val="1"/>
                <w:bCs w:val="1"/>
                <w:color w:val="auto"/>
              </w:rPr>
              <w:t>Twelve months ending December 31,</w:t>
            </w:r>
          </w:p>
        </w:tc>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r>
      <w:tr>
        <w:trPr>
          <w:trHeight w:val="216"/>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2019</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53,794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2021</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53,794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53,794</w:t>
            </w:r>
          </w:p>
        </w:tc>
      </w:tr>
      <w:tr>
        <w:trPr>
          <w:trHeight w:val="237"/>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Remaining</w:t>
            </w:r>
          </w:p>
        </w:tc>
        <w:tc>
          <w:tcPr>
            <w:tcW w:w="58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Borders>
              <w:bottom w:val="single" w:sz="8" w:color="CCEEFF"/>
            </w:tcBorders>
          </w:tcPr>
          <w:p>
            <w:pPr>
              <w:spacing w:after="0"/>
              <w:rPr>
                <w:sz w:val="20"/>
                <w:szCs w:val="20"/>
                <w:color w:val="auto"/>
              </w:rPr>
            </w:pPr>
          </w:p>
        </w:tc>
      </w:tr>
      <w:tr>
        <w:trPr>
          <w:trHeight w:val="25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180" w:type="dxa"/>
            <w:vAlign w:val="bottom"/>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291,384</w:t>
            </w:r>
          </w:p>
        </w:tc>
      </w:tr>
      <w:tr>
        <w:trPr>
          <w:trHeight w:val="21"/>
        </w:trPr>
        <w:tc>
          <w:tcPr>
            <w:tcW w:w="41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18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3"/>
          </w:tcPr>
          <w:p>
            <w:pPr>
              <w:jc w:val="right"/>
              <w:ind w:right="4377"/>
              <w:spacing w:after="0"/>
              <w:rPr>
                <w:sz w:val="20"/>
                <w:szCs w:val="20"/>
                <w:color w:val="auto"/>
              </w:rPr>
            </w:pPr>
            <w:r>
              <w:rPr>
                <w:rFonts w:ascii="Arial" w:cs="Arial" w:eastAsia="Arial" w:hAnsi="Arial"/>
                <w:sz w:val="18"/>
                <w:szCs w:val="18"/>
                <w:color w:val="auto"/>
              </w:rPr>
              <w:t>F-25</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840" w:type="dxa"/>
            <w:vAlign w:val="bottom"/>
            <w:tcBorders>
              <w:top w:val="single" w:sz="8" w:color="0000EE"/>
            </w:tcBorders>
          </w:tcPr>
          <w:p>
            <w:pPr>
              <w:spacing w:after="0"/>
              <w:rPr>
                <w:sz w:val="24"/>
                <w:szCs w:val="24"/>
                <w:color w:val="auto"/>
              </w:rPr>
            </w:pPr>
          </w:p>
        </w:tc>
        <w:tc>
          <w:tcPr>
            <w:tcW w:w="660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CLPS INCORPORATION</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6600" w:type="dxa"/>
            <w:vAlign w:val="bottom"/>
          </w:tcPr>
          <w:p>
            <w:pPr>
              <w:jc w:val="center"/>
              <w:ind w:left="1070"/>
              <w:spacing w:after="0"/>
              <w:rPr>
                <w:sz w:val="20"/>
                <w:szCs w:val="20"/>
                <w:color w:val="auto"/>
              </w:rPr>
            </w:pPr>
            <w:r>
              <w:rPr>
                <w:rFonts w:ascii="Arial" w:cs="Arial" w:eastAsia="Arial" w:hAnsi="Arial"/>
                <w:sz w:val="18"/>
                <w:szCs w:val="18"/>
                <w:b w:val="1"/>
                <w:bCs w:val="1"/>
                <w:color w:val="auto"/>
              </w:rPr>
              <w:t>NOTES TO CONSOLIDATED FINANCIAL STATEMENTS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NOTE 9 – GOODWILL</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40" w:type="dxa"/>
            <w:vAlign w:val="bottom"/>
            <w:gridSpan w:val="2"/>
          </w:tcPr>
          <w:p>
            <w:pPr>
              <w:spacing w:after="0"/>
              <w:rPr>
                <w:sz w:val="20"/>
                <w:szCs w:val="20"/>
                <w:color w:val="auto"/>
              </w:rPr>
            </w:pPr>
            <w:r>
              <w:rPr>
                <w:rFonts w:ascii="Arial" w:cs="Arial" w:eastAsia="Arial" w:hAnsi="Arial"/>
                <w:sz w:val="18"/>
                <w:szCs w:val="18"/>
                <w:color w:val="auto"/>
              </w:rPr>
              <w:t>The changes in the carrying amount of goodwill were as follows: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For six</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For the year</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months ended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ended June 30,</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the period</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Goodwill arising from acquisition of Judge China (Note 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194,237</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vMerge w:val="restart"/>
          </w:tcPr>
          <w:p>
            <w:pPr>
              <w:ind w:left="60"/>
              <w:spacing w:after="0"/>
              <w:rPr>
                <w:sz w:val="20"/>
                <w:szCs w:val="20"/>
                <w:color w:val="auto"/>
              </w:rPr>
            </w:pPr>
            <w:r>
              <w:rPr>
                <w:rFonts w:ascii="Arial" w:cs="Arial" w:eastAsia="Arial" w:hAnsi="Arial"/>
                <w:sz w:val="18"/>
                <w:szCs w:val="18"/>
                <w:color w:val="auto"/>
              </w:rPr>
              <w:t>Balance at the end of the period</w:t>
            </w: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40" w:type="dxa"/>
            <w:vAlign w:val="bottom"/>
            <w:gridSpan w:val="2"/>
            <w:vMerge w:val="continue"/>
          </w:tcPr>
          <w:p>
            <w:pPr>
              <w:spacing w:after="0"/>
              <w:rPr>
                <w:sz w:val="20"/>
                <w:szCs w:val="20"/>
                <w:color w:val="auto"/>
              </w:rPr>
            </w:pP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195,080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203,265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performed its annual goodwill impairment review for the year ended June 30, 2017 and for the six months ended December 31, 2017, and determined there was no impairment as of June 30, 2017 and as of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10 – SHORT-TERM BANK LOANS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Outstanding balances of short-term bank loans consisted of the following:</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r>
      <w:tr>
        <w:trPr>
          <w:trHeight w:val="255"/>
        </w:trPr>
        <w:tc>
          <w:tcPr>
            <w:tcW w:w="7440" w:type="dxa"/>
            <w:vAlign w:val="bottom"/>
          </w:tcPr>
          <w:p>
            <w:pPr>
              <w:spacing w:after="0"/>
              <w:rPr>
                <w:sz w:val="22"/>
                <w:szCs w:val="22"/>
                <w:color w:val="auto"/>
              </w:rPr>
            </w:pPr>
          </w:p>
        </w:tc>
        <w:tc>
          <w:tcPr>
            <w:tcW w:w="23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As of June 30,</w:t>
            </w:r>
          </w:p>
        </w:tc>
        <w:tc>
          <w:tcPr>
            <w:tcW w:w="2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7440" w:type="dxa"/>
            <w:vAlign w:val="bottom"/>
          </w:tcPr>
          <w:p>
            <w:pPr>
              <w:spacing w:after="0"/>
              <w:rPr>
                <w:sz w:val="20"/>
                <w:szCs w:val="20"/>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2"/>
              </w:rPr>
              <w:t>Loan from Bank of Communication, with an interest rate of 5.655% per annum due February 8, 2018</w:t>
            </w:r>
          </w:p>
        </w:tc>
        <w:tc>
          <w:tcPr>
            <w:tcW w:w="920" w:type="dxa"/>
            <w:vAlign w:val="bottom"/>
            <w:shd w:val="clear" w:color="auto" w:fill="CCEEFF"/>
          </w:tcPr>
          <w:p>
            <w:pPr>
              <w:jc w:val="right"/>
              <w:ind w:right="755"/>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   $</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753,116</w:t>
            </w: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November 6, 2017, the Company entered into a revolving credit facility with Bank of Communication (“BC Credit Facility”) which permits the Company to borrow up to approximately $753,100 (RMB 5,000,000) during the period from October 9, 2017 to October 9, 2018. On February 8, 2018, the Company repaid the loan.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February 8, 2018, the Company borrowed $775,047 (RMB 4,900,000) from Bank of Communication at an interest rate of 5.655% per annum and due on July 20, 2018.</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May 17, 2017, the Company entered into a revolving credit facility with China Merchants Bank (“CMB Credit Facility “) which permits the Company to borrow up to approximately $753,100 (RMB 5,000,000) during the period from May 17, 2017 to May 16, 2018. The CMB Credit Facility is guaranteed by the CEO and Chairman and President of the Company as joint guarantors. During the six months ended December 31, 2017, the Company borrowed $1,505,752 (RMB 10,000,000) from CMB Credit Facility which was fully repaid as of December 31, 2017.</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January 3, 2018, the Company entered into an additional credit facility with China Merchants Bank which permits the Company to borrow up to $1,111,712 (RMB 7,000,000) with an interest rate at 5.655% per annum expiring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2018, the Company borrowed $1,906,193 (RMB 12,000,000) from China Merchants Bank. These loans are due in May and July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$14,681 and Nil for the six months ended December 31, 2017 and 2016,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11 – SALARIES AND BENEFITS PAYABLE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of</w:t>
            </w:r>
          </w:p>
        </w:tc>
      </w:tr>
      <w:tr>
        <w:trPr>
          <w:trHeight w:val="255"/>
        </w:trPr>
        <w:tc>
          <w:tcPr>
            <w:tcW w:w="7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of June 30,</w:t>
            </w:r>
          </w:p>
        </w:tc>
        <w:tc>
          <w:tcPr>
            <w:tcW w:w="120" w:type="dxa"/>
            <w:vAlign w:val="bottom"/>
          </w:tcPr>
          <w:p>
            <w:pPr>
              <w:spacing w:after="0"/>
              <w:rPr>
                <w:sz w:val="22"/>
                <w:szCs w:val="22"/>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7"/>
        </w:trPr>
        <w:tc>
          <w:tcPr>
            <w:tcW w:w="7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r>
      <w:tr>
        <w:trPr>
          <w:trHeight w:val="264"/>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5,392,434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4,578,928</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$7,190,519</w:t>
            </w: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Wages and benefits payable included $2,349,795 and $2,360,272 accrued employer portion of social benefit payable to local government for the years ended June 30, 2017 and 2016, respectively. Wages and benefits payable included $2,569,719 accrued employer portion of social benefit payable to local government for the six months ended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12 – RELATED PARTY TRANSACTIONS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55"/>
        </w:trPr>
        <w:tc>
          <w:tcPr>
            <w:tcW w:w="7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12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CLPS Beijing</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Affiliates of non-controlling interest shareholder of Judge China*</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118,006</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60,136</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 The amount was subsequently offset with the acquisition payable (Note 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Due to related parties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Shanghai Qisheng Co., Ltd (“Qisheng”), controlled by the Chairman of the Company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Mr. Raymond Ming Hui Lin, CEO of the Company (i)</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1,722,711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854,192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shareholder of JQ</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66,116</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Non-controlling interest shareholder of CLPS Beijing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1,729,791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1,148,197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920,373</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60" w:right="2200" w:hanging="5552"/>
        <w:spacing w:after="0" w:line="778" w:lineRule="auto"/>
        <w:tabs>
          <w:tab w:leader="none" w:pos="3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Due to related parties mainly represents the unpaid bonus, dividends, wages and other benefit to the Company’s executives. 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w:t>
      </w:r>
    </w:p>
    <w:p>
      <w:pPr>
        <w:spacing w:after="0" w:line="225"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CLPS Hong Kong was established in Hong Kong and is subject to statutory income tax rate at 16.5%. CLPS SG are subject to Singapore income taxes at the rate of 17%. CLPS AU was established in Australia and subject to corporate income tax at 30%. JL are subject to Taiwan income taxes at the rate of 17%.</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Enterprise Income Tax (“EIT”) Law of PRC, domestic enterprises and Foreign Investment Enterprises (the “FIE”) are usually subject to a unified 25% enterprise income tax rate while preferential tax rates, tax holidays and even tax exemption may be granted on case-by-case basis. EIT grants preferential tax treatment to certain High and New Technology Enterprises (“HNTEs”). Under this preferential tax treatment, HNTEs are entitled to an income tax rate of 15%, subject to a requirement that they re-apply for HNTE status every three years. CLPS Shanghai, the Company’s main operating subsidiary in PRC, has been approved as HNTEs in 2010 and reapproved in 2013 and 2016. The Company is entitled to a reduced income tax rate of 15% through November 2019. In addition, CLPS Dalian has qualified as a Software Enterprise company and enjoys a two-year income tax exemption starting from their first profitable year, followed by a reduced income tax rate of 12.5% for the subsequent three years.</w:t>
      </w:r>
    </w:p>
    <w:p>
      <w:pPr>
        <w:spacing w:after="0" w:line="17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EIT is typically governed by the local tax authority in China. Each local tax authority at times may grant tax holidays to local enterprises as a way to encourage entrepreneurship and stimulate local economy. The impact of the tax holidays noted above decreased income taxes by $317,488 and $290,159 for the fiscal year 2017 and 2016, respectively. The benefit of the tax holidays on net income per share (basic and diluted) was $0.03 and $0.03 for the years ended June 30, 2017 and 2016, respectively. The impact of the tax holidays noted above decreased income taxes by $166,596 and $155,809 for the six months ended December 31, 2017 and 2016, respectively. The benefit of the tax holidays on net income per share (basic and diluted) was $0.01 for the six months ended December 31, 2017 and 2016,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For the years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jc w:val="right"/>
              <w:ind w:right="38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41"/>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2016</w:t>
            </w: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2,516,211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2,297,424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1,705,753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1,122,323</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Non-PRC</w:t>
            </w:r>
          </w:p>
        </w:tc>
        <w:tc>
          <w:tcPr>
            <w:tcW w:w="12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(413,400)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(243,300)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(254,302)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(151,392)</w:t>
            </w:r>
          </w:p>
        </w:tc>
      </w:tr>
      <w:tr>
        <w:trPr>
          <w:trHeight w:val="27"/>
        </w:trPr>
        <w:tc>
          <w:tcPr>
            <w:tcW w:w="57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2,102,811</w:t>
            </w:r>
          </w:p>
        </w:tc>
        <w:tc>
          <w:tcPr>
            <w:tcW w:w="16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2,054,124</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1,451,451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970,931</w:t>
            </w:r>
          </w:p>
        </w:tc>
      </w:tr>
      <w:tr>
        <w:trPr>
          <w:trHeight w:val="21"/>
        </w:trPr>
        <w:tc>
          <w:tcPr>
            <w:tcW w:w="5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w w:val="91"/>
              </w:rPr>
              <w:t>The following table reconciles the statutory rate to the Company’s effective tax rate: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1"/>
              </w:rPr>
              <w:t>For the years ended</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41"/>
        </w:trPr>
        <w:tc>
          <w:tcPr>
            <w:tcW w:w="5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9"/>
          </w:tcPr>
          <w:p>
            <w:pPr>
              <w:jc w:val="right"/>
              <w:ind w:right="9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57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w w:val="94"/>
              </w:rPr>
              <w:t>2017</w:t>
            </w:r>
          </w:p>
        </w:tc>
        <w:tc>
          <w:tcPr>
            <w:tcW w:w="3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gridSpan w:val="2"/>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(Unaudited)</w:t>
            </w:r>
          </w:p>
        </w:tc>
        <w:tc>
          <w:tcPr>
            <w:tcW w:w="220" w:type="dxa"/>
            <w:vAlign w:val="bottom"/>
            <w:gridSpan w:val="3"/>
          </w:tcPr>
          <w:p>
            <w:pPr>
              <w:spacing w:after="0"/>
              <w:rPr>
                <w:sz w:val="18"/>
                <w:szCs w:val="18"/>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2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PRC preferential tax rate and tax holidays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R&amp;D credits</w:t>
            </w:r>
          </w:p>
        </w:tc>
        <w:tc>
          <w:tcPr>
            <w:tcW w:w="120" w:type="dxa"/>
            <w:vAlign w:val="bottom"/>
          </w:tcPr>
          <w:p>
            <w:pPr>
              <w:spacing w:after="0"/>
              <w:rPr>
                <w:sz w:val="18"/>
                <w:szCs w:val="18"/>
                <w:color w:val="auto"/>
              </w:rPr>
            </w:pP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(13.6)%</w:t>
            </w:r>
          </w:p>
        </w:tc>
      </w:tr>
      <w:tr>
        <w:trPr>
          <w:trHeight w:val="250"/>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 and others*</w:t>
            </w: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57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tax rate</w:t>
            </w:r>
          </w:p>
        </w:tc>
        <w:tc>
          <w:tcPr>
            <w:tcW w:w="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1"/>
              </w:rPr>
              <w:t>)%</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w w:val="90"/>
              </w:rPr>
              <w:t>)%</w:t>
            </w:r>
          </w:p>
        </w:tc>
      </w:tr>
      <w:tr>
        <w:trPr>
          <w:trHeight w:val="21"/>
        </w:trPr>
        <w:tc>
          <w:tcPr>
            <w:tcW w:w="5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560" w:right="1920" w:hanging="5552"/>
        <w:spacing w:after="0" w:line="778" w:lineRule="auto"/>
        <w:tabs>
          <w:tab w:leader="none" w:pos="3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Permanent difference and other primarily represented tax effect on the intercompany transactions and non-deductible expenses.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 - continued</w:t>
      </w:r>
    </w:p>
    <w:p>
      <w:pPr>
        <w:sectPr>
          <w:pgSz w:w="11900" w:h="16838" w:orient="portrait"/>
          <w:cols w:equalWidth="0" w:num="1">
            <w:col w:w="11420"/>
          </w:cols>
          <w:pgMar w:left="240" w:top="233" w:right="239" w:bottom="1440" w:gutter="0" w:footer="0" w:header="0"/>
        </w:sectPr>
      </w:pPr>
    </w:p>
    <w:p>
      <w:pPr>
        <w:spacing w:after="0" w:line="225"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provision (benefit) for income tax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Current income tax provision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(benefit) provision</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(benefit) provision for income tax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5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For the years ended</w:t>
            </w:r>
          </w:p>
        </w:tc>
        <w:tc>
          <w:tcPr>
            <w:tcW w:w="10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41"/>
        </w:trPr>
        <w:tc>
          <w:tcPr>
            <w:tcW w:w="240" w:type="dxa"/>
            <w:vAlign w:val="bottom"/>
          </w:tcPr>
          <w:p>
            <w:pPr>
              <w:spacing w:after="0"/>
              <w:rPr>
                <w:sz w:val="20"/>
                <w:szCs w:val="20"/>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201" w:lineRule="exact"/>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w w:val="89"/>
              </w:rPr>
              <w:t>(Unaudited)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102,568</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365,866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16,944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(96,713)</w:t>
            </w:r>
          </w:p>
        </w:tc>
        <w:tc>
          <w:tcPr>
            <w:tcW w:w="1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109,116</w:t>
            </w:r>
          </w:p>
        </w:tc>
        <w:tc>
          <w:tcPr>
            <w:tcW w:w="1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(124,663)</w:t>
            </w: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(118,546</w:t>
            </w:r>
          </w:p>
        </w:tc>
        <w:tc>
          <w:tcPr>
            <w:tcW w:w="140" w:type="dxa"/>
            <w:vAlign w:val="bottom"/>
            <w:vMerge w:val="continue"/>
          </w:tcPr>
          <w:p>
            <w:pPr>
              <w:spacing w:after="0"/>
              <w:rPr>
                <w:sz w:val="21"/>
                <w:szCs w:val="21"/>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269,153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126,060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(54,042</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-205105</wp:posOffset>
            </wp:positionV>
            <wp:extent cx="7246620"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233" w:right="239" w:bottom="1440" w:gutter="0" w:footer="0" w:header="0"/>
          <w:type w:val="continuous"/>
        </w:sectPr>
      </w:pPr>
    </w:p>
    <w:p>
      <w:pPr>
        <w:spacing w:after="0" w:line="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December 31, 2017, the tax years ended December 31, 2011 through December 31, 2017 for the Company’s PRC entities remain open for statutory examination by PRC tax authorities.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the amounts used for income tax purposes. As of June 30, 2017 and 2016, the Company had net operating loss carry forwards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$1,234,500 and $131,500, respectively, from the Company’s PRC subsidiaries, which will expire by December 31, 2021. As of June 30, 2017,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net operating loss carry forwards of approximately $415,800, $40,600 and $200,200 from its operations in Singapore, Australia and Hong Kong,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As of December 31, 2017 and 2016, the Company had net operating loss carry forwards of approximately $ 1,697,878 and $ 1,386,817,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from the Company’s PRC subsidiaries, which will expire by December 31, 2021. As of December 31, 2017, the Company had net operating loss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carry forwards of approximately $ 504,856, $ 107,095 and $42,225 from its operations in Singapore, Australia and Hong Kong, respectively. The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losses in Singapore, Australia and Hong Kong will be carried forward indefinitely.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The significant components of the deferred tax assets are as follows: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 carry forwards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423,543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9,611</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404,230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Unbilled accounts receivables</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(62,855)</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(175,367)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contract cost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(71,346)</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21"/>
                <w:szCs w:val="21"/>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(134,201</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(7,360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(203,616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deferred tax assets, net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298,953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74,479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200,614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ultimate realization of deferred tax assets is dependent upon the generation of future taxable income during the periods in which those temporary differences become deductible. Management considers the cumulative earnings and projected future taxable income in making this assessment. Recovery of substantially all of the group’s deferred tax assets is dependent upon the generation of future income, exclusive of reversing taxable temporary differences. Based upon the level of historical taxable income and projections for future taxable income over the periods in which the deferred tax assets are recoverable, management believes that it is more likely than not that the results of future operations will generate sufficient taxable income to realize the deferred tax assets as at June 30, 2017 and 2016 and December 31, 2017.</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Taxes Payable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The Company’s taxes payable consists of the following:</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63,988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taxes payable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458,828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225,611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513,423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taxes payable</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640,864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428,675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688,117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As of June 30, 2017 and 2016, the Company did not have any significant unrecognized uncertain tax positions. The Company did not incur any interest and penalties related to potential underpaid income tax expenses for the years ended June 30, 2017 and 2016 and also does not anticipate any significant increases or decreases in unrecognized tax benefits in the next 12 months from June 30, 2017. As of December 31, 2017 and 2016, the Company did not have any significant unrecognized uncertain tax positions. The Company did not incur any interest and penalties related to potential underpaid income tax expenses for the six months ended December 31, 2017 and 2016 and also does not anticipate any significant increases or decreases in unrecognized tax benefits in the next 12 months from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Company’s subsidiaries lease administrative office space under various operating leases. Rent expense amounted to $565,328 and $431,043 for the years ended June 30, 2017 and 2016,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Rent expense amounted to $310,505 and $244,458 for the periods ended December 31, 2017 and 2016, respectively.</w:t>
      </w:r>
    </w:p>
    <w:p>
      <w:pPr>
        <w:sectPr>
          <w:pgSz w:w="11900" w:h="16838" w:orient="portrait"/>
          <w:cols w:equalWidth="0" w:num="1">
            <w:col w:w="11420"/>
          </w:cols>
          <w:pgMar w:left="240" w:top="233"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expense</w:t>
      </w:r>
    </w:p>
    <w:p>
      <w:pPr>
        <w:spacing w:after="0" w:line="22" w:lineRule="exact"/>
        <w:rPr>
          <w:sz w:val="20"/>
          <w:szCs w:val="20"/>
          <w:color w:val="auto"/>
        </w:rPr>
      </w:pPr>
    </w:p>
    <w:p>
      <w:pPr>
        <w:ind w:left="421" w:hanging="421"/>
        <w:spacing w:after="0"/>
        <w:tabs>
          <w:tab w:leader="none" w:pos="421" w:val="left"/>
        </w:tabs>
        <w:numPr>
          <w:ilvl w:val="0"/>
          <w:numId w:val="74"/>
        </w:numPr>
        <w:rPr>
          <w:rFonts w:ascii="Arial" w:cs="Arial" w:eastAsia="Arial" w:hAnsi="Arial"/>
          <w:sz w:val="16"/>
          <w:szCs w:val="16"/>
          <w:color w:val="auto"/>
        </w:rPr>
      </w:pPr>
      <w:r>
        <w:rPr>
          <w:rFonts w:ascii="Arial" w:cs="Arial" w:eastAsia="Arial" w:hAnsi="Arial"/>
          <w:sz w:val="16"/>
          <w:szCs w:val="16"/>
          <w:color w:val="auto"/>
        </w:rPr>
        <w:t>543,174</w:t>
      </w:r>
    </w:p>
    <w:p>
      <w:pPr>
        <w:spacing w:after="0" w:line="46" w:lineRule="exact"/>
        <w:rPr>
          <w:rFonts w:ascii="Arial" w:cs="Arial" w:eastAsia="Arial" w:hAnsi="Arial"/>
          <w:sz w:val="16"/>
          <w:szCs w:val="16"/>
          <w:color w:val="auto"/>
        </w:rPr>
      </w:pPr>
    </w:p>
    <w:p>
      <w:pPr>
        <w:ind w:left="421"/>
        <w:spacing w:after="0"/>
        <w:rPr>
          <w:rFonts w:ascii="Arial" w:cs="Arial" w:eastAsia="Arial" w:hAnsi="Arial"/>
          <w:sz w:val="16"/>
          <w:szCs w:val="16"/>
          <w:color w:val="auto"/>
        </w:rPr>
      </w:pPr>
      <w:r>
        <w:rPr>
          <w:rFonts w:ascii="Arial" w:cs="Arial" w:eastAsia="Arial" w:hAnsi="Arial"/>
          <w:sz w:val="16"/>
          <w:szCs w:val="16"/>
          <w:color w:val="auto"/>
        </w:rPr>
        <w:t>217,397</w:t>
      </w:r>
    </w:p>
    <w:p>
      <w:pPr>
        <w:spacing w:after="0" w:line="32" w:lineRule="exact"/>
        <w:rPr>
          <w:rFonts w:ascii="Arial" w:cs="Arial" w:eastAsia="Arial" w:hAnsi="Arial"/>
          <w:sz w:val="16"/>
          <w:szCs w:val="16"/>
          <w:color w:val="auto"/>
        </w:rPr>
      </w:pPr>
    </w:p>
    <w:p>
      <w:pPr>
        <w:ind w:left="521"/>
        <w:spacing w:after="0"/>
        <w:rPr>
          <w:rFonts w:ascii="Arial" w:cs="Arial" w:eastAsia="Arial" w:hAnsi="Arial"/>
          <w:sz w:val="16"/>
          <w:szCs w:val="16"/>
          <w:color w:val="auto"/>
        </w:rPr>
      </w:pPr>
      <w:r>
        <w:rPr>
          <w:rFonts w:ascii="Arial" w:cs="Arial" w:eastAsia="Arial" w:hAnsi="Arial"/>
          <w:sz w:val="16"/>
          <w:szCs w:val="16"/>
          <w:color w:val="auto"/>
        </w:rPr>
        <w:t>24,860</w:t>
      </w:r>
    </w:p>
    <w:p>
      <w:pPr>
        <w:spacing w:after="0" w:line="45" w:lineRule="exact"/>
        <w:rPr>
          <w:sz w:val="20"/>
          <w:szCs w:val="20"/>
          <w:color w:val="auto"/>
        </w:rPr>
      </w:pPr>
    </w:p>
    <w:p>
      <w:pPr>
        <w:ind w:left="421" w:hanging="421"/>
        <w:spacing w:after="0"/>
        <w:tabs>
          <w:tab w:leader="none" w:pos="421" w:val="left"/>
        </w:tabs>
        <w:numPr>
          <w:ilvl w:val="0"/>
          <w:numId w:val="75"/>
        </w:numPr>
        <w:rPr>
          <w:rFonts w:ascii="Arial" w:cs="Arial" w:eastAsia="Arial" w:hAnsi="Arial"/>
          <w:sz w:val="16"/>
          <w:szCs w:val="16"/>
          <w:color w:val="auto"/>
        </w:rPr>
      </w:pPr>
      <w:r>
        <w:rPr>
          <w:rFonts w:ascii="Arial" w:cs="Arial" w:eastAsia="Arial" w:hAnsi="Arial"/>
          <w:sz w:val="16"/>
          <w:szCs w:val="16"/>
          <w:color w:val="auto"/>
        </w:rPr>
        <w:t>785,431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432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325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432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9579" w:space="720"/>
            <w:col w:w="1121"/>
          </w:cols>
          <w:pgMar w:left="240" w:top="233" w:right="23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CLPS was established under the laws of Cayman Islands on May 11, 2017. The original authorized number of common shares was 1 share with a par value of $1. After an amendment on December 7, 2017, the authorized number of common shares became 100,000,000 shares with a par value of $0.0001 each. As of June 30, 2017 and 2016 and December 31 2017, 11,290,000 shares were issued at par value, the equivalent to share capital of $1,129 for each of the period ended 2017 and 2016. The shares are presented on a retroactive basis to reflect the nominal share issuance discussed below.</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18, 2017, the Board of Directors (“Board”) approved the 2017 Stock Incentive Plan (“Plan”), subject to approval by the Company’s shareholders. The Plan is a stock-based compensation plan that provides for discretionary grants of, among others, stock options, stock awards and stock unit awards to key employees and directors of the Company. The purpose of the Plan is to recognize contributions made to our company and its subsidiaries by such individuals and to provide them with additional incentive to achieve the objectives of our Company. The Board authorized up to 2,210,000 shares for grants under the terms of the Plan. The grants under the Plan generally have a maximum contractual term of ten years from the date of grant. Stock awards granted under the plan at the determination of the Board shall be effective and exercisable upon the Company’ completion of an initial public offering of its securities. The terms of individual agreements for various grants under the Plan will be determined by the Board (or its Compensation Committee) and might contain both service and performance conditions.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Effective on December 9, 2017, the Board appointed Mr. Xiao Feng Yang as the Company’s Chairman and President, Mr. Raymond Ming Hui Lin as the Company’s chief executive officer (“CEO”) and director and Ms. Tian van Acken as the Company’s chief financial officer (“CFO”). Their employment term is five years starting on December 9, 2017. Mr. Xiao Feng Yang, Mr. Raymond Ming Hui Lin and Ms. Tian van Acken’s basic annual compensations are approximately $94,100, $71,400 and $93,010, respectively, with annual bonuses determined based on the sole direction of the Compensation Committee of the Board of Directors in accordance with criteria established by the Compensation Committee of the Board.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2017 and 2016 and December 31, 2017, additional paid-in capital in the consolidated balance sheet represented the combined contributed capital of the Company’s subsidiaries.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June 30, 2016, the Company’s controlling shareholders contributed additional capital in the aggregate of $3,377,813 to CLPS Shanghai, which was included in additional paid-in capital.</w:t>
      </w:r>
    </w:p>
    <w:p>
      <w:pPr>
        <w:spacing w:after="0" w:line="17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For the year ended June 30, 2016, CLPS Shanghai had a recapitalization. CLPS Shanghai’s accumulated retained earnings and statutory reserve in the aggregate was $1,051,952 which was reclassified to additional paid – in capital in the consolidated financial statements.</w:t>
      </w:r>
    </w:p>
    <w:p>
      <w:pPr>
        <w:spacing w:after="0" w:line="14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On July 25, 2017, the Company incorporated CLIVST as a holding company in BVI. On September 27, 2017 and October 24, 2017, the Company incorporated CLPS Guangzhou in Guangzhou, PRC and FDT-CL in Hong Kong to develop business in the related area.</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Tianjin Huanyu Qinshang network technology Co., Ltd (“Huan Yu”). The Company subscribed 30% of equity interest in Huan Yu for $0.4 million. The Company planned to complete the capital injection of $0.4 million by the end of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$261,949 and $429,439 to statutory reserves during the years ended June 30, 2017 and 2016, respectively in accordance with PRC GAAP. The Company allocated $224,882 to statutory reserves during the six months ended December 31, 2017 in accordance with PRC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NON-CONTROLLING INTERESTS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CLPS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CLPS</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CLPS</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CLPS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Judge</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RC</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Beijing</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Shenzhen</w:t>
            </w:r>
          </w:p>
        </w:tc>
        <w:tc>
          <w:tcPr>
            <w:tcW w:w="1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Hong Kong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China</w:t>
            </w:r>
          </w:p>
        </w:tc>
        <w:tc>
          <w:tcPr>
            <w:tcW w:w="28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JQ</w:t>
            </w:r>
          </w:p>
        </w:tc>
        <w:tc>
          <w:tcPr>
            <w:tcW w:w="220" w:type="dxa"/>
            <w:vAlign w:val="bottom"/>
          </w:tcPr>
          <w:p>
            <w:pPr>
              <w:spacing w:after="0"/>
              <w:rPr>
                <w:sz w:val="20"/>
                <w:szCs w:val="20"/>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188"/>
        </w:trPr>
        <w:tc>
          <w:tcPr>
            <w:tcW w:w="19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Balance as of July 1,</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20"/>
                <w:szCs w:val="20"/>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Net loss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(41,141)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(41,141)</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Capital contribution</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non-controlling</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 (i)</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46,919</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46,919</w:t>
            </w:r>
          </w:p>
        </w:tc>
        <w:tc>
          <w:tcPr>
            <w:tcW w:w="80" w:type="dxa"/>
            <w:vAlign w:val="bottom"/>
            <w:shd w:val="clear" w:color="auto" w:fill="CCEEFF"/>
          </w:tcPr>
          <w:p>
            <w:pPr>
              <w:spacing w:after="0"/>
              <w:rPr>
                <w:sz w:val="20"/>
                <w:szCs w:val="20"/>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Repurchase of non-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w w:val="99"/>
              </w:rPr>
              <w:t>controlling interest (ii)</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(1,788)</w:t>
            </w: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(1,402)</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(1,471)</w:t>
            </w:r>
          </w:p>
        </w:tc>
      </w:tr>
      <w:tr>
        <w:trPr>
          <w:trHeight w:val="175"/>
        </w:trPr>
        <w:tc>
          <w:tcPr>
            <w:tcW w:w="1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as of June 30,</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318"/>
        </w:trPr>
        <w:tc>
          <w:tcPr>
            <w:tcW w:w="1900" w:type="dxa"/>
            <w:vAlign w:val="bottom"/>
          </w:tcPr>
          <w:p>
            <w:pPr>
              <w:ind w:left="18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tcPr>
          <w:p>
            <w:pPr>
              <w:spacing w:after="0"/>
              <w:rPr>
                <w:sz w:val="24"/>
                <w:szCs w:val="24"/>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157,775</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Capital contribution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from non-controlling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shareholders (iii) (iv)</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6,438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290,994</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297,432</w:t>
            </w:r>
          </w:p>
        </w:tc>
        <w:tc>
          <w:tcPr>
            <w:tcW w:w="8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684</w:t>
            </w: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22"/>
                <w:szCs w:val="22"/>
                <w:color w:val="auto"/>
              </w:rPr>
            </w:pPr>
          </w:p>
        </w:tc>
      </w:tr>
      <w:tr>
        <w:trPr>
          <w:trHeight w:val="175"/>
        </w:trPr>
        <w:tc>
          <w:tcPr>
            <w:tcW w:w="1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Balance as of June 30,</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318"/>
        </w:trPr>
        <w:tc>
          <w:tcPr>
            <w:tcW w:w="1900" w:type="dxa"/>
            <w:vAlign w:val="bottom"/>
          </w:tcPr>
          <w:p>
            <w:pPr>
              <w:ind w:left="18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42,283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line="271" w:lineRule="exact"/>
              <w:rPr>
                <w:sz w:val="20"/>
                <w:szCs w:val="20"/>
                <w:color w:val="auto"/>
              </w:rPr>
            </w:pPr>
            <w:r>
              <w:rPr>
                <w:rFonts w:ascii="Arial" w:cs="Arial" w:eastAsia="Arial" w:hAnsi="Arial"/>
                <w:sz w:val="16"/>
                <w:szCs w:val="16"/>
                <w:color w:val="auto"/>
              </w:rPr>
              <w:t>(978</w:t>
            </w:r>
            <w:r>
              <w:rPr>
                <w:rFonts w:ascii="Arial" w:cs="Arial" w:eastAsia="Arial" w:hAnsi="Arial"/>
                <w:sz w:val="31"/>
                <w:szCs w:val="3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(13,648</w:t>
            </w:r>
            <w:r>
              <w:rPr>
                <w:rFonts w:ascii="Arial" w:cs="Arial" w:eastAsia="Arial" w:hAnsi="Arial"/>
                <w:sz w:val="31"/>
                <w:szCs w:val="31"/>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449,453</w:t>
            </w: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477,110</w:t>
            </w:r>
          </w:p>
        </w:tc>
        <w:tc>
          <w:tcPr>
            <w:tcW w:w="80" w:type="dxa"/>
            <w:vAlign w:val="bottom"/>
          </w:tcPr>
          <w:p>
            <w:pPr>
              <w:spacing w:after="0"/>
              <w:rPr>
                <w:sz w:val="24"/>
                <w:szCs w:val="24"/>
                <w:color w:val="auto"/>
              </w:rPr>
            </w:pPr>
          </w:p>
        </w:tc>
      </w:tr>
      <w:tr>
        <w:trPr>
          <w:trHeight w:val="216"/>
        </w:trPr>
        <w:tc>
          <w:tcPr>
            <w:tcW w:w="1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(107,489)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2"/>
        </w:trPr>
        <w:tc>
          <w:tcPr>
            <w:tcW w:w="1900" w:type="dxa"/>
            <w:vAlign w:val="bottom"/>
          </w:tcPr>
          <w:p>
            <w:pPr>
              <w:spacing w:after="0" w:line="201" w:lineRule="exact"/>
              <w:rPr>
                <w:sz w:val="20"/>
                <w:szCs w:val="20"/>
                <w:color w:val="auto"/>
              </w:rPr>
            </w:pPr>
            <w:r>
              <w:rPr>
                <w:rFonts w:ascii="Arial" w:cs="Arial" w:eastAsia="Arial" w:hAnsi="Arial"/>
                <w:sz w:val="18"/>
                <w:szCs w:val="18"/>
                <w:color w:val="auto"/>
              </w:rPr>
              <w:t>Capital contribution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00" w:type="dxa"/>
            <w:vAlign w:val="bottom"/>
          </w:tcPr>
          <w:p>
            <w:pPr>
              <w:ind w:left="180"/>
              <w:spacing w:after="0"/>
              <w:rPr>
                <w:sz w:val="20"/>
                <w:szCs w:val="20"/>
                <w:color w:val="auto"/>
              </w:rPr>
            </w:pPr>
            <w:r>
              <w:rPr>
                <w:rFonts w:ascii="Arial" w:cs="Arial" w:eastAsia="Arial" w:hAnsi="Arial"/>
                <w:sz w:val="18"/>
                <w:szCs w:val="18"/>
                <w:color w:val="auto"/>
              </w:rPr>
              <w:t>from non-controlling</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900" w:type="dxa"/>
            <w:vAlign w:val="bottom"/>
          </w:tcPr>
          <w:p>
            <w:pPr>
              <w:ind w:left="180"/>
              <w:spacing w:after="0"/>
              <w:rPr>
                <w:sz w:val="20"/>
                <w:szCs w:val="20"/>
                <w:color w:val="auto"/>
              </w:rPr>
            </w:pPr>
            <w:r>
              <w:rPr>
                <w:rFonts w:ascii="Arial" w:cs="Arial" w:eastAsia="Arial" w:hAnsi="Arial"/>
                <w:sz w:val="18"/>
                <w:szCs w:val="18"/>
                <w:color w:val="auto"/>
              </w:rPr>
              <w:t>shareholders (v)</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19,898</w:t>
            </w: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1,359</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20,773</w:t>
            </w:r>
          </w:p>
        </w:tc>
        <w:tc>
          <w:tcPr>
            <w:tcW w:w="80" w:type="dxa"/>
            <w:vAlign w:val="bottom"/>
            <w:shd w:val="clear" w:color="auto" w:fill="CCEEFF"/>
          </w:tcPr>
          <w:p>
            <w:pPr>
              <w:spacing w:after="0"/>
              <w:rPr>
                <w:sz w:val="22"/>
                <w:szCs w:val="22"/>
                <w:color w:val="auto"/>
              </w:rPr>
            </w:pPr>
          </w:p>
        </w:tc>
      </w:tr>
      <w:tr>
        <w:trPr>
          <w:trHeight w:val="175"/>
        </w:trPr>
        <w:tc>
          <w:tcPr>
            <w:tcW w:w="1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Balance as of December</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78"/>
        </w:trPr>
        <w:tc>
          <w:tcPr>
            <w:tcW w:w="1900" w:type="dxa"/>
            <w:vAlign w:val="bottom"/>
          </w:tcPr>
          <w:p>
            <w:pPr>
              <w:ind w:left="180"/>
              <w:spacing w:after="0"/>
              <w:rPr>
                <w:sz w:val="20"/>
                <w:szCs w:val="20"/>
                <w:color w:val="auto"/>
              </w:rPr>
            </w:pPr>
            <w:r>
              <w:rPr>
                <w:rFonts w:ascii="Arial" w:cs="Arial" w:eastAsia="Arial" w:hAnsi="Arial"/>
                <w:sz w:val="18"/>
                <w:szCs w:val="18"/>
                <w:color w:val="auto"/>
              </w:rPr>
              <w:t>31, 2017 (Unaudited)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line="271" w:lineRule="exact"/>
              <w:rPr>
                <w:sz w:val="20"/>
                <w:szCs w:val="20"/>
                <w:color w:val="auto"/>
              </w:rPr>
            </w:pPr>
            <w:r>
              <w:rPr>
                <w:rFonts w:ascii="Arial" w:cs="Arial" w:eastAsia="Arial" w:hAnsi="Arial"/>
                <w:sz w:val="16"/>
                <w:szCs w:val="16"/>
                <w:color w:val="auto"/>
              </w:rPr>
              <w:t>(65,660</w:t>
            </w:r>
            <w:r>
              <w:rPr>
                <w:rFonts w:ascii="Arial" w:cs="Arial" w:eastAsia="Arial" w:hAnsi="Arial"/>
                <w:sz w:val="31"/>
                <w:szCs w:val="31"/>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line="271" w:lineRule="exact"/>
              <w:rPr>
                <w:sz w:val="20"/>
                <w:szCs w:val="20"/>
                <w:color w:val="auto"/>
              </w:rPr>
            </w:pPr>
            <w:r>
              <w:rPr>
                <w:rFonts w:ascii="Arial" w:cs="Arial" w:eastAsia="Arial" w:hAnsi="Arial"/>
                <w:sz w:val="16"/>
                <w:szCs w:val="16"/>
                <w:color w:val="auto"/>
              </w:rPr>
              <w:t>(832</w:t>
            </w:r>
            <w:r>
              <w:rPr>
                <w:rFonts w:ascii="Arial" w:cs="Arial" w:eastAsia="Arial" w:hAnsi="Arial"/>
                <w:sz w:val="31"/>
                <w:szCs w:val="31"/>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22,674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519,459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16,374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492,015</w:t>
            </w:r>
          </w:p>
        </w:tc>
        <w:tc>
          <w:tcPr>
            <w:tcW w:w="80" w:type="dxa"/>
            <w:vAlign w:val="bottom"/>
          </w:tcPr>
          <w:p>
            <w:pPr>
              <w:spacing w:after="0"/>
              <w:rPr>
                <w:sz w:val="24"/>
                <w:szCs w:val="24"/>
                <w:color w:val="auto"/>
              </w:rPr>
            </w:pPr>
          </w:p>
        </w:tc>
      </w:tr>
      <w:tr>
        <w:trPr>
          <w:trHeight w:val="21"/>
        </w:trPr>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year ended June 30, 2016, the non-controlling shareholder of CLPS Beijing contributed $46,919 to CLPS Beijing.</w:t>
      </w:r>
    </w:p>
    <w:p>
      <w:pPr>
        <w:spacing w:after="0" w:line="225"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the year ended June 30, 2016, the Company paid $6,987 to acquire a non-controlling interest in CLPS RC. After the acquisition, CLPS RC became a wholly owned subsidiary of the Company. The payment in excess of carrying value of the non-controlling interest amounted to $5,199, which was charge to additional paid in capital.</w:t>
      </w:r>
    </w:p>
    <w:p>
      <w:pPr>
        <w:sectPr>
          <w:pgSz w:w="11900" w:h="16838" w:orient="portrait"/>
          <w:cols w:equalWidth="0" w:num="1">
            <w:col w:w="11420"/>
          </w:cols>
          <w:pgMar w:left="240" w:top="233"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NON-CONTROLLING INTERESTS - continued</w:t>
      </w:r>
    </w:p>
    <w:p>
      <w:pPr>
        <w:spacing w:after="0" w:line="229"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the year ended June 30, 2017, the non-controlling shareholder of CLPS Hong Kong contributed $6,438 as capital.</w:t>
      </w:r>
    </w:p>
    <w:p>
      <w:pPr>
        <w:spacing w:after="0" w:line="225"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November 9, 2016, CLPS Shanghai acquired 60% of Judge China and its 70% owned subsidiary Judge HR from Judge Asia. As a result, the fair value of non-controlling interests was $290,994 (Note 3).</w:t>
      </w:r>
    </w:p>
    <w:p>
      <w:pPr>
        <w:spacing w:after="0" w:line="170" w:lineRule="exact"/>
        <w:rPr>
          <w:rFonts w:ascii="Arial" w:cs="Arial" w:eastAsia="Arial" w:hAnsi="Arial"/>
          <w:sz w:val="18"/>
          <w:szCs w:val="18"/>
          <w:color w:val="auto"/>
        </w:rPr>
      </w:pPr>
    </w:p>
    <w:p>
      <w:pPr>
        <w:ind w:left="340" w:right="320" w:hanging="332"/>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October 17, 2017, the Company acquired 55% of JQ and its 100% owned subsidiary – JL. For the six months ended December 31, 2017, the non-controlling shareholder of JQ contributed $70 to JQ.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 AND REVENUE ANALYSIS</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follows ASC 280, Segment Reporting,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 has one operating segment. The Company’s revenue and net income are substantially derived from enterprise application services and financial industry IT services.</w:t>
      </w:r>
    </w:p>
    <w:p>
      <w:pPr>
        <w:spacing w:after="0" w:line="188"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operations are primarily based in China, where the Company derives a substantial portion of their revenues. For the year ended June 30, 2017, revenues generated in mainland China, Hong Kong and Australia were $30,822,390, $362,892 and $176,694, respectively. For year ended June 30, 2016, all revenues were generated in mainland China. For the six months ended December 31, 2017, revenues generated in mainland China, Hong Kong, Australia and Taiwan were $21,407,903, $540,837, $138,960 and $112,295, respectively. For six months ended December 31, 2016, revenues generated in mainland China, Hong Kong and Australia were $14,060,682, $231,599 and 31,657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The following table presents revenues by the service lines.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ind w:left="500"/>
              <w:spacing w:after="0"/>
              <w:rPr>
                <w:sz w:val="20"/>
                <w:szCs w:val="20"/>
                <w:color w:val="auto"/>
              </w:rPr>
            </w:pPr>
            <w:r>
              <w:rPr>
                <w:rFonts w:ascii="Arial" w:cs="Arial" w:eastAsia="Arial" w:hAnsi="Arial"/>
                <w:sz w:val="18"/>
                <w:szCs w:val="18"/>
                <w:b w:val="1"/>
                <w:bCs w:val="1"/>
                <w:color w:val="auto"/>
              </w:rPr>
              <w:t>For the years ended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4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r>
      <w:tr>
        <w:trPr>
          <w:trHeight w:val="223"/>
        </w:trPr>
        <w:tc>
          <w:tcPr>
            <w:tcW w:w="5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2017</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gridSpan w:val="2"/>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Fintech IT consulting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29,146,470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28,015,173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21,632,609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13,282,841</w:t>
            </w:r>
          </w:p>
        </w:tc>
        <w:tc>
          <w:tcPr>
            <w:tcW w:w="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1,846,423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927,185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524,220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760,599</w:t>
            </w:r>
          </w:p>
        </w:tc>
        <w:tc>
          <w:tcPr>
            <w:tcW w:w="80" w:type="dxa"/>
            <w:vAlign w:val="bottom"/>
          </w:tcPr>
          <w:p>
            <w:pPr>
              <w:spacing w:after="0"/>
              <w:rPr>
                <w:sz w:val="18"/>
                <w:szCs w:val="18"/>
                <w:color w:val="auto"/>
              </w:rPr>
            </w:pPr>
          </w:p>
        </w:tc>
      </w:tr>
      <w:tr>
        <w:trPr>
          <w:trHeight w:val="23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369,083</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81,820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43,166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280,498</w:t>
            </w:r>
          </w:p>
        </w:tc>
        <w:tc>
          <w:tcPr>
            <w:tcW w:w="80" w:type="dxa"/>
            <w:vAlign w:val="bottom"/>
            <w:shd w:val="clear" w:color="auto" w:fill="CCEEFF"/>
          </w:tcPr>
          <w:p>
            <w:pPr>
              <w:spacing w:after="0"/>
              <w:rPr>
                <w:sz w:val="20"/>
                <w:szCs w:val="20"/>
                <w:color w:val="auto"/>
              </w:rPr>
            </w:pPr>
          </w:p>
        </w:tc>
      </w:tr>
      <w:tr>
        <w:trPr>
          <w:trHeight w:val="210"/>
        </w:trPr>
        <w:tc>
          <w:tcPr>
            <w:tcW w:w="5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31,361,976</w:t>
            </w: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29,024,178</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22,199,995</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14,323,938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January 10, 2018, the Company contributed capital of $92,370 in Tianjin Huanyu Qinshang network technology Co., Ltd (“Huan Yu”).</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6, 2018, the Company contributed capital of $1,592 in CLPS Shenzhen. On March 1, 2018, the Company injected additional capital of $7,866 in CLPS Shenzhen.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January 18, 2018, the Company contributed capital of $7,791 in CLPS Guangzhou. On January 25, 2018, the Company contributed capital of $7,913 in CLPS Guangzhou. On February 27, 2018 and March 20, 2018, the Company contributed additional capital in CLPS Guangzhou of $7,915 and $15,798, respectively.</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accompanying consolidated financial statements were approved by management and available for issuance on March 27, 2018. The Company evaluated subsequent events through the date these consolidated financial statements were available for issuance.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838200</wp:posOffset>
            </wp:positionV>
            <wp:extent cx="2358390" cy="11747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35839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7200" w:type="dxa"/>
            <w:vAlign w:val="bottom"/>
          </w:tcPr>
          <w:p>
            <w:pPr>
              <w:jc w:val="center"/>
              <w:ind w:right="4116"/>
              <w:spacing w:after="0"/>
              <w:rPr>
                <w:sz w:val="20"/>
                <w:szCs w:val="20"/>
                <w:color w:val="auto"/>
              </w:rPr>
            </w:pPr>
            <w:r>
              <w:rPr>
                <w:rFonts w:ascii="Arial" w:cs="Arial" w:eastAsia="Arial" w:hAnsi="Arial"/>
                <w:sz w:val="18"/>
                <w:szCs w:val="18"/>
                <w:b w:val="1"/>
                <w:bCs w:val="1"/>
                <w:color w:val="auto"/>
                <w:w w:val="93"/>
              </w:rPr>
              <w:t>CLPS Incorporation</w:t>
            </w:r>
          </w:p>
        </w:tc>
      </w:tr>
      <w:tr>
        <w:trPr>
          <w:trHeight w:val="432"/>
        </w:trPr>
        <w:tc>
          <w:tcPr>
            <w:tcW w:w="4220" w:type="dxa"/>
            <w:vAlign w:val="bottom"/>
          </w:tcPr>
          <w:p>
            <w:pPr>
              <w:spacing w:after="0"/>
              <w:rPr>
                <w:sz w:val="24"/>
                <w:szCs w:val="24"/>
                <w:color w:val="auto"/>
              </w:rPr>
            </w:pPr>
          </w:p>
        </w:tc>
        <w:tc>
          <w:tcPr>
            <w:tcW w:w="7200" w:type="dxa"/>
            <w:vAlign w:val="bottom"/>
          </w:tcPr>
          <w:p>
            <w:pPr>
              <w:jc w:val="center"/>
              <w:ind w:right="4096"/>
              <w:spacing w:after="0"/>
              <w:rPr>
                <w:sz w:val="20"/>
                <w:szCs w:val="20"/>
                <w:color w:val="auto"/>
              </w:rPr>
            </w:pPr>
            <w:r>
              <w:rPr>
                <w:rFonts w:ascii="Arial" w:cs="Arial" w:eastAsia="Arial" w:hAnsi="Arial"/>
                <w:sz w:val="18"/>
                <w:szCs w:val="18"/>
                <w:b w:val="1"/>
                <w:bCs w:val="1"/>
                <w:color w:val="auto"/>
                <w:w w:val="89"/>
              </w:rPr>
              <w:t>2,000,000 Common Shares</w:t>
            </w:r>
          </w:p>
        </w:tc>
      </w:tr>
      <w:tr>
        <w:trPr>
          <w:trHeight w:val="223"/>
        </w:trPr>
        <w:tc>
          <w:tcPr>
            <w:tcW w:w="4220" w:type="dxa"/>
            <w:vAlign w:val="bottom"/>
            <w:tcBorders>
              <w:bottom w:val="single" w:sz="8" w:color="auto"/>
            </w:tcBorders>
          </w:tcPr>
          <w:p>
            <w:pPr>
              <w:spacing w:after="0"/>
              <w:rPr>
                <w:sz w:val="19"/>
                <w:szCs w:val="19"/>
                <w:color w:val="auto"/>
              </w:rPr>
            </w:pPr>
          </w:p>
        </w:tc>
        <w:tc>
          <w:tcPr>
            <w:tcW w:w="7200" w:type="dxa"/>
            <w:vAlign w:val="bottom"/>
            <w:tcBorders>
              <w:bottom w:val="single" w:sz="8" w:color="auto"/>
            </w:tcBorders>
          </w:tcPr>
          <w:p>
            <w:pPr>
              <w:spacing w:after="0"/>
              <w:rPr>
                <w:sz w:val="19"/>
                <w:szCs w:val="19"/>
                <w:color w:val="auto"/>
              </w:rPr>
            </w:pPr>
          </w:p>
        </w:tc>
      </w:tr>
      <w:tr>
        <w:trPr>
          <w:trHeight w:val="522"/>
        </w:trPr>
        <w:tc>
          <w:tcPr>
            <w:tcW w:w="4220" w:type="dxa"/>
            <w:vAlign w:val="bottom"/>
          </w:tcPr>
          <w:p>
            <w:pPr>
              <w:spacing w:after="0"/>
              <w:rPr>
                <w:sz w:val="24"/>
                <w:szCs w:val="24"/>
                <w:color w:val="auto"/>
              </w:rPr>
            </w:pPr>
          </w:p>
        </w:tc>
        <w:tc>
          <w:tcPr>
            <w:tcW w:w="7200" w:type="dxa"/>
            <w:vAlign w:val="bottom"/>
          </w:tcPr>
          <w:p>
            <w:pPr>
              <w:jc w:val="center"/>
              <w:ind w:right="4116"/>
              <w:spacing w:after="0"/>
              <w:rPr>
                <w:sz w:val="20"/>
                <w:szCs w:val="20"/>
                <w:color w:val="auto"/>
              </w:rPr>
            </w:pPr>
            <w:r>
              <w:rPr>
                <w:rFonts w:ascii="Arial" w:cs="Arial" w:eastAsia="Arial" w:hAnsi="Arial"/>
                <w:sz w:val="25"/>
                <w:szCs w:val="25"/>
                <w:b w:val="1"/>
                <w:bCs w:val="1"/>
                <w:color w:val="auto"/>
                <w:w w:val="86"/>
              </w:rPr>
              <w:t>Prospectus</w:t>
            </w:r>
          </w:p>
        </w:tc>
      </w:tr>
      <w:tr>
        <w:trPr>
          <w:trHeight w:val="215"/>
        </w:trPr>
        <w:tc>
          <w:tcPr>
            <w:tcW w:w="4220" w:type="dxa"/>
            <w:vAlign w:val="bottom"/>
            <w:tcBorders>
              <w:bottom w:val="single" w:sz="8" w:color="auto"/>
            </w:tcBorders>
          </w:tcPr>
          <w:p>
            <w:pPr>
              <w:spacing w:after="0"/>
              <w:rPr>
                <w:sz w:val="18"/>
                <w:szCs w:val="18"/>
                <w:color w:val="auto"/>
              </w:rPr>
            </w:pPr>
          </w:p>
        </w:tc>
        <w:tc>
          <w:tcPr>
            <w:tcW w:w="7200" w:type="dxa"/>
            <w:vAlign w:val="bottom"/>
            <w:tcBorders>
              <w:bottom w:val="single" w:sz="8" w:color="auto"/>
            </w:tcBorders>
          </w:tcPr>
          <w:p>
            <w:pPr>
              <w:spacing w:after="0"/>
              <w:rPr>
                <w:sz w:val="18"/>
                <w:szCs w:val="18"/>
                <w:color w:val="auto"/>
              </w:rPr>
            </w:pPr>
          </w:p>
        </w:tc>
      </w:tr>
      <w:tr>
        <w:trPr>
          <w:trHeight w:val="499"/>
        </w:trPr>
        <w:tc>
          <w:tcPr>
            <w:tcW w:w="4220" w:type="dxa"/>
            <w:vAlign w:val="bottom"/>
          </w:tcPr>
          <w:p>
            <w:pPr>
              <w:jc w:val="center"/>
              <w:ind w:left="1412"/>
              <w:spacing w:after="0"/>
              <w:rPr>
                <w:sz w:val="20"/>
                <w:szCs w:val="20"/>
                <w:color w:val="auto"/>
              </w:rPr>
            </w:pPr>
            <w:r>
              <w:rPr>
                <w:rFonts w:ascii="Arial" w:cs="Arial" w:eastAsia="Arial" w:hAnsi="Arial"/>
                <w:sz w:val="25"/>
                <w:szCs w:val="25"/>
                <w:b w:val="1"/>
                <w:bCs w:val="1"/>
                <w:color w:val="auto"/>
                <w:w w:val="92"/>
              </w:rPr>
              <w:t>Benchmark</w:t>
            </w:r>
          </w:p>
        </w:tc>
        <w:tc>
          <w:tcPr>
            <w:tcW w:w="7200" w:type="dxa"/>
            <w:vAlign w:val="bottom"/>
          </w:tcPr>
          <w:p>
            <w:pPr>
              <w:jc w:val="center"/>
              <w:ind w:left="1396"/>
              <w:spacing w:after="0"/>
              <w:rPr>
                <w:sz w:val="20"/>
                <w:szCs w:val="20"/>
                <w:color w:val="auto"/>
              </w:rPr>
            </w:pPr>
            <w:r>
              <w:rPr>
                <w:rFonts w:ascii="Arial" w:cs="Arial" w:eastAsia="Arial" w:hAnsi="Arial"/>
                <w:sz w:val="25"/>
                <w:szCs w:val="25"/>
                <w:b w:val="1"/>
                <w:bCs w:val="1"/>
                <w:color w:val="auto"/>
                <w:w w:val="96"/>
              </w:rPr>
              <w:t>Cuttone &amp; Co., LLC</w:t>
            </w:r>
          </w:p>
        </w:tc>
      </w:tr>
      <w:tr>
        <w:trPr>
          <w:trHeight w:val="230"/>
        </w:trPr>
        <w:tc>
          <w:tcPr>
            <w:tcW w:w="4220" w:type="dxa"/>
            <w:vAlign w:val="bottom"/>
          </w:tcPr>
          <w:p>
            <w:pPr>
              <w:jc w:val="center"/>
              <w:ind w:left="1392"/>
              <w:spacing w:after="0"/>
              <w:rPr>
                <w:sz w:val="20"/>
                <w:szCs w:val="20"/>
                <w:color w:val="auto"/>
              </w:rPr>
            </w:pPr>
            <w:r>
              <w:rPr>
                <w:rFonts w:ascii="Arial" w:cs="Arial" w:eastAsia="Arial" w:hAnsi="Arial"/>
                <w:sz w:val="18"/>
                <w:szCs w:val="18"/>
                <w:i w:val="1"/>
                <w:iCs w:val="1"/>
                <w:color w:val="auto"/>
                <w:w w:val="90"/>
              </w:rPr>
              <w:t>Book Running Manager</w:t>
            </w:r>
          </w:p>
        </w:tc>
        <w:tc>
          <w:tcPr>
            <w:tcW w:w="7200" w:type="dxa"/>
            <w:vAlign w:val="bottom"/>
          </w:tcPr>
          <w:p>
            <w:pPr>
              <w:jc w:val="center"/>
              <w:ind w:left="1396"/>
              <w:spacing w:after="0"/>
              <w:rPr>
                <w:sz w:val="20"/>
                <w:szCs w:val="20"/>
                <w:color w:val="auto"/>
              </w:rPr>
            </w:pPr>
            <w:r>
              <w:rPr>
                <w:rFonts w:ascii="Arial" w:cs="Arial" w:eastAsia="Arial" w:hAnsi="Arial"/>
                <w:sz w:val="18"/>
                <w:szCs w:val="18"/>
                <w:i w:val="1"/>
                <w:iCs w:val="1"/>
                <w:color w:val="auto"/>
                <w:w w:val="93"/>
              </w:rPr>
              <w:t>Co-Manager</w:t>
            </w:r>
          </w:p>
        </w:tc>
      </w:tr>
    </w:tbl>
    <w:p>
      <w:pPr>
        <w:spacing w:after="0" w:line="198"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Until [_], (25 days after commencement of our initial public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8" w:name="page149"/>
    <w:bookmarkEnd w:id="148"/>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Companies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Since our inception, we issued 11,290,000 shares in the aggregate to 5 shareholders upon the reorganization of our company and in transactions that were not required to be registered under the Securities Act. All such share issuances were deemed to be exempt under the Securities Act by virtue of Section 4(2) thereof as transactions not involving any public offering. In addition, certain share issuances were deemed not to fall within Section 5 under the Securities Act and to be further exempt under Rule 901 and 903 of Regulation S promulgated thereunder by virtue of being issuances of securities by non-U.S. companies to non-U.S. citizens or residents, conducted outside the United States and not using any element of interstate commerce.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below lists all of the securities related to CLPS Shanghai since CLPS Shanghai was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ChinaLink Professional Services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30, 2005, Jingsu Pan and Xiaochun Deng agreed to establish ChinaLink Professional Services Co., Ltd. (“CLPS Shanghai”) and signed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CLPS Shanghai’s Articles of Association. Pursuant to the Articles of Association, Jingsu Pan and Xiaochun Deng agreed to invested RMB250,000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US$30,881) in cash for 50% of equity interests in CLPS Shanghai, and the total registered capital of CLPS Shanghai was RMB500,000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US$61,763).</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December 5, 2005, Jingsu Pan and Xiaochun Deng signed the Resolution of the Board of Shareholders and agreed to increase CLPS Shanghai’s registered capital to RMB1,000,000 (approximately US$123,671). Jingsu Pan and Xiaochun Deng respectively made full payment for their subscribed capital to RMB500,000 (approximately US$61,835).</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29, 2010, Yan Pan entered into a Share Purchase Agreement with Jingsu Pan pursuant to which Yan Pan purchased all of Jingsu Pan’s shares in CLPS Shanghai.</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19, 2010, Raymond Ming Hui Lin entered into a Share Purchase Agreement with Xiaochun Deng pursuant to which Raymond Ming Hui Lin purchased all of Xiaochun Deng’s shares in CLPS Shanghai.</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31, 2012, CLPS Shanghai increased its registered capital to RMB5,000,000 (approximately US$799,987). Yan Pan and Raymond Ming Hui Lin respectively made full payment for their subscribed capital to RMB2,500,000 (approximately US$399,993).</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October 30, 2013, Xiao Feng Yang entered into a Share Purchase Agreement with Yan Pan pursuant to which Xiao Feng Yang purchased all of Yan Pan’s shares in CLPS Shanghai.</w:t>
      </w:r>
    </w:p>
    <w:p>
      <w:pPr>
        <w:spacing w:after="0" w:line="170"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On June 24, 2014, CLPS Shanghai increased its registered capital to RMB30,000,000 (approximately US$4,759,004). Xiao Feng Yang and Raymond Ming Hui Lin respectively made full payment for their subscribed capital to RMB15,000,000 (approximately US$2,379,502).</w:t>
      </w:r>
    </w:p>
    <w:p>
      <w:pPr>
        <w:spacing w:after="0" w:line="124" w:lineRule="exact"/>
        <w:rPr>
          <w:sz w:val="20"/>
          <w:szCs w:val="20"/>
          <w:color w:val="auto"/>
        </w:rPr>
      </w:pPr>
    </w:p>
    <w:p>
      <w:pPr>
        <w:ind w:right="660" w:firstLine="648"/>
        <w:spacing w:after="0" w:line="264"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 Xiao Feng Yang and Raymond Ming Hui Lin respectively held 15,000,000 shares of CLPS Shanghai.</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May 16, 2016, CLPS Shanghai issued 3,870,000 shares to three limited partnerships (hereinto: 1,700,000 shares to Shanghai Qinyao Investment Partnership, 1,270,000 shares to Shanghai Qinzhi Investment Partnership, and 900,000 shares to Shanghai Qinshang Software Technology Counsel Partnership) of RMB1.00 per share. CLPS Shanghai’s registered capital was increased to RMB33,870,000.</w:t>
      </w:r>
    </w:p>
    <w:p>
      <w:pPr>
        <w:sectPr>
          <w:pgSz w:w="11900" w:h="16838" w:orient="portrait"/>
          <w:cols w:equalWidth="0" w:num="1">
            <w:col w:w="11400"/>
          </w:cols>
          <w:pgMar w:left="240" w:top="226" w:right="25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149" w:name="page150"/>
    <w:bookmarkEnd w:id="149"/>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July 18, 2017, three abovementioned limited partnerships transferred all their shares of CLPS Shanghai to their individual partners according to the proportion of each partner’s capital contribution. Total 47 individuals became shareholders of CLPS Shanghai.</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August 2017, Qiner Co., Ltd. (“Qiner”) entered into three Share Purchase Agreement with three non-Chinese individual shareholders of CLPS Shanghai pursuant to which the three non-Chinese individual shareholders of CLPS Shanghai were to sell all their shares of CLPS Shanghai to Qiner. The share transfer price was RMB1.00 per share.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2017, Shanghai Qincheng Information Technology Co., Ltd (“WOFE”) entered into 46 Share Purchase Agreement with all 46 Chinese individual shareholders of CLPS Shanghai pursuant to which the 46 Chinese individual shareholders of CLPS Shanghai were to sell all their shares of CLPS Shanghai to WOFE. The share transfer price was RMB1.00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Ruicheng Co., Ltd.</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On May 10, 2013, CLPS Ruicheng Co., Ltd. (“CLPS RC”) was established by Wenbin Li and CLPS Shanghai. Wenbin Li invested RMB45,000 (US$7,321) in cash for 45% of equity interests in CLPS RC, and CLPS Shanghai invested RMB55,000 (US$8,948) in cash for 55% of equity interests in CLPS RC. The total registered capital of CLPS RC was RMB100,000 (US$16,269).</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April 2, 2014, Wenbin Li and CLPS Shanghai signed/sealed the Resolution of the Board of Shareholders and agreed to increase CLPS RC’s registered capital to RMB10,000,000 (US$1,611,500). Wenbin Li increased his subscribed capital to RMB4,500,000 (US$725,175), and CLPS Shanghai increased its subscribed capital to RMB5,500,000 (US$886,325).</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November 17, 2015, Wenbin Li entered into a Share Purchase Agreement with CLPS Shanghai pursuant to which CLPS Shanghai purchased all of Wenbin Li’s shares in CLPS RC.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Dalian Co., Ltd.</w:t>
      </w:r>
    </w:p>
    <w:p>
      <w:pPr>
        <w:spacing w:after="0" w:line="225"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On May 28, 2011, CLPS Shanghai decided to establish CLPS Dalian Co., Ltd. (“CLPS Dalian”) and sealed its Articles of Association. CLPS Shanghai invested RMB100,000 (US$15,234) in cash for 100% of equity interests in CLPS Dalian, and the total registered capital of CLPS Dalian was RMB100,000 (US$15,234).</w:t>
      </w:r>
    </w:p>
    <w:p>
      <w:pPr>
        <w:spacing w:after="0" w:line="181"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June 13, 2012, CLPS Dalian increased its registered capital to RMB1,000,000 (US$157,023). CLPS Shanghai made full payment for its subscribed capital to RMB1,000,000 (US$157,023).</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March 5, 2014, CLPS Dalian increased its registered capital to RMB2,000,000 (US$326,371). CLPS Shanghai increased its subscribed capital from RMB1,000,000 to RMB2,000,000 (US$326,371).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Beijing Hengtong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30, 2015, CLPS Beijing Hengtong Co., Ltd. (“CLPS Beijing”) was established by Jingwei Sun and CLPS Shanghai. Jingwei Sun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subscribed RMB3,000,000 (US$483,364) in cash for 30% of equity interests in CLPS Beijing, and CLPS Shanghai subscribed RMB7,000,000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(US$1,127,850) in cash for 70% of equity interests in CLPS Beijing. The total registered capital of CLPS Beijing was RMB10,000,000 (US$1,611,214).</w:t>
      </w:r>
    </w:p>
    <w:p>
      <w:pPr>
        <w:spacing w:after="0" w:line="22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March 20, 2016, Jingwei Sun and CLPS Shanghai signed/sealed the Resolution of the Board of Shareholders and agreed to reduce CLPS Beijing’s registered capital to RMB1,000,000 (US$154,603). Jingwei Sun reduced his subscribed capitial to RMB300,000 (US$46,381) and CLPS Shanghai reduced its subscribed capital to RMB700,000 (US$108,222).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Judge China &amp; Judge HR</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On November 9, 2016, CLPS Shanghai entered into a Share Purchase Agreement with JUDGE GROUP ASIA LIMITED pursuant to which CLPS Shanghai purchased 60% of JUDGE GROUP ASIA LIMITED’s shares in Judge (Shanghai) Co., Ltd. (“Judge China”) which is established by JUDGE GROUP ASIA LIMITED in November 23, 2010. The registered capital of Judge China was RMB18,630,000 (US$2,804,329).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20, 2012, Judge China and an unrelated company agreed to establish Judge (Shanghai) Human Resource Co., Ltd. (“Judge HR”).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Judge China subscribed RMB700,000 (US$111,048) for 70% of equity interests in Judge HR.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Shenzhen Co., Ltd.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7, 2017, CLPS Shenzhen Co., Ltd. (“CLPS Shenzhen”) was established by CLPS Shanghai and CLPS Technology (HK) Co., Ltd. (“CLPS Hong Kong”). CLPS Shanghai subscribed RMB3,500,000 (US$507,408) for 70% of equity interests in CLPS Shenzhen, and CLPS Hong Kong subscribed RMB1,500,000 (US$217,461) for 30% of equity interests in CLPS Shenzhen. The total registered capital of CLPS Hong Kong was RMB5,000,000 (US$724,869).</w:t>
      </w:r>
    </w:p>
    <w:p>
      <w:pPr>
        <w:sectPr>
          <w:pgSz w:w="11900" w:h="16838" w:orient="portrait"/>
          <w:cols w:equalWidth="0" w:num="1">
            <w:col w:w="11360"/>
          </w:cols>
          <w:pgMar w:left="240" w:top="226" w:right="2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6" w:right="299" w:bottom="1440" w:gutter="0" w:footer="0" w:header="0"/>
          <w:type w:val="continuous"/>
        </w:sectPr>
      </w:pPr>
    </w:p>
    <w:bookmarkStart w:id="150" w:name="page151"/>
    <w:bookmarkEnd w:id="150"/>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Tianjin Huanyu Qinshang Network Technology Co., Ltd.</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September 27, 2017, Tianjin Huanyu Qinshang Network Technology Co., Ltd. (“Huanyu”) was established by CLPS Shanghai and Jingwei Sun. CLPS Shanghai subscribed RMB3,000,000 (US$451,807) for 30% of equity interests in Huanyu, and Jingwei Sun subscribed RMB7,000,000 (US$1,054,217) for 70% of equity interests in Huanyu. The total registered capital of Huanyu was RMB10,000,000 (US$1,506,024).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Guangzhou Co., Ltd.</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September 27, 2017, CLPS Guangzhou Co., Ltd. (“CLPS Guangzhou”) was established by CLPS Shanghai and Qiner Co., Limited (“Qiner”). CLPS Shanghai subscribed RMB510,000 (US$76,807) for 51% of equity interests in CLPS Guangzhou, and Qiner subscribed RMB490,000 (US$73,795) for 49% of equity interests in CLPS Guangzhou. The total registered capital of CLPS Guangzhou was RMB1,000,000 (US$150,602).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(Australia) Pty. Ltd.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November 10, 2015, CLPS Shanghai invested AUD200,000 (US$140,600) to establish CLPS Technology (Australia) Pty. Ltd. and CLPS held 100% of equity interests in CLPS AU.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(Singapore) Pte. Ltd.</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On August 18, 2015, CLPS Shanghai invested SGD100,000 (US$71,149) to establish CLPS Technology (Singapore) Pte. Ltd. and CLPS held 100% of equity interests in CLPS SG.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June 21, 2016, CLPS Shanghai decided to increase investment to SGD500,000 (US$372,606) and CLPS kept holding 100% of equity interests in CLPS SG.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CLPS Technology (HK) Co., Ltd.</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 January 7, 2016, CLPS Shanghai invested HKD200,000 (US$25,793) to establish CLPS Technology (HK) Co., Ltd. and CLPS held 100% of equity interests in CLPS Hong Kong.</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November 24, 2016, Zhaolong Zhang invested HKD50,000 (US$6,447) in CLPS Hong Kong, and got 20% of equity interests in CLPS Hong Kong correspondingly. CLPS Shanghai held 80% of equity interests after the investment.</w:t>
      </w:r>
    </w:p>
    <w:p>
      <w:pPr>
        <w:spacing w:after="0" w:line="170"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On December 27, 2017, the Company entered into a one-year agreement with Ascent Investor Relations LLC (“Ascent”) pursuant to which Ascent was to provide certain investor relations consulting services to the Company. In addition to the cash fee of $6,000 per month, the Company agreed to issue to Ascent a five-year common share purchase warrant to purchase 107,000 shares of the Company’s common shares.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December 1, 2017, the Company entered into a financial advisory agreement with Gear Ltd. (“Gear”) pursuant to which Gear was to provide certain due diligence support, advisory, consulting, investor relations and other related services to the Company. In addition to the cash retainer fee of RMB 400,000 (US$59,003), the Company also agreed to issue to Gear a five-year common share purchase warrant to purchase 0.7% of the number of the common shares of the Company at closing of the contemplated IPO.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51" w:name="page152"/>
    <w:bookmarkEnd w:id="151"/>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34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20" w:type="dxa"/>
            <w:vAlign w:val="bottom"/>
            <w:gridSpan w:val="23"/>
          </w:tcPr>
          <w:p>
            <w:pPr>
              <w:ind w:left="60"/>
              <w:spacing w:after="0"/>
              <w:rPr>
                <w:sz w:val="20"/>
                <w:szCs w:val="20"/>
                <w:color w:val="auto"/>
              </w:rPr>
            </w:pPr>
            <w:r>
              <w:rPr>
                <w:rFonts w:ascii="Arial" w:cs="Arial" w:eastAsia="Arial" w:hAnsi="Arial"/>
                <w:sz w:val="18"/>
                <w:szCs w:val="18"/>
                <w:color w:val="auto"/>
              </w:rPr>
              <w:t>The following exhibits are filed herewith or incorporated by reference in this prospectus:</w:t>
            </w:r>
          </w:p>
        </w:tc>
        <w:tc>
          <w:tcPr>
            <w:tcW w:w="0" w:type="dxa"/>
            <w:vAlign w:val="bottom"/>
          </w:tcPr>
          <w:p>
            <w:pPr>
              <w:spacing w:after="0"/>
              <w:rPr>
                <w:sz w:val="1"/>
                <w:szCs w:val="1"/>
                <w:color w:val="auto"/>
              </w:rPr>
            </w:pPr>
          </w:p>
        </w:tc>
      </w:tr>
      <w:tr>
        <w:trPr>
          <w:trHeight w:val="372"/>
        </w:trPr>
        <w:tc>
          <w:tcPr>
            <w:tcW w:w="6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21"/>
          </w:tcPr>
          <w:p>
            <w:pPr>
              <w:spacing w:after="0"/>
              <w:rPr>
                <w:sz w:val="20"/>
                <w:szCs w:val="20"/>
                <w:color w:val="auto"/>
              </w:rPr>
            </w:pPr>
            <w:r>
              <w:rPr>
                <w:rFonts w:ascii="Arial" w:cs="Arial" w:eastAsia="Arial" w:hAnsi="Arial"/>
                <w:sz w:val="18"/>
                <w:szCs w:val="18"/>
                <w:color w:val="auto"/>
              </w:rPr>
              <w:t>Exhibit title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4">
              <w:r>
                <w:rPr>
                  <w:rFonts w:ascii="Arial" w:cs="Arial" w:eastAsia="Arial" w:hAnsi="Arial"/>
                  <w:sz w:val="18"/>
                  <w:szCs w:val="18"/>
                  <w:color w:val="0000EE"/>
                </w:rPr>
                <w:t>Memorandum and Articles of Association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5">
              <w:r>
                <w:rPr>
                  <w:rFonts w:ascii="Arial" w:cs="Arial" w:eastAsia="Arial" w:hAnsi="Arial"/>
                  <w:sz w:val="18"/>
                  <w:szCs w:val="18"/>
                  <w:color w:val="0000EE"/>
                </w:rPr>
                <w:t>Specimen Share Certificate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Opinion of Ogier.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Opinion of Hansen &amp; Partners.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Opinion of Schiff Hardin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6">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7">
              <w:r>
                <w:rPr>
                  <w:rFonts w:ascii="Arial" w:cs="Arial" w:eastAsia="Arial" w:hAnsi="Arial"/>
                  <w:sz w:val="18"/>
                  <w:szCs w:val="18"/>
                  <w:color w:val="0000EE"/>
                </w:rPr>
                <w:t>Form Independent Director Agreement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8">
              <w:r>
                <w:rPr>
                  <w:rFonts w:ascii="Arial" w:cs="Arial" w:eastAsia="Arial" w:hAnsi="Arial"/>
                  <w:sz w:val="18"/>
                  <w:szCs w:val="18"/>
                  <w:color w:val="0000EE"/>
                </w:rPr>
                <w:t>Employment Agreement between the Company and Xiao Feng Yang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09">
              <w:r>
                <w:rPr>
                  <w:rFonts w:ascii="Arial" w:cs="Arial" w:eastAsia="Arial" w:hAnsi="Arial"/>
                  <w:sz w:val="18"/>
                  <w:szCs w:val="18"/>
                  <w:color w:val="0000EE"/>
                </w:rPr>
                <w:t>Employment Agreement between the Company and Raymond Ming Hui Lin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0">
              <w:r>
                <w:rPr>
                  <w:rFonts w:ascii="Arial" w:cs="Arial" w:eastAsia="Arial" w:hAnsi="Arial"/>
                  <w:sz w:val="18"/>
                  <w:szCs w:val="18"/>
                  <w:color w:val="0000EE"/>
                </w:rPr>
                <w:t>Employment Agreement between the Company and Tian van Acken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1">
              <w:r>
                <w:rPr>
                  <w:rFonts w:ascii="Arial" w:cs="Arial" w:eastAsia="Arial" w:hAnsi="Arial"/>
                  <w:sz w:val="18"/>
                  <w:szCs w:val="18"/>
                  <w:color w:val="0000EE"/>
                </w:rPr>
                <w:t>ANZ Global Services and Operations (Chengdu) Company Limited Agreement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2">
              <w:r>
                <w:rPr>
                  <w:rFonts w:ascii="Arial" w:cs="Arial" w:eastAsia="Arial" w:hAnsi="Arial"/>
                  <w:sz w:val="18"/>
                  <w:szCs w:val="18"/>
                  <w:color w:val="0000EE"/>
                </w:rPr>
                <w:t>Master Lease Agreement - Shanghai Pudong Software Park Co., Ltd.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3">
              <w:r>
                <w:rPr>
                  <w:rFonts w:ascii="Arial" w:cs="Arial" w:eastAsia="Arial" w:hAnsi="Arial"/>
                  <w:sz w:val="18"/>
                  <w:szCs w:val="18"/>
                  <w:color w:val="0000EE"/>
                </w:rPr>
                <w:t>Form of Framework Contract for Subcontracting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Form Warrant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Form Lockup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60" w:type="dxa"/>
            <w:vAlign w:val="bottom"/>
            <w:gridSpan w:val="21"/>
            <w:shd w:val="clear" w:color="auto" w:fill="CCEEFF"/>
          </w:tcPr>
          <w:p>
            <w:pPr>
              <w:spacing w:after="0"/>
              <w:rPr>
                <w:sz w:val="20"/>
                <w:szCs w:val="20"/>
                <w:color w:val="auto"/>
              </w:rPr>
            </w:pPr>
            <w:r>
              <w:rPr>
                <w:rFonts w:ascii="Arial" w:cs="Arial" w:eastAsia="Arial" w:hAnsi="Arial"/>
                <w:sz w:val="18"/>
                <w:szCs w:val="18"/>
                <w:color w:val="auto"/>
              </w:rPr>
              <w:t>Escrow Indemnification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4">
              <w:r>
                <w:rPr>
                  <w:rFonts w:ascii="Arial" w:cs="Arial" w:eastAsia="Arial" w:hAnsi="Arial"/>
                  <w:sz w:val="18"/>
                  <w:szCs w:val="18"/>
                  <w:color w:val="0000EE"/>
                </w:rPr>
                <w:t>Code of Conduct and Ethics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5">
              <w:r>
                <w:rPr>
                  <w:rFonts w:ascii="Arial" w:cs="Arial" w:eastAsia="Arial" w:hAnsi="Arial"/>
                  <w:sz w:val="18"/>
                  <w:szCs w:val="18"/>
                  <w:color w:val="0000EE"/>
                </w:rPr>
                <w:t>List of Subsidiaries of the Registrant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Consent of Ogier (included in Exhibit 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Consent of Hansen &amp; Partners (included in Exhibit 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Consent of Schiff Hardin LLP (included in Exhibit 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6">
              <w:r>
                <w:rPr>
                  <w:rFonts w:ascii="Arial" w:cs="Arial" w:eastAsia="Arial" w:hAnsi="Arial"/>
                  <w:sz w:val="18"/>
                  <w:szCs w:val="18"/>
                  <w:color w:val="0000EE"/>
                </w:rPr>
                <w:t>Charter of the Audit Committee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Charter of the Compensation Committee (1).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60" w:type="dxa"/>
            <w:vAlign w:val="bottom"/>
            <w:gridSpan w:val="21"/>
            <w:shd w:val="clear" w:color="auto" w:fill="CCEEFF"/>
          </w:tcPr>
          <w:p>
            <w:pPr>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Charter of the Nominating Committee (1).</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4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30, 2017.</w:t>
      </w:r>
    </w:p>
    <w:p>
      <w:pPr>
        <w:spacing w:after="0" w:line="144" w:lineRule="exact"/>
        <w:rPr>
          <w:sz w:val="20"/>
          <w:szCs w:val="20"/>
          <w:color w:val="auto"/>
        </w:rPr>
      </w:pPr>
    </w:p>
    <w:p>
      <w:pPr>
        <w:ind w:left="660" w:right="8840" w:hanging="652"/>
        <w:spacing w:after="0" w:line="434" w:lineRule="auto"/>
        <w:tabs>
          <w:tab w:leader="none" w:pos="267"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Statement Schedules </w:t>
      </w:r>
      <w:r>
        <w:rPr>
          <w:rFonts w:ascii="Arial" w:cs="Arial" w:eastAsia="Arial" w:hAnsi="Arial"/>
          <w:sz w:val="18"/>
          <w:szCs w:val="18"/>
          <w:color w:val="auto"/>
        </w:rPr>
        <w:t>None.</w:t>
      </w:r>
    </w:p>
    <w:p>
      <w:pPr>
        <w:sectPr>
          <w:pgSz w:w="11900" w:h="16838" w:orient="portrait"/>
          <w:cols w:equalWidth="0" w:num="1">
            <w:col w:w="11420"/>
          </w:cols>
          <w:pgMar w:left="240" w:top="226" w:right="239" w:bottom="505"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505" w:gutter="0" w:footer="0" w:header="0"/>
          <w:type w:val="continuous"/>
        </w:sectPr>
      </w:pPr>
    </w:p>
    <w:bookmarkStart w:id="152" w:name="page153"/>
    <w:bookmarkEnd w:id="152"/>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8"/>
        <w:spacing w:after="0" w:line="293" w:lineRule="auto"/>
        <w:tabs>
          <w:tab w:leader="none" w:pos="26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140" w:firstLine="8"/>
        <w:spacing w:after="0" w:line="277" w:lineRule="auto"/>
        <w:tabs>
          <w:tab w:leader="none" w:pos="3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sz w:val="20"/>
          <w:szCs w:val="20"/>
          <w:color w:val="auto"/>
        </w:rPr>
      </w:pPr>
    </w:p>
    <w:p>
      <w:pPr>
        <w:ind w:right="120" w:firstLine="8"/>
        <w:spacing w:after="0" w:line="277" w:lineRule="auto"/>
        <w:tabs>
          <w:tab w:leader="none" w:pos="2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170" w:lineRule="exact"/>
        <w:rPr>
          <w:rFonts w:ascii="Arial" w:cs="Arial" w:eastAsia="Arial" w:hAnsi="Arial"/>
          <w:sz w:val="18"/>
          <w:szCs w:val="18"/>
          <w:color w:val="auto"/>
        </w:rPr>
      </w:pPr>
    </w:p>
    <w:p>
      <w:pPr>
        <w:ind w:right="540" w:firstLine="8"/>
        <w:spacing w:after="0" w:line="277" w:lineRule="auto"/>
        <w:tabs>
          <w:tab w:leader="none" w:pos="2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00" w:firstLine="8"/>
        <w:spacing w:after="0" w:line="277" w:lineRule="auto"/>
        <w:tabs>
          <w:tab w:leader="none" w:pos="3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380"/>
          </w:cols>
          <w:pgMar w:left="240" w:top="226" w:right="27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type w:val="continuous"/>
        </w:sectPr>
      </w:pPr>
    </w:p>
    <w:bookmarkStart w:id="153" w:name="page154"/>
    <w:bookmarkEnd w:id="153"/>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the People’s Republic of China, on April 24, 2018.</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Ming Hui Lin</w:t>
            </w:r>
          </w:p>
        </w:tc>
      </w:tr>
      <w:tr>
        <w:trPr>
          <w:trHeight w:val="198"/>
        </w:trPr>
        <w:tc>
          <w:tcPr>
            <w:tcW w:w="58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8" w:lineRule="exact"/>
              <w:rPr>
                <w:sz w:val="20"/>
                <w:szCs w:val="20"/>
                <w:color w:val="auto"/>
              </w:rPr>
            </w:pPr>
            <w:r>
              <w:rPr>
                <w:rFonts w:ascii="Arial" w:cs="Arial" w:eastAsia="Arial" w:hAnsi="Arial"/>
                <w:sz w:val="18"/>
                <w:szCs w:val="18"/>
                <w:b w:val="1"/>
                <w:bCs w:val="1"/>
                <w:color w:val="auto"/>
              </w:rPr>
              <w:t>Raymond Ming Hui Lin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Xiao Feng Yang</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456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1"/>
              </w:rPr>
              <w:t>/s/ Xiao Feng Yang</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Chairman, President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Xiao Feng Yang</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5"/>
              </w:rPr>
              <w:t>/s/ Raymond Ming Hui Lin</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Raymond Ming Hui Lin</w:t>
            </w:r>
          </w:p>
        </w:tc>
        <w:tc>
          <w:tcPr>
            <w:tcW w:w="22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6"/>
              </w:rPr>
              <w:t>/s/ *</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Tian van Acken</w:t>
            </w:r>
          </w:p>
        </w:tc>
        <w:tc>
          <w:tcPr>
            <w:tcW w:w="220" w:type="dxa"/>
            <w:vAlign w:val="bottom"/>
          </w:tcPr>
          <w:p>
            <w:pPr>
              <w:spacing w:after="0"/>
              <w:rPr>
                <w:sz w:val="20"/>
                <w:szCs w:val="20"/>
                <w:color w:val="auto"/>
              </w:rPr>
            </w:pPr>
          </w:p>
        </w:tc>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(Principal Accounting and Financial Officer)</w:t>
            </w:r>
          </w:p>
        </w:tc>
        <w:tc>
          <w:tcPr>
            <w:tcW w:w="182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6"/>
              </w:rPr>
              <w:t>/s/ *</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Jin He Shao</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color w:val="auto"/>
                <w:w w:val="96"/>
              </w:rPr>
              <w:t>/s/ *</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Kewei Huang</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21"/>
        </w:trPr>
        <w:tc>
          <w:tcPr>
            <w:tcW w:w="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96"/>
              </w:rPr>
              <w:t>/s/ *</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Independent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April 24, 2018</w:t>
            </w:r>
          </w:p>
        </w:tc>
      </w:tr>
      <w:tr>
        <w:trPr>
          <w:trHeight w:val="234"/>
        </w:trPr>
        <w:tc>
          <w:tcPr>
            <w:tcW w:w="460" w:type="dxa"/>
            <w:vAlign w:val="bottom"/>
          </w:tcPr>
          <w:p>
            <w:pPr>
              <w:spacing w:after="0"/>
              <w:rPr>
                <w:sz w:val="20"/>
                <w:szCs w:val="20"/>
                <w:color w:val="auto"/>
              </w:rPr>
            </w:pPr>
          </w:p>
        </w:tc>
        <w:tc>
          <w:tcPr>
            <w:tcW w:w="41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Kathryn Amooi</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4"/>
        </w:trPr>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By:* Xiao Feng Yang</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460" w:type="dxa"/>
            <w:vAlign w:val="bottom"/>
          </w:tcPr>
          <w:p>
            <w:pPr>
              <w:spacing w:after="0"/>
              <w:rPr>
                <w:sz w:val="17"/>
                <w:szCs w:val="17"/>
                <w:color w:val="auto"/>
              </w:rPr>
            </w:pPr>
          </w:p>
        </w:tc>
        <w:tc>
          <w:tcPr>
            <w:tcW w:w="4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Xiao Feng Yang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Attorney in fact</w:t>
            </w: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ind w:left="760"/>
              <w:spacing w:after="0"/>
              <w:rPr>
                <w:sz w:val="20"/>
                <w:szCs w:val="20"/>
                <w:color w:val="auto"/>
              </w:rPr>
            </w:pPr>
            <w:r>
              <w:rPr>
                <w:rFonts w:ascii="Arial" w:cs="Arial" w:eastAsia="Arial" w:hAnsi="Arial"/>
                <w:sz w:val="18"/>
                <w:szCs w:val="18"/>
                <w:color w:val="auto"/>
              </w:rPr>
              <w:t>II-6</w:t>
            </w: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54" w:name="page155"/>
    <w:bookmarkEnd w:id="154"/>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the Company has signed this registration statement or amendment thereto in New York on April 24, 2018.</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Authorized U.S. Representative</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VCorp Services,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 Robert Pitt Drive, Suite 204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Monsey, NY 10952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(888) 528-2677</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Isaac Muller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Isaac Muller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Authorized Person</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226" w:right="7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 - Ogier Global (Cayman)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+852 3656 6054</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 nathan.powell@ogier.com</w:t>
      </w:r>
    </w:p>
    <w:p>
      <w:pPr>
        <w:spacing w:after="0" w:line="32"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89 Nexus Way, Camana Bay</w:t>
      </w:r>
    </w:p>
    <w:p>
      <w:pPr>
        <w:sectPr>
          <w:pgSz w:w="11900" w:h="16838" w:orient="portrait"/>
          <w:cols w:equalWidth="0" w:num="1">
            <w:col w:w="11420"/>
          </w:cols>
          <w:pgMar w:left="240" w:top="121"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Grand Cayman KY1-9009</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Reference: NMP/FYC/173339.00001</w:t>
      </w:r>
    </w:p>
    <w:p>
      <w:pPr>
        <w:spacing w:after="0" w:line="32"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23 April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CLPS Incorporation (the Company)</w:t>
      </w:r>
    </w:p>
    <w:p>
      <w:pPr>
        <w:sectPr>
          <w:pgSz w:w="11900" w:h="16838" w:orient="portrait"/>
          <w:cols w:equalWidth="0" w:num="1">
            <w:col w:w="11420"/>
          </w:cols>
          <w:pgMar w:left="240" w:top="121" w:right="239" w:bottom="1440" w:gutter="0" w:footer="0" w:header="0"/>
          <w:type w:val="continuous"/>
        </w:sectPr>
      </w:pP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have acted as Cayman Islands counsel to the Company in connection with the Company’s registration statement on Form F-1, including all amendments or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as filed with the United States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xml:space="preserve"> under the United States Securities Act 1933, as amended (the </w:t>
      </w:r>
      <w:r>
        <w:rPr>
          <w:rFonts w:ascii="Arial" w:cs="Arial" w:eastAsia="Arial" w:hAnsi="Arial"/>
          <w:sz w:val="16"/>
          <w:szCs w:val="16"/>
          <w:b w:val="1"/>
          <w:bCs w:val="1"/>
          <w:color w:val="auto"/>
        </w:rPr>
        <w:t>Act)</w:t>
      </w:r>
      <w:r>
        <w:rPr>
          <w:rFonts w:ascii="Arial" w:cs="Arial" w:eastAsia="Arial" w:hAnsi="Arial"/>
          <w:sz w:val="16"/>
          <w:szCs w:val="16"/>
          <w:color w:val="auto"/>
        </w:rPr>
        <w:t xml:space="preserve"> on or about 23 April 2018. The Registration Statement relates to the offering (the </w:t>
      </w:r>
      <w:r>
        <w:rPr>
          <w:rFonts w:ascii="Arial" w:cs="Arial" w:eastAsia="Arial" w:hAnsi="Arial"/>
          <w:sz w:val="16"/>
          <w:szCs w:val="16"/>
          <w:b w:val="1"/>
          <w:bCs w:val="1"/>
          <w:color w:val="auto"/>
        </w:rPr>
        <w:t>Offering)</w:t>
      </w:r>
      <w:r>
        <w:rPr>
          <w:rFonts w:ascii="Arial" w:cs="Arial" w:eastAsia="Arial" w:hAnsi="Arial"/>
          <w:sz w:val="16"/>
          <w:szCs w:val="16"/>
          <w:color w:val="auto"/>
        </w:rPr>
        <w:t xml:space="preserve"> of (i) 2,000,000 shares of a par value of US$0.0001 per share each of the Company (the </w:t>
      </w:r>
      <w:r>
        <w:rPr>
          <w:rFonts w:ascii="Arial" w:cs="Arial" w:eastAsia="Arial" w:hAnsi="Arial"/>
          <w:sz w:val="16"/>
          <w:szCs w:val="16"/>
          <w:b w:val="1"/>
          <w:bCs w:val="1"/>
          <w:color w:val="auto"/>
        </w:rPr>
        <w:t>Offering Shares),</w:t>
      </w:r>
      <w:r>
        <w:rPr>
          <w:rFonts w:ascii="Arial" w:cs="Arial" w:eastAsia="Arial" w:hAnsi="Arial"/>
          <w:sz w:val="16"/>
          <w:szCs w:val="16"/>
          <w:color w:val="auto"/>
        </w:rPr>
        <w:t xml:space="preserve"> and (ii) up to an additional 300,000 shares to cover the over-allotment option to be granted to the underwriters (the </w:t>
      </w:r>
      <w:r>
        <w:rPr>
          <w:rFonts w:ascii="Arial" w:cs="Arial" w:eastAsia="Arial" w:hAnsi="Arial"/>
          <w:sz w:val="16"/>
          <w:szCs w:val="16"/>
          <w:b w:val="1"/>
          <w:bCs w:val="1"/>
          <w:color w:val="auto"/>
        </w:rPr>
        <w:t>Over-allotment Shares,</w:t>
      </w:r>
      <w:r>
        <w:rPr>
          <w:rFonts w:ascii="Arial" w:cs="Arial" w:eastAsia="Arial" w:hAnsi="Arial"/>
          <w:sz w:val="16"/>
          <w:szCs w:val="16"/>
          <w:color w:val="auto"/>
        </w:rPr>
        <w:t xml:space="preserve"> and together with the Shares, the </w:t>
      </w:r>
      <w:r>
        <w:rPr>
          <w:rFonts w:ascii="Arial" w:cs="Arial" w:eastAsia="Arial" w:hAnsi="Arial"/>
          <w:sz w:val="16"/>
          <w:szCs w:val="16"/>
          <w:b w:val="1"/>
          <w:bCs w:val="1"/>
          <w:color w:val="auto"/>
        </w:rPr>
        <w:t>IPO Shares).</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43"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examined</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For the purposes of giving this opinion, we have examined originals, copies, or drafts of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300" w:hanging="644"/>
        <w:spacing w:after="0" w:line="277"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certificate of incorporation of the Company dated 11 May 2017 issued by the Registrar of Companies of the Cayman Islands (the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the amended and restated memorandum and articles of association of the Company adopted by special resolutions of the Company dated 7 December 2017 (respectively, the </w:t>
      </w:r>
      <w:r>
        <w:rPr>
          <w:rFonts w:ascii="Arial" w:cs="Arial" w:eastAsia="Arial" w:hAnsi="Arial"/>
          <w:sz w:val="18"/>
          <w:szCs w:val="18"/>
          <w:b w:val="1"/>
          <w:bCs w:val="1"/>
          <w:color w:val="auto"/>
        </w:rPr>
        <w:t>Memorandum</w:t>
      </w:r>
      <w:r>
        <w:rPr>
          <w:rFonts w:ascii="Arial" w:cs="Arial" w:eastAsia="Arial" w:hAnsi="Arial"/>
          <w:sz w:val="18"/>
          <w:szCs w:val="18"/>
          <w:color w:val="auto"/>
        </w:rPr>
        <w:t xml:space="preserve"> and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 certificate of good standing dated 18 April 2018 (the </w:t>
      </w:r>
      <w:r>
        <w:rPr>
          <w:rFonts w:ascii="Arial" w:cs="Arial" w:eastAsia="Arial" w:hAnsi="Arial"/>
          <w:sz w:val="17"/>
          <w:szCs w:val="17"/>
          <w:b w:val="1"/>
          <w:bCs w:val="1"/>
          <w:color w:val="auto"/>
        </w:rPr>
        <w:t>Good Standing Certificate)</w:t>
      </w:r>
      <w:r>
        <w:rPr>
          <w:rFonts w:ascii="Arial" w:cs="Arial" w:eastAsia="Arial" w:hAnsi="Arial"/>
          <w:sz w:val="17"/>
          <w:szCs w:val="17"/>
          <w:color w:val="auto"/>
        </w:rPr>
        <w:t xml:space="preserve"> issued by the Registrar in respect of the Company;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the Company as at 19 March 2018 (the </w:t>
      </w:r>
      <w:r>
        <w:rPr>
          <w:rFonts w:ascii="Arial" w:cs="Arial" w:eastAsia="Arial" w:hAnsi="Arial"/>
          <w:sz w:val="18"/>
          <w:szCs w:val="18"/>
          <w:b w:val="1"/>
          <w:bCs w:val="1"/>
          <w:color w:val="auto"/>
        </w:rPr>
        <w:t>ROD);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Ogier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Guernsey, Jersey and 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practitioners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60" w:type="dxa"/>
            <w:vAlign w:val="bottom"/>
          </w:tcPr>
          <w:p>
            <w:pPr>
              <w:spacing w:after="0"/>
              <w:rPr>
                <w:sz w:val="20"/>
                <w:szCs w:val="20"/>
                <w:color w:val="auto"/>
              </w:rPr>
            </w:pPr>
            <w:r>
              <w:rPr>
                <w:rFonts w:ascii="Arial" w:cs="Arial" w:eastAsia="Arial" w:hAnsi="Arial"/>
                <w:sz w:val="18"/>
                <w:szCs w:val="18"/>
                <w:color w:val="auto"/>
              </w:rPr>
              <w:t>Floor 11 Central Tower</w:t>
            </w:r>
          </w:p>
        </w:tc>
        <w:tc>
          <w:tcPr>
            <w:tcW w:w="7260" w:type="dxa"/>
            <w:vAlign w:val="bottom"/>
          </w:tcPr>
          <w:p>
            <w:pPr>
              <w:ind w:left="2340"/>
              <w:spacing w:after="0"/>
              <w:rPr>
                <w:sz w:val="20"/>
                <w:szCs w:val="20"/>
                <w:color w:val="auto"/>
              </w:rPr>
            </w:pPr>
            <w:r>
              <w:rPr>
                <w:rFonts w:ascii="Arial" w:cs="Arial" w:eastAsia="Arial" w:hAnsi="Arial"/>
                <w:sz w:val="18"/>
                <w:szCs w:val="18"/>
                <w:b w:val="1"/>
                <w:bCs w:val="1"/>
                <w:color w:val="auto"/>
              </w:rPr>
              <w:t>Partners</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28 Queen’s Road Central</w:t>
            </w:r>
          </w:p>
        </w:tc>
        <w:tc>
          <w:tcPr>
            <w:tcW w:w="7260" w:type="dxa"/>
            <w:vAlign w:val="bottom"/>
          </w:tcPr>
          <w:p>
            <w:pPr>
              <w:ind w:left="2340"/>
              <w:spacing w:after="0"/>
              <w:rPr>
                <w:sz w:val="20"/>
                <w:szCs w:val="20"/>
                <w:color w:val="auto"/>
              </w:rPr>
            </w:pPr>
            <w:r>
              <w:rPr>
                <w:rFonts w:ascii="Arial" w:cs="Arial" w:eastAsia="Arial" w:hAnsi="Arial"/>
                <w:sz w:val="18"/>
                <w:szCs w:val="18"/>
                <w:color w:val="auto"/>
              </w:rPr>
              <w:t>Nicholas Plowman</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Central</w:t>
            </w:r>
          </w:p>
        </w:tc>
        <w:tc>
          <w:tcPr>
            <w:tcW w:w="7260" w:type="dxa"/>
            <w:vAlign w:val="bottom"/>
          </w:tcPr>
          <w:p>
            <w:pPr>
              <w:ind w:left="2340"/>
              <w:spacing w:after="0"/>
              <w:rPr>
                <w:sz w:val="20"/>
                <w:szCs w:val="20"/>
                <w:color w:val="auto"/>
              </w:rPr>
            </w:pPr>
            <w:r>
              <w:rPr>
                <w:rFonts w:ascii="Arial" w:cs="Arial" w:eastAsia="Arial" w:hAnsi="Arial"/>
                <w:sz w:val="18"/>
                <w:szCs w:val="18"/>
                <w:color w:val="auto"/>
              </w:rPr>
              <w:t>Nathan Powell</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Hong Kong</w:t>
            </w:r>
          </w:p>
        </w:tc>
        <w:tc>
          <w:tcPr>
            <w:tcW w:w="7260" w:type="dxa"/>
            <w:vAlign w:val="bottom"/>
          </w:tcPr>
          <w:p>
            <w:pPr>
              <w:ind w:left="2340"/>
              <w:spacing w:after="0"/>
              <w:rPr>
                <w:sz w:val="20"/>
                <w:szCs w:val="20"/>
                <w:color w:val="auto"/>
              </w:rPr>
            </w:pPr>
            <w:r>
              <w:rPr>
                <w:rFonts w:ascii="Arial" w:cs="Arial" w:eastAsia="Arial" w:hAnsi="Arial"/>
                <w:sz w:val="18"/>
                <w:szCs w:val="18"/>
                <w:color w:val="auto"/>
              </w:rPr>
              <w:t>Ray Ng</w:t>
            </w:r>
          </w:p>
        </w:tc>
      </w:tr>
      <w:tr>
        <w:trPr>
          <w:trHeight w:val="216"/>
        </w:trPr>
        <w:tc>
          <w:tcPr>
            <w:tcW w:w="4160" w:type="dxa"/>
            <w:vAlign w:val="bottom"/>
          </w:tcPr>
          <w:p>
            <w:pPr>
              <w:spacing w:after="0"/>
              <w:rPr>
                <w:sz w:val="18"/>
                <w:szCs w:val="18"/>
                <w:color w:val="auto"/>
              </w:rPr>
            </w:pPr>
          </w:p>
        </w:tc>
        <w:tc>
          <w:tcPr>
            <w:tcW w:w="7260" w:type="dxa"/>
            <w:vAlign w:val="bottom"/>
          </w:tcPr>
          <w:p>
            <w:pPr>
              <w:ind w:left="2340"/>
              <w:spacing w:after="0"/>
              <w:rPr>
                <w:sz w:val="20"/>
                <w:szCs w:val="20"/>
                <w:color w:val="auto"/>
              </w:rPr>
            </w:pPr>
            <w:r>
              <w:rPr>
                <w:rFonts w:ascii="Arial" w:cs="Arial" w:eastAsia="Arial" w:hAnsi="Arial"/>
                <w:sz w:val="18"/>
                <w:szCs w:val="18"/>
                <w:color w:val="auto"/>
              </w:rPr>
              <w:t>Kate Hodson</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 +852 3656 6000</w:t>
            </w:r>
          </w:p>
        </w:tc>
        <w:tc>
          <w:tcPr>
            <w:tcW w:w="7260" w:type="dxa"/>
            <w:vAlign w:val="bottom"/>
          </w:tcPr>
          <w:p>
            <w:pPr>
              <w:ind w:left="2340"/>
              <w:spacing w:after="0"/>
              <w:rPr>
                <w:sz w:val="20"/>
                <w:szCs w:val="20"/>
                <w:color w:val="auto"/>
              </w:rPr>
            </w:pPr>
            <w:r>
              <w:rPr>
                <w:rFonts w:ascii="Arial" w:cs="Arial" w:eastAsia="Arial" w:hAnsi="Arial"/>
                <w:sz w:val="18"/>
                <w:szCs w:val="18"/>
                <w:color w:val="auto"/>
              </w:rPr>
              <w:t>Anthony Oakes</w:t>
            </w:r>
          </w:p>
        </w:tc>
      </w:tr>
      <w:tr>
        <w:trPr>
          <w:trHeight w:val="212"/>
        </w:trPr>
        <w:tc>
          <w:tcPr>
            <w:tcW w:w="4160" w:type="dxa"/>
            <w:vAlign w:val="bottom"/>
          </w:tcPr>
          <w:p>
            <w:pPr>
              <w:spacing w:after="0"/>
              <w:rPr>
                <w:sz w:val="20"/>
                <w:szCs w:val="20"/>
                <w:color w:val="auto"/>
              </w:rPr>
            </w:pPr>
            <w:r>
              <w:rPr>
                <w:rFonts w:ascii="Arial" w:cs="Arial" w:eastAsia="Arial" w:hAnsi="Arial"/>
                <w:sz w:val="18"/>
                <w:szCs w:val="18"/>
                <w:color w:val="auto"/>
              </w:rPr>
              <w:t>F +852 3656 6001</w:t>
            </w:r>
          </w:p>
        </w:tc>
        <w:tc>
          <w:tcPr>
            <w:tcW w:w="7260" w:type="dxa"/>
            <w:vAlign w:val="bottom"/>
          </w:tcPr>
          <w:p>
            <w:pPr>
              <w:ind w:left="2340"/>
              <w:spacing w:after="0"/>
              <w:rPr>
                <w:sz w:val="20"/>
                <w:szCs w:val="20"/>
                <w:color w:val="auto"/>
              </w:rPr>
            </w:pPr>
            <w:r>
              <w:rPr>
                <w:rFonts w:ascii="Arial" w:cs="Arial" w:eastAsia="Arial" w:hAnsi="Arial"/>
                <w:sz w:val="18"/>
                <w:szCs w:val="18"/>
                <w:color w:val="auto"/>
              </w:rPr>
              <w:t>Oliver Payne</w:t>
            </w:r>
          </w:p>
        </w:tc>
      </w:tr>
      <w:tr>
        <w:trPr>
          <w:trHeight w:val="220"/>
        </w:trPr>
        <w:tc>
          <w:tcPr>
            <w:tcW w:w="4160" w:type="dxa"/>
            <w:vAlign w:val="bottom"/>
          </w:tcPr>
          <w:p>
            <w:pPr>
              <w:spacing w:after="0"/>
              <w:rPr>
                <w:sz w:val="20"/>
                <w:szCs w:val="20"/>
                <w:color w:val="auto"/>
              </w:rPr>
            </w:pPr>
            <w:r>
              <w:rPr>
                <w:rFonts w:ascii="Arial" w:cs="Arial" w:eastAsia="Arial" w:hAnsi="Arial"/>
                <w:sz w:val="18"/>
                <w:szCs w:val="18"/>
                <w:b w:val="1"/>
                <w:bCs w:val="1"/>
                <w:color w:val="auto"/>
              </w:rPr>
              <w:t>ogier.com</w:t>
            </w:r>
          </w:p>
        </w:tc>
        <w:tc>
          <w:tcPr>
            <w:tcW w:w="7260" w:type="dxa"/>
            <w:vAlign w:val="bottom"/>
          </w:tcPr>
          <w:p>
            <w:pPr>
              <w:ind w:left="2340"/>
              <w:spacing w:after="0"/>
              <w:rPr>
                <w:sz w:val="20"/>
                <w:szCs w:val="20"/>
                <w:color w:val="auto"/>
              </w:rPr>
            </w:pPr>
            <w:r>
              <w:rPr>
                <w:rFonts w:ascii="Arial" w:cs="Arial" w:eastAsia="Arial" w:hAnsi="Arial"/>
                <w:sz w:val="18"/>
                <w:szCs w:val="18"/>
                <w:color w:val="auto"/>
              </w:rPr>
              <w:t>James Bergstrom</w:t>
            </w:r>
          </w:p>
        </w:tc>
      </w:tr>
      <w:tr>
        <w:trPr>
          <w:trHeight w:val="230"/>
        </w:trPr>
        <w:tc>
          <w:tcPr>
            <w:tcW w:w="4160" w:type="dxa"/>
            <w:vAlign w:val="bottom"/>
          </w:tcPr>
          <w:p>
            <w:pPr>
              <w:spacing w:after="0"/>
              <w:rPr>
                <w:sz w:val="20"/>
                <w:szCs w:val="20"/>
                <w:color w:val="auto"/>
              </w:rPr>
            </w:pPr>
          </w:p>
        </w:tc>
        <w:tc>
          <w:tcPr>
            <w:tcW w:w="7260" w:type="dxa"/>
            <w:vAlign w:val="bottom"/>
          </w:tcPr>
          <w:p>
            <w:pPr>
              <w:ind w:left="2340"/>
              <w:spacing w:after="0"/>
              <w:rPr>
                <w:sz w:val="20"/>
                <w:szCs w:val="20"/>
                <w:color w:val="auto"/>
              </w:rPr>
            </w:pPr>
            <w:r>
              <w:rPr>
                <w:rFonts w:ascii="Arial" w:cs="Arial" w:eastAsia="Arial" w:hAnsi="Arial"/>
                <w:sz w:val="18"/>
                <w:szCs w:val="18"/>
                <w:color w:val="auto"/>
              </w:rPr>
              <w:t>Marcus Leese</w:t>
            </w:r>
          </w:p>
        </w:tc>
      </w:tr>
      <w:tr>
        <w:trPr>
          <w:trHeight w:val="682"/>
        </w:trPr>
        <w:tc>
          <w:tcPr>
            <w:tcW w:w="41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 copy of the register of members of the Company as at 19 March 2018 (the </w:t>
      </w:r>
      <w:r>
        <w:rPr>
          <w:rFonts w:ascii="Arial" w:cs="Arial" w:eastAsia="Arial" w:hAnsi="Arial"/>
          <w:sz w:val="18"/>
          <w:szCs w:val="18"/>
          <w:b w:val="1"/>
          <w:bCs w:val="1"/>
          <w:color w:val="auto"/>
        </w:rPr>
        <w:t>ROM,</w:t>
      </w:r>
      <w:r>
        <w:rPr>
          <w:rFonts w:ascii="Arial" w:cs="Arial" w:eastAsia="Arial" w:hAnsi="Arial"/>
          <w:sz w:val="18"/>
          <w:szCs w:val="18"/>
          <w:color w:val="auto"/>
        </w:rPr>
        <w:t xml:space="preserve"> and together with the ROD, the </w:t>
      </w:r>
      <w:r>
        <w:rPr>
          <w:rFonts w:ascii="Arial" w:cs="Arial" w:eastAsia="Arial" w:hAnsi="Arial"/>
          <w:sz w:val="18"/>
          <w:szCs w:val="18"/>
          <w:b w:val="1"/>
          <w:bCs w:val="1"/>
          <w:color w:val="auto"/>
        </w:rPr>
        <w:t>Registers);</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copy of the unanimous written resolutions of the directors of the Company dated 11</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 xml:space="preserve">January 2018 and 23 April 2018 approving the Company’s filing of the Registration Statement and issuance of the IPO Shares (the </w:t>
      </w:r>
      <w:r>
        <w:rPr>
          <w:rFonts w:ascii="Arial" w:cs="Arial" w:eastAsia="Arial" w:hAnsi="Arial"/>
          <w:sz w:val="16"/>
          <w:szCs w:val="16"/>
          <w:b w:val="1"/>
          <w:bCs w:val="1"/>
          <w:color w:val="auto"/>
        </w:rPr>
        <w:t>Board</w:t>
      </w:r>
    </w:p>
    <w:p>
      <w:pPr>
        <w:spacing w:after="0" w:line="3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Resolutions);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Registration Statement;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Register of Writs and Other Originating Process at the office of the Clerk of Courts in the Cayman Islands as inspected by us on 20 April 2018 (the </w:t>
      </w:r>
      <w:r>
        <w:rPr>
          <w:rFonts w:ascii="Arial" w:cs="Arial" w:eastAsia="Arial" w:hAnsi="Arial"/>
          <w:sz w:val="18"/>
          <w:szCs w:val="18"/>
          <w:b w:val="1"/>
          <w:bCs w:val="1"/>
          <w:color w:val="auto"/>
        </w:rPr>
        <w:t>Register of Writs).</w:t>
      </w:r>
    </w:p>
    <w:p>
      <w:pPr>
        <w:spacing w:after="0" w:line="166"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original documents examined by us are authentic and complete;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copy documents examined by us (whether in facsimile, electronic or other form) conform to the originals and those originals are authentic and complete;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signatures, seals, dates, stamps and markings (whether on original or copy documents) are genuine;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each of the Good Standing Certificate, the Registers and the Directors Certificate is accurate and complete as at the date of this opinion;</w:t>
      </w:r>
    </w:p>
    <w:p>
      <w:pPr>
        <w:spacing w:after="0" w:line="248"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copies of the Registration Statement are true and correct copies and the Registration Statement conform in every material respect to the latest drafts of the same produced to us and, where the Registration Statement has been provided to us in successive drafts marked-up to indicate changes to such documents, all such changes have been so indicated;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Board Resolution remains in full force and effect and each of the directors of the Company has acted in good faith with a view to the best interests of the Company and has exercised the standard of care, diligence and skill that is required of him or her in approving the Offering and no director has a financial interest in or other relationship to a party of the transactions contemplated by the Documents which has not been properly disclosed in the Board Resolutions;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neither the directors and shareholders of the Company have taken any steps to appoint a liquidator of the Company and no receiver has been appointed over any of the Company’s property or assets;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maximum number of ordinary shares which the Company is required to issue to fulfil its obligation to issue the IPO Shares is 88,710,000 ordinary shares and the consideration payable for each Offering Share and Over-Allotment Share shall be no less than the par value of US$0.0001 each;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5" w:lineRule="exact"/>
        <w:rPr>
          <w:sz w:val="20"/>
          <w:szCs w:val="20"/>
          <w:color w:val="auto"/>
        </w:rPr>
      </w:pPr>
    </w:p>
    <w:p>
      <w:pPr>
        <w:ind w:left="1300" w:hanging="644"/>
        <w:spacing w:after="0" w:line="277"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 is no provision of the law of any jurisdiction, other than the Cayman Islands, which would have any implication in relation to the opinions expressed herein.</w:t>
      </w:r>
    </w:p>
    <w:p>
      <w:pPr>
        <w:spacing w:after="0" w:line="166"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basis of the examinations and assumptions referred to above and subject to the limitations and qualifications set forth in paragraph 4 below, we are of the opinion that:</w:t>
      </w:r>
    </w:p>
    <w:p>
      <w:pPr>
        <w:spacing w:after="0" w:line="16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Corporate status</w:t>
      </w:r>
    </w:p>
    <w:p>
      <w:pPr>
        <w:spacing w:after="0" w:line="229"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has been duly incorporated as an exempted company and is validly existing and in good standing with the Registrar.</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1300" w:hanging="644"/>
        <w:spacing w:after="0" w:line="277"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Based solely on the Memorandum, the authorised share capital of the Company is US$10,000 divided into 100,000,000 ordinary shares of US$0.0001 par value (the </w:t>
      </w:r>
      <w:r>
        <w:rPr>
          <w:rFonts w:ascii="Arial" w:cs="Arial" w:eastAsia="Arial" w:hAnsi="Arial"/>
          <w:sz w:val="18"/>
          <w:szCs w:val="18"/>
          <w:b w:val="1"/>
          <w:bCs w:val="1"/>
          <w:color w:val="auto"/>
        </w:rPr>
        <w:t>Ordinary Shares)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solely on the ROM, a total of 11,290,000 Ordinary Shares are currently in issue as at the date thereof. Accordingly, the Company has sufficient number of ordinary shares within its authorized share capital to ensure it is able to fulfil its obligation to issue the Offering Shares, plus any additional Over-allotment Shares.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Valid Issuance of IPO Shares</w:t>
      </w:r>
    </w:p>
    <w:p>
      <w:pPr>
        <w:spacing w:after="0" w:line="229" w:lineRule="exact"/>
        <w:rPr>
          <w:sz w:val="20"/>
          <w:szCs w:val="20"/>
          <w:color w:val="auto"/>
        </w:rPr>
      </w:pPr>
    </w:p>
    <w:p>
      <w:pPr>
        <w:jc w:val="both"/>
        <w:ind w:left="1300" w:hanging="644"/>
        <w:spacing w:after="0" w:line="302" w:lineRule="auto"/>
        <w:tabs>
          <w:tab w:leader="none" w:pos="13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Offering Shares, when issued and sold in accordance with the Registration Statement and duly passed resolutions and once consideration of not less than the par value is paid per share, will be duly authorized, validly issued, fully paid and non-assessable (meaning that no further sums will be payable with respect them). Once the register of members has been updated to reflect the issuance, the shareholders recorded in the register of members will be deemed to have legal title to the shares set against their respective name.</w:t>
      </w:r>
    </w:p>
    <w:p>
      <w:pPr>
        <w:spacing w:after="0" w:line="154" w:lineRule="exact"/>
        <w:rPr>
          <w:rFonts w:ascii="Arial" w:cs="Arial" w:eastAsia="Arial" w:hAnsi="Arial"/>
          <w:sz w:val="16"/>
          <w:szCs w:val="16"/>
          <w:color w:val="auto"/>
        </w:rPr>
      </w:pPr>
    </w:p>
    <w:p>
      <w:pPr>
        <w:jc w:val="both"/>
        <w:ind w:left="1300" w:hanging="644"/>
        <w:spacing w:after="0" w:line="302" w:lineRule="auto"/>
        <w:tabs>
          <w:tab w:leader="none" w:pos="13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Over-Allotment Shares, when issued and sold in accordance with the Registration Statement and duly passed resolutions and once consideration of not less than the par value is paid per share, will be duly authorized, validly issued, fully paid and non-assessable (meaning that no further sums will be payable with respect them). Once the register of members has been updated to reflect the issuance, the shareholders recorded in the register of members will be deemed to have legal title to the shares set against their respective name.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Enforcement of foreign judgments</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Although there is no statutory enforcement in the Cayman Islands of judgments or orders obtained in foreign courts (other than certain courts of Australia and its external territories), the courts of the Cayman Islands will recognise and enforce a foreign judgment or order, without re-examination or re-litigation of the matters adjudicated upon, if the judgment or order: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 given by a foreign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5" w:lineRule="exact"/>
        <w:rPr>
          <w:sz w:val="20"/>
          <w:szCs w:val="20"/>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final and conclusive;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not in respect of a tax, fine or other penalty;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was not obtained by fraud;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not of a kind, the enforcement of which is contrary to public policy in the Cayman Islands.</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The courts of the Cayman Islands will apply the rules of Cayman Islands private international law to determine whether the foreign court is a court of competent jurisdiction. Subject to these limitations, the courts of the Cayman Islands will recognise and enforce a foreign judgment for a liquidated sum and may also give effect in the Cayman Islands to other kinds of foreign judgments, such as declaratory orders, orders for performance of contracts and injunctions.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Registration Statement - Taxation</w:t>
      </w:r>
    </w:p>
    <w:p>
      <w:pPr>
        <w:spacing w:after="0" w:line="229" w:lineRule="exact"/>
        <w:rPr>
          <w:sz w:val="20"/>
          <w:szCs w:val="20"/>
          <w:color w:val="auto"/>
        </w:rPr>
      </w:pPr>
    </w:p>
    <w:p>
      <w:pPr>
        <w:jc w:val="both"/>
        <w:ind w:left="1240" w:hanging="584"/>
        <w:spacing w:after="0" w:line="271" w:lineRule="auto"/>
        <w:tabs>
          <w:tab w:leader="none" w:pos="12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statements contained in the Registration Statement in the section headed “Cayman Islands Taxation”, in so far as they purport to summarise the laws or regulations of the Cayman Islands, fairly and accurately summarise the matters referred to therein. This opinion is given under Item 601 of Regulation S-K, as our opinion regarding tax matters. All such statements are based upon laws and relevant interpretations thereof in effect as of the date of the prospectus, all of which are subject to change. Further, there can be no assurance that the Cayman Islands Court will not take a contrary position. Our opinion expressed above is limited to the tax laws of the Cayman Islands. We assume no obligation to revise or supplement this letter in the event of any changes in law or fact arising after the date hereof; provided, however, that our opinions set forth in the Registration Statement will be revised, if needed to remain accurate in all material respects as of the effective date of the Registration Statement.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 litigation revealed</w:t>
      </w:r>
    </w:p>
    <w:p>
      <w:pPr>
        <w:spacing w:after="0" w:line="229" w:lineRule="exact"/>
        <w:rPr>
          <w:sz w:val="20"/>
          <w:szCs w:val="20"/>
          <w:color w:val="auto"/>
        </w:rPr>
      </w:pPr>
    </w:p>
    <w:p>
      <w:pPr>
        <w:jc w:val="both"/>
        <w:ind w:left="1240" w:hanging="584"/>
        <w:spacing w:after="0" w:line="264"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solely on our investigation of the Register of Writs and Other Originating Process, no litigation or winding up proceeding was pending in the Cayman Islands against the Company, nor had any petition been presented or order made for the winding up of the Company, as of the close of business on the day before our inspection.</w:t>
      </w:r>
    </w:p>
    <w:p>
      <w:pPr>
        <w:spacing w:after="0" w:line="17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We offer no opinion:</w:t>
      </w:r>
    </w:p>
    <w:p>
      <w:pPr>
        <w:spacing w:after="0" w:line="225" w:lineRule="exact"/>
        <w:rPr>
          <w:sz w:val="20"/>
          <w:szCs w:val="20"/>
          <w:color w:val="auto"/>
        </w:rPr>
      </w:pPr>
    </w:p>
    <w:p>
      <w:pPr>
        <w:jc w:val="both"/>
        <w:ind w:left="1240" w:hanging="584"/>
        <w:spacing w:after="0" w:line="264"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p>
      <w:pPr>
        <w:spacing w:after="0" w:line="181" w:lineRule="exact"/>
        <w:rPr>
          <w:rFonts w:ascii="Arial" w:cs="Arial" w:eastAsia="Arial" w:hAnsi="Arial"/>
          <w:sz w:val="18"/>
          <w:szCs w:val="18"/>
          <w:color w:val="auto"/>
        </w:rPr>
      </w:pPr>
    </w:p>
    <w:p>
      <w:pPr>
        <w:jc w:val="both"/>
        <w:ind w:left="1240" w:hanging="584"/>
        <w:spacing w:after="0" w:line="259"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to the extent that this opinion expressly provides otherwise, as to the commercial terms of, or the validity, enforceability or effect of the Registration Statement, the accuracy of representations, the fulfilment of warranties or conditions, the occurrence of events of default or terminating events or the existence of any conflicts or inconsistencies among the Registration Statement and any other agreements into which the Company may have entered or any other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1" w:lineRule="exact"/>
        <w:rPr>
          <w:sz w:val="20"/>
          <w:szCs w:val="20"/>
          <w:color w:val="auto"/>
        </w:rPr>
      </w:pPr>
    </w:p>
    <w:p>
      <w:pPr>
        <w:jc w:val="both"/>
        <w:ind w:left="660" w:hanging="647"/>
        <w:spacing w:after="0" w:line="281"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 xml:space="preserve">Under the Companies Law (Revised) </w:t>
      </w:r>
      <w:r>
        <w:rPr>
          <w:rFonts w:ascii="Arial" w:cs="Arial" w:eastAsia="Arial" w:hAnsi="Arial"/>
          <w:sz w:val="17"/>
          <w:szCs w:val="17"/>
          <w:b w:val="1"/>
          <w:bCs w:val="1"/>
          <w:color w:val="auto"/>
        </w:rPr>
        <w:t>(Companies Law)</w:t>
      </w:r>
      <w:r>
        <w:rPr>
          <w:rFonts w:ascii="Arial" w:cs="Arial" w:eastAsia="Arial" w:hAnsi="Arial"/>
          <w:sz w:val="17"/>
          <w:szCs w:val="17"/>
          <w:color w:val="auto"/>
        </w:rPr>
        <w:t xml:space="preserve">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65"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 xml:space="preserve">In </w:t>
      </w:r>
      <w:r>
        <w:rPr>
          <w:rFonts w:ascii="Arial" w:cs="Arial" w:eastAsia="Arial" w:hAnsi="Arial"/>
          <w:sz w:val="17"/>
          <w:szCs w:val="17"/>
          <w:b w:val="1"/>
          <w:bCs w:val="1"/>
          <w:color w:val="auto"/>
        </w:rPr>
        <w:t>good standing</w:t>
      </w:r>
      <w:r>
        <w:rPr>
          <w:rFonts w:ascii="Arial" w:cs="Arial" w:eastAsia="Arial" w:hAnsi="Arial"/>
          <w:sz w:val="17"/>
          <w:szCs w:val="17"/>
          <w:color w:val="auto"/>
        </w:rPr>
        <w:t xml:space="preserve"> means only that as of the date of this opinion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Law.</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Our examination of the Cause List cannot conclusively reveal whether or not there is:</w:t>
      </w:r>
    </w:p>
    <w:p>
      <w:pPr>
        <w:spacing w:after="0" w:line="225"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current or pending litigation in the Cayman Islands against the Company;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application for the winding up or dissolution of the Company or the appointment of any liquidator or trustee in bankruptcy in respect of the Company or any of its assets,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notice of these matters might not be entered on the Cause List immediately or the court file associated with the matter may not be accessible (for example, due to sealing orders having been made). Furthermore, we have not conducted a search of the summary court. Claims in the summary court are limited to a maximum of CI $20,000.</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this opinion, the term “enforceable” means that the relevant obligations are of a type that the courts of the Cayman Islands will ordinarily enforce, but it does not mean that those obligations will necessarily be enforced in all circumstances in accordance with their terms. In particular, but without limitation:</w:t>
      </w:r>
    </w:p>
    <w:p>
      <w:pPr>
        <w:spacing w:after="0" w:line="181"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enforcement may be limited by insolvency or similar laws affecting the rights of creditors;</w:t>
      </w:r>
    </w:p>
    <w:p>
      <w:pPr>
        <w:spacing w:after="0" w:line="225"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enforcement may be limited by general principles of equity. In particular, equitable remedies, such as specific performance and injunction, will only be granted by a court in its discretion and may not be available where the court considers damages to be an adequate remedy;</w:t>
      </w:r>
    </w:p>
    <w:p>
      <w:pPr>
        <w:spacing w:after="0" w:line="123"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claim may be barred by statutes of limitation, or it may be or become subject to defences of set-off, abatement, laches or counterclaim and the doctrines of estoppel, waiver, election, forbearance or abandonment;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court may refuse to allow unjust enrichment;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5" w:lineRule="exact"/>
        <w:rPr>
          <w:sz w:val="20"/>
          <w:szCs w:val="20"/>
          <w:color w:val="auto"/>
        </w:rPr>
      </w:pPr>
    </w:p>
    <w:p>
      <w:pPr>
        <w:jc w:val="both"/>
        <w:ind w:left="1300" w:hanging="644"/>
        <w:spacing w:after="0" w:line="264"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person who is not a party to a Document that is governed by Cayman Islands law may not have the benefit of and may not be able to enforce its terms except to the extent that the relevant Document expressly provides that the third party may, in its own right, enforce such rights (subject to and in accordance with the Contracts (Rights of Third Parties) Law, 2014;</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enforcement of an obligation of a party under a Document may be invalidated or vitiated by reason of fraud, duress, misrepresentation or undue influence or it may be limited by Cayman Islands law dealing with frustration of contracts;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provision of a Document that fetters any statutory power of a Cayman Islands’ company, such as a provision restricting the company’s power to commence its winding up, to alter its memorandum and articles of association or to increase its share capital, may not be enforceable;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effectiveness of a provision in a Document releasing a party from a liability or duty otherwise owed may be limited by law;</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court will not enforce a provision of a Document to the extent that it may be illegal or contrary to public policy in the Cayman Islands or purports to bar a party unconditionally from, seeking any relief from the courts of the Cayman Islands or any other court or tribunal chosen by the parties;</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provision of a Document that is construed as being penal in nature, in that it provides that a breach of a primary obligation results in a secondary obligation that imposes a detriment on the contract-breaker out of all proportion to any legitimate interest of the innocent party in the enforcement of the primary obligation, will not be enforceable (and we express no opinion as to whether such a provision is proportionate);</w:t>
      </w:r>
    </w:p>
    <w:p>
      <w:pPr>
        <w:spacing w:after="0" w:line="1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court may refuse to give effect to a provision in a Document (including a provision that relates to contractual interest on a judgment debt) that it considers usurious;</w:t>
      </w:r>
    </w:p>
    <w:p>
      <w:pPr>
        <w:spacing w:after="0" w:line="170"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court may not enforce a provision of a Document to the extent that the transactions contemplated by it contravene economic or other sanctions imposed in respect of certain states or jurisdictions by a treaty, law, order or regulation applicable to the Cayman Islands;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court may refuse to give effect to a provision in a Document that involves the enforcement of any foreign revenue or penal laws; and</w:t>
      </w:r>
    </w:p>
    <w:p>
      <w:pPr>
        <w:spacing w:after="0" w:line="236" w:lineRule="exact"/>
        <w:rPr>
          <w:rFonts w:ascii="Arial" w:cs="Arial" w:eastAsia="Arial" w:hAnsi="Arial"/>
          <w:sz w:val="17"/>
          <w:szCs w:val="17"/>
          <w:color w:val="auto"/>
        </w:rPr>
      </w:pPr>
    </w:p>
    <w:p>
      <w:pPr>
        <w:jc w:val="both"/>
        <w:ind w:left="1300" w:hanging="644"/>
        <w:spacing w:after="0" w:line="302" w:lineRule="auto"/>
        <w:tabs>
          <w:tab w:leader="none" w:pos="13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where a contract provides for the payment of legal fees and expenses incurred by a party to that contract in enforcing the contract, a party who succeeds in enforcing the contract is entitled to recover by court judgment the amount of the legal fees and expenses found to be due under the terms of the contract. In all other cases, costs of legal proceedings can only be recovered from another party to the proceedings by a court order, which is a matter for the discretion of the court, and such costs are liable to taxation (assessment by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 court may determine in its discretion the extent of enforceability of a provision of a Document that provides for or requires, as the case may be:</w:t>
      </w:r>
    </w:p>
    <w:p>
      <w:pPr>
        <w:spacing w:after="0" w:line="225"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severability of any provision of the Documents held to be illegal or unenforceable;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calculation, determination or certificate to be conclusive or binding, including if that calculation, determination or certificate is fraudulent or manifestly inaccurate or has an unreasonable or arbitrary basis;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vesting in a party of a discretion or of a power to determine a matter in its opinion, if that discretion is exercised unreasonably or the opinion is not based on reasonable grounds; or</w:t>
      </w:r>
    </w:p>
    <w:p>
      <w:pPr>
        <w:spacing w:after="0" w:line="170" w:lineRule="exact"/>
        <w:rPr>
          <w:rFonts w:ascii="Arial" w:cs="Arial" w:eastAsia="Arial" w:hAnsi="Arial"/>
          <w:sz w:val="18"/>
          <w:szCs w:val="18"/>
          <w:color w:val="auto"/>
        </w:rPr>
      </w:pPr>
    </w:p>
    <w:p>
      <w:pPr>
        <w:ind w:left="660" w:right="140" w:hanging="4"/>
        <w:spacing w:after="0" w:line="501" w:lineRule="auto"/>
        <w:tabs>
          <w:tab w:leader="none" w:pos="13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written amendments or waivers of the Documents, if a purported amendment or waiver is effected by oral agreement or course of conduct, and we express no opinion on any provisions of that type.</w:t>
      </w:r>
    </w:p>
    <w:p>
      <w:pPr>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The law of the Cayman Islands may not recognise a difference between negligence and gross negligence.</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Where any Document is dated “as of a specific date, although the parties to that Document have agreed between themselves that, as a matter of contract and to the extent possible, their rights and obligations under it take effect from a date prior to the date of execution and delivery, the Document still comes into effect on the date it is actually executed and delivered. Rights of third parties under that Document also take effect from the date the Document is actually executed and delivered, rather than the “as of date.</w:t>
      </w:r>
    </w:p>
    <w:p>
      <w:pPr>
        <w:spacing w:after="0" w:line="183"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governed by, and shall be construed in accordance with, the laws of the Cayman Islands;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limited to the matters expressly stated in 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Unless otherwise indicated, a reference to any specific Cayman Islands legislation is a reference to that legislation as amended to, and as in force at, the date of this opinion.</w:t>
      </w:r>
    </w:p>
    <w:p>
      <w:pPr>
        <w:spacing w:after="0" w:line="166"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Reliance</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hereby consent to the filing of this opinion as an exhibit to the Registration Statement and to the reference to our firm under the headings “Enforceability of Civil Liabilities” and “Legal Matters” of the Registration Statement.</w:t>
      </w:r>
    </w:p>
    <w:p>
      <w:pPr>
        <w:spacing w:after="0" w:line="17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opinion may be used only in connection with the offer and sale of the Offering Shares and the Over-Allotment Shares while the Registration Statement is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Yours faithfully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51940" cy="3517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Hansen &amp; Partners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Address: Suite 3203, Kerry Parkside, 1155 Fangdian Road, Pudong, Shanghai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Postcode: 201204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021-31357077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021-31357078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April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CLPS Incorporation (Cayman)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Opinion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qualified lawyers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or “</w:t>
      </w:r>
      <w:r>
        <w:rPr>
          <w:rFonts w:ascii="Arial" w:cs="Arial" w:eastAsia="Arial" w:hAnsi="Arial"/>
          <w:sz w:val="18"/>
          <w:szCs w:val="18"/>
          <w:b w:val="1"/>
          <w:bCs w:val="1"/>
          <w:color w:val="auto"/>
        </w:rPr>
        <w:t>China</w:t>
      </w:r>
      <w:r>
        <w:rPr>
          <w:rFonts w:ascii="Arial" w:cs="Arial" w:eastAsia="Arial" w:hAnsi="Arial"/>
          <w:sz w:val="18"/>
          <w:szCs w:val="18"/>
          <w:color w:val="auto"/>
        </w:rPr>
        <w:t>”) and as such are qualified to issue this legal opinion (the “</w:t>
      </w:r>
      <w:r>
        <w:rPr>
          <w:rFonts w:ascii="Arial" w:cs="Arial" w:eastAsia="Arial" w:hAnsi="Arial"/>
          <w:sz w:val="18"/>
          <w:szCs w:val="18"/>
          <w:b w:val="1"/>
          <w:bCs w:val="1"/>
          <w:color w:val="auto"/>
        </w:rPr>
        <w:t>Opinion</w:t>
      </w:r>
      <w:r>
        <w:rPr>
          <w:rFonts w:ascii="Arial" w:cs="Arial" w:eastAsia="Arial" w:hAnsi="Arial"/>
          <w:sz w:val="18"/>
          <w:szCs w:val="18"/>
          <w:color w:val="auto"/>
        </w:rPr>
        <w:t>”) on the PRC Laws effective as of the date hereof. For the purpose of this Opinion, the PRC excludes the Hong Kong Special Administrative Region, the Macau Special Administrative Region and Taiwan.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acted as the PRC legal counsel to CLPS Incorporation (Cayman)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CLPS Inc.</w:t>
      </w:r>
      <w:r>
        <w:rPr>
          <w:rFonts w:ascii="Arial" w:cs="Arial" w:eastAsia="Arial" w:hAnsi="Arial"/>
          <w:sz w:val="17"/>
          <w:szCs w:val="17"/>
          <w:color w:val="auto"/>
        </w:rPr>
        <w:t>”), a company incorporated under the laws of the Cayman Islands on May 11, 2017 solely in connection with (a) the Company’s Registration Statement on Form F-1, SEC Registration No. 333-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initially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under the U.S. Securities Act of 1933, as amended (including the rules and regulations 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on August 11, 2017, and the final prospectus filed by the Company with the SEC pursuant to Rule 424(b) of the Securities Act (the “</w:t>
      </w:r>
      <w:r>
        <w:rPr>
          <w:rFonts w:ascii="Arial" w:cs="Arial" w:eastAsia="Arial" w:hAnsi="Arial"/>
          <w:sz w:val="17"/>
          <w:szCs w:val="17"/>
          <w:b w:val="1"/>
          <w:bCs w:val="1"/>
          <w:color w:val="auto"/>
        </w:rPr>
        <w:t>Prospectus</w:t>
      </w:r>
      <w:r>
        <w:rPr>
          <w:rFonts w:ascii="Arial" w:cs="Arial" w:eastAsia="Arial" w:hAnsi="Arial"/>
          <w:sz w:val="17"/>
          <w:szCs w:val="17"/>
          <w:color w:val="auto"/>
        </w:rPr>
        <w:t>”); (b) the Company’s proposed offering (the “</w:t>
      </w:r>
      <w:r>
        <w:rPr>
          <w:rFonts w:ascii="Arial" w:cs="Arial" w:eastAsia="Arial" w:hAnsi="Arial"/>
          <w:sz w:val="17"/>
          <w:szCs w:val="17"/>
          <w:b w:val="1"/>
          <w:bCs w:val="1"/>
          <w:color w:val="auto"/>
        </w:rPr>
        <w:t>Offering</w:t>
      </w:r>
      <w:r>
        <w:rPr>
          <w:rFonts w:ascii="Arial" w:cs="Arial" w:eastAsia="Arial" w:hAnsi="Arial"/>
          <w:sz w:val="17"/>
          <w:szCs w:val="17"/>
          <w:color w:val="auto"/>
        </w:rPr>
        <w:t>”) of 88,710,000 of the Company’s common shares in stages, par value $0.0001 per common share (the “</w:t>
      </w:r>
      <w:r>
        <w:rPr>
          <w:rFonts w:ascii="Arial" w:cs="Arial" w:eastAsia="Arial" w:hAnsi="Arial"/>
          <w:sz w:val="17"/>
          <w:szCs w:val="17"/>
          <w:b w:val="1"/>
          <w:bCs w:val="1"/>
          <w:color w:val="auto"/>
        </w:rPr>
        <w:t>Shares</w:t>
      </w:r>
      <w:r>
        <w:rPr>
          <w:rFonts w:ascii="Arial" w:cs="Arial" w:eastAsia="Arial" w:hAnsi="Arial"/>
          <w:sz w:val="17"/>
          <w:szCs w:val="17"/>
          <w:color w:val="auto"/>
        </w:rPr>
        <w:t>”); (c) the proposed listing and trading of the Shares on the NASDAQ Capital Market. We have been requested to give this Opinion on PRC Laws (as defined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Documents and Assumptions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capacity, we have examined originals or copies, certified or otherwise identified to our satisfaction, of the due diligence documents provided by the Company and the PRC Companies (as defined below) and such other documents, corporate records and certificates, Governmental Authorizations and other instruments (collectively the “Documents”) as we have considered necessary or advisable for the purpose of rendering this Opinion.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4" w:name="page165"/>
    <w:bookmarkEnd w:id="164"/>
    <w:p>
      <w:pPr>
        <w:jc w:val="both"/>
        <w:spacing w:after="0" w:line="257" w:lineRule="auto"/>
        <w:rPr>
          <w:sz w:val="20"/>
          <w:szCs w:val="20"/>
          <w:color w:val="auto"/>
        </w:rPr>
      </w:pPr>
      <w:r>
        <w:rPr>
          <w:rFonts w:ascii="Arial" w:cs="Arial" w:eastAsia="Arial" w:hAnsi="Arial"/>
          <w:sz w:val="18"/>
          <w:szCs w:val="18"/>
          <w:color w:val="auto"/>
        </w:rPr>
        <w:t>For the purpose of this Opinion, our “knowledge” (or any similar concept) with respect to any matter means (a) the actual knowledge regarding such matter of the particular attorneys who are presently employees or partners of Hansen &amp; Partners and who have represented the Company; and (b) we make no representation that we have undertaken any review of our files or other independent investigation with respect to any such matter and (c) no inference that we have actual knowledge concerning such matter should be drawn from the mere fact of our representation of the Company or our expression of any opinion in this Opinion.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our examination of the Documents, we have assumed, without independent investigation and inquiry the following assumptions (the “Assumptions”):</w:t>
      </w:r>
    </w:p>
    <w:p>
      <w:pPr>
        <w:spacing w:after="0" w:line="237" w:lineRule="exact"/>
        <w:rPr>
          <w:sz w:val="20"/>
          <w:szCs w:val="20"/>
          <w:color w:val="auto"/>
        </w:rPr>
      </w:pPr>
    </w:p>
    <w:p>
      <w:pPr>
        <w:ind w:left="38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and that all documents submitted to us as copies conform to their originals and such originals are authentic;</w:t>
      </w:r>
    </w:p>
    <w:p>
      <w:pPr>
        <w:spacing w:after="0" w:line="170"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Documents have been validly authorized, executed and delivered by all the relevant parties thereto and all natural persons have the necessary legal capacity;</w:t>
      </w:r>
    </w:p>
    <w:p>
      <w:pPr>
        <w:spacing w:after="0" w:line="170" w:lineRule="exact"/>
        <w:rPr>
          <w:rFonts w:ascii="Arial" w:cs="Arial" w:eastAsia="Arial" w:hAnsi="Arial"/>
          <w:sz w:val="18"/>
          <w:szCs w:val="18"/>
          <w:color w:val="auto"/>
        </w:rPr>
      </w:pPr>
    </w:p>
    <w:p>
      <w:pPr>
        <w:ind w:left="380" w:hanging="372"/>
        <w:spacing w:after="0"/>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the signatures, seals and chops on the Documents submitted to us are genuine;</w:t>
      </w:r>
    </w:p>
    <w:p>
      <w:pPr>
        <w:spacing w:after="0" w:line="225" w:lineRule="exact"/>
        <w:rPr>
          <w:rFonts w:ascii="Arial" w:cs="Arial" w:eastAsia="Arial" w:hAnsi="Arial"/>
          <w:sz w:val="18"/>
          <w:szCs w:val="18"/>
          <w:color w:val="auto"/>
        </w:rPr>
      </w:pPr>
    </w:p>
    <w:p>
      <w:pPr>
        <w:ind w:left="380" w:right="2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the Documents and the factual statements provided to us by the Company and the PRC Companies, including but not limited to those set forth in the Documents, are complete, true and correct;</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amendments, revisions, modifications or other changes have been made with respect to any of the Documents after they were submitted to us for the purposes of this Opinion; and</w:t>
      </w:r>
    </w:p>
    <w:p>
      <w:pPr>
        <w:spacing w:after="0" w:line="170" w:lineRule="exact"/>
        <w:rPr>
          <w:rFonts w:ascii="Arial" w:cs="Arial" w:eastAsia="Arial" w:hAnsi="Arial"/>
          <w:sz w:val="18"/>
          <w:szCs w:val="18"/>
          <w:color w:val="auto"/>
        </w:rPr>
      </w:pPr>
    </w:p>
    <w:p>
      <w:pPr>
        <w:jc w:val="both"/>
        <w:ind w:left="380" w:hanging="372"/>
        <w:spacing w:after="0" w:line="286" w:lineRule="auto"/>
        <w:tabs>
          <w:tab w:leader="none" w:pos="3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each of the parties to the Documents, other than the PRC Companies, is duly organized and is validly existing in good standing under the laws of its jurisdiction of organization and/or incorporation; each of them, other than the PRC Companies, has full power and authority to execute, deliver and perform its obligations under the Documents to which it is a party in accordance with the laws of its jurisdiction of organization or incorporation.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the following terms in this Opinion shall have the meanings ascribed to them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Qinheng</w:t>
      </w:r>
      <w:r>
        <w:rPr>
          <w:rFonts w:ascii="Arial" w:cs="Arial" w:eastAsia="Arial" w:hAnsi="Arial"/>
          <w:sz w:val="18"/>
          <w:szCs w:val="18"/>
          <w:color w:val="auto"/>
        </w:rPr>
        <w:t>” means Qinheng Co., Limited, a Hong Kong company wholly owned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Qiner</w:t>
      </w:r>
      <w:r>
        <w:rPr>
          <w:rFonts w:ascii="Arial" w:cs="Arial" w:eastAsia="Arial" w:hAnsi="Arial"/>
          <w:sz w:val="18"/>
          <w:szCs w:val="18"/>
          <w:color w:val="auto"/>
        </w:rPr>
        <w:t>” means Qiner Co., Limited, a Hong Kong company wholly owned by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WFOE</w:t>
      </w:r>
      <w:r>
        <w:rPr>
          <w:rFonts w:ascii="Arial" w:cs="Arial" w:eastAsia="Arial" w:hAnsi="Arial"/>
          <w:sz w:val="18"/>
          <w:szCs w:val="18"/>
          <w:color w:val="auto"/>
        </w:rPr>
        <w:t>” means Shanghai Qincheng Information Technology Co., Ltd., a PRC company wholly owned by Qinheng;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CLPS Shanghai</w:t>
      </w:r>
      <w:r>
        <w:rPr>
          <w:rFonts w:ascii="Arial" w:cs="Arial" w:eastAsia="Arial" w:hAnsi="Arial"/>
          <w:sz w:val="18"/>
          <w:szCs w:val="18"/>
          <w:color w:val="auto"/>
        </w:rPr>
        <w:t>” means ChinaLink Professional Services Co., Ltd., a PRC company owned by WFOE and Qiner;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Companies</w:t>
      </w:r>
      <w:r>
        <w:rPr>
          <w:rFonts w:ascii="Arial" w:cs="Arial" w:eastAsia="Arial" w:hAnsi="Arial"/>
          <w:sz w:val="18"/>
          <w:szCs w:val="18"/>
          <w:color w:val="auto"/>
        </w:rPr>
        <w:t>” means the Company, Qinheng, Qiner and the PRC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 Companies</w:t>
      </w:r>
      <w:r>
        <w:rPr>
          <w:rFonts w:ascii="Arial" w:cs="Arial" w:eastAsia="Arial" w:hAnsi="Arial"/>
          <w:sz w:val="18"/>
          <w:szCs w:val="18"/>
          <w:color w:val="auto"/>
        </w:rPr>
        <w:t>” means the WFOE, CLPS Shanghai, and CLPS Shanghai’s subsidiaries as set out in Schedule 1 attached hereto;</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 Laws</w:t>
      </w:r>
      <w:r>
        <w:rPr>
          <w:rFonts w:ascii="Arial" w:cs="Arial" w:eastAsia="Arial" w:hAnsi="Arial"/>
          <w:sz w:val="18"/>
          <w:szCs w:val="18"/>
          <w:color w:val="auto"/>
        </w:rPr>
        <w:t>” means any and all laws, regulations, statutes, rules, decrees, notices, and supreme court’s judicial interpretations currently in effect and publicly available in the PRC as of the date hereof;</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Agencies</w:t>
      </w:r>
      <w:r>
        <w:rPr>
          <w:rFonts w:ascii="Arial" w:cs="Arial" w:eastAsia="Arial" w:hAnsi="Arial"/>
          <w:sz w:val="18"/>
          <w:szCs w:val="18"/>
          <w:color w:val="auto"/>
        </w:rPr>
        <w:t>” means any competent national, provincial, municipal or local government authorities, or regulatory bodies of the PRC having jurisdiction over PRC Companies in the PRC;</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approval, consent, permit, authorization, filing, registration, exemption, waiver, endorsement, annual inspection, qualification and license required by the applicable PRC Laws to be obtained from any Government Agency;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Opinions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Based on our review of the Documents, to our best knowledge after due and reasonable inquires of the Company and the PRC Companies, subject to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Assumptions and the Qualifications (as defined below), and except as publicly disclosed in the Registration Statement, we are of the opinion that:</w:t>
      </w:r>
    </w:p>
    <w:p>
      <w:pPr>
        <w:spacing w:after="0" w:line="222" w:lineRule="exact"/>
        <w:rPr>
          <w:sz w:val="20"/>
          <w:szCs w:val="20"/>
          <w:color w:val="auto"/>
        </w:rPr>
      </w:pPr>
    </w:p>
    <w:p>
      <w:pPr>
        <w:ind w:left="380" w:hanging="372"/>
        <w:spacing w:after="0"/>
        <w:tabs>
          <w:tab w:leader="none" w:pos="3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Currently and immediately after giving effect to this Offering, the ownership structure of the PRC Companies complies with all existing PRC Laws.</w:t>
      </w:r>
    </w:p>
    <w:p>
      <w:pPr>
        <w:spacing w:after="0" w:line="236" w:lineRule="exact"/>
        <w:rPr>
          <w:rFonts w:ascii="Arial" w:cs="Arial" w:eastAsia="Arial" w:hAnsi="Arial"/>
          <w:sz w:val="17"/>
          <w:szCs w:val="17"/>
          <w:color w:val="auto"/>
        </w:rPr>
      </w:pPr>
    </w:p>
    <w:p>
      <w:pPr>
        <w:jc w:val="both"/>
        <w:ind w:left="380" w:hanging="372"/>
        <w:spacing w:after="0" w:line="264"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the PRC Companies is a wholly owned foreign enterprise or a limited liability company or a joint stock limited company, as applicable, duly incorporated, validly existing with legal person status and in good standing under the PRC laws. Each of the PRC Companies is in good standing in each respective jurisdiction of its organization.</w:t>
      </w:r>
    </w:p>
    <w:p>
      <w:pPr>
        <w:spacing w:after="0" w:line="181" w:lineRule="exact"/>
        <w:rPr>
          <w:rFonts w:ascii="Arial" w:cs="Arial" w:eastAsia="Arial" w:hAnsi="Arial"/>
          <w:sz w:val="18"/>
          <w:szCs w:val="18"/>
          <w:color w:val="auto"/>
        </w:rPr>
      </w:pPr>
    </w:p>
    <w:p>
      <w:pPr>
        <w:ind w:left="380"/>
        <w:spacing w:after="0" w:line="277" w:lineRule="auto"/>
        <w:rPr>
          <w:rFonts w:ascii="Arial" w:cs="Arial" w:eastAsia="Arial" w:hAnsi="Arial"/>
          <w:sz w:val="18"/>
          <w:szCs w:val="18"/>
          <w:color w:val="auto"/>
        </w:rPr>
      </w:pPr>
      <w:r>
        <w:rPr>
          <w:rFonts w:ascii="Arial" w:cs="Arial" w:eastAsia="Arial" w:hAnsi="Arial"/>
          <w:sz w:val="18"/>
          <w:szCs w:val="18"/>
          <w:color w:val="auto"/>
        </w:rPr>
        <w:t>The ownership structure of each PRC Companies as disclosed in the Registration Statement and the Prospectus is true and accurate and nothing has been omitted from such descriptions that would make the same misleading in any material respects.</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equity interests of the PRC Companies is free and clear of all liens, charges, restrictions upon voting or transfer or any other encumbrances, equities or claims, and are owned, wholly or partly, directly or indirectly, by the Company.</w:t>
      </w:r>
    </w:p>
    <w:p>
      <w:pPr>
        <w:spacing w:after="0" w:line="170"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articles of association, the business license and other constituent documents of the PRC Companies is in compliance with the requirements of the PRC Laws and are in full force and effect.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166" w:name="page167"/>
    <w:bookmarkEnd w:id="166"/>
    <w:p>
      <w:pPr>
        <w:jc w:val="both"/>
        <w:ind w:left="372"/>
        <w:spacing w:after="0" w:line="271" w:lineRule="auto"/>
        <w:rPr>
          <w:sz w:val="20"/>
          <w:szCs w:val="20"/>
          <w:color w:val="auto"/>
        </w:rPr>
      </w:pPr>
      <w:r>
        <w:rPr>
          <w:rFonts w:ascii="Arial" w:cs="Arial" w:eastAsia="Arial" w:hAnsi="Arial"/>
          <w:sz w:val="17"/>
          <w:szCs w:val="17"/>
          <w:color w:val="auto"/>
        </w:rPr>
        <w:t>To our knowledge, except as listed on Schedule 1 of the actual form of the Opinion, the registered capital of each PRC Subsidiary has been fully paid up in accordance with the schedule of payment stipulated in the schedule of payment stipulated in its articles of association, approval documents, certificates of approval and legal person business license (collectively, the “</w:t>
      </w:r>
      <w:r>
        <w:rPr>
          <w:rFonts w:ascii="Arial" w:cs="Arial" w:eastAsia="Arial" w:hAnsi="Arial"/>
          <w:sz w:val="17"/>
          <w:szCs w:val="17"/>
          <w:b w:val="1"/>
          <w:bCs w:val="1"/>
          <w:color w:val="auto"/>
        </w:rPr>
        <w:t>PRC Establishment Documents</w:t>
      </w:r>
      <w:r>
        <w:rPr>
          <w:rFonts w:ascii="Arial" w:cs="Arial" w:eastAsia="Arial" w:hAnsi="Arial"/>
          <w:sz w:val="17"/>
          <w:szCs w:val="17"/>
          <w:color w:val="auto"/>
        </w:rPr>
        <w:t>”) and in compliance with applicable PRC laws, and there is no outstanding capital contribution commitment. The PRC Establishment Documents of each PRC Companies has been duly approved and filed in accordance with the laws of the PRC and are valid and enforceable. The business scope specified in the PRC Establishment Documents of the PRC Subsidiaries complies in all material respects with the requirements of all applicable PRC laws, and the operation and conduct of business by, and the term of operation of the PRC Subsidiaries in accordance with the PRC Establishment Documents is in compliance in all material respects with applicable PRC laws.</w:t>
      </w:r>
    </w:p>
    <w:p>
      <w:pPr>
        <w:spacing w:after="0" w:line="179" w:lineRule="exact"/>
        <w:rPr>
          <w:sz w:val="20"/>
          <w:szCs w:val="20"/>
          <w:color w:val="auto"/>
        </w:rPr>
      </w:pPr>
    </w:p>
    <w:p>
      <w:pPr>
        <w:jc w:val="both"/>
        <w:ind w:left="372" w:hanging="372"/>
        <w:spacing w:after="0" w:line="271" w:lineRule="auto"/>
        <w:tabs>
          <w:tab w:leader="none" w:pos="37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Each of the PRC Companies has sufficient corporate right, power and authority for it to own, use, and license its assets and conduct its business in the manner described in its respective business license and in the Registration Statement and the Prospectus. Each of the PRC Companies has obtained all Governmental Authorizations from, and completed all filings with, the Government Agencies that are necessary for it to own, use and license its assets, conduct its business in the manner as described in its business license and in the Registration Statement and the Prospectus. Each of the PRC Companies is in compliance with the provisions of all such Governmental Authorizations in all material aspects, and none of the PRC Companies has received any notification of proceedings relating to, or has any reason to believe that any Governmental Agencies are considering, the modification, suspension or revocation of any such Governmental Authorizations. There are no circumstances which might lead to the suspension, alteration or cancellation of any of the Governmental Authorizations of the PRC Companies.</w:t>
      </w:r>
    </w:p>
    <w:p>
      <w:pPr>
        <w:spacing w:after="0" w:line="178" w:lineRule="exact"/>
        <w:rPr>
          <w:rFonts w:ascii="Arial" w:cs="Arial" w:eastAsia="Arial" w:hAnsi="Arial"/>
          <w:sz w:val="17"/>
          <w:szCs w:val="17"/>
          <w:color w:val="auto"/>
        </w:rPr>
      </w:pPr>
    </w:p>
    <w:p>
      <w:pPr>
        <w:jc w:val="both"/>
        <w:ind w:left="372" w:hanging="372"/>
        <w:spacing w:after="0" w:line="264" w:lineRule="auto"/>
        <w:tabs>
          <w:tab w:leader="none" w:pos="3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 of the PRC Companies is in breach of or violation of, or default in the performance or observance of any obligation, agreement, covenant or condition contained in any indenture, mortgage, deed of trust, loan agreement, lease or other agreement or instrument governed by the PRC Laws to which it is a party or by which it or any of its properties may be bound.</w:t>
      </w:r>
    </w:p>
    <w:p>
      <w:pPr>
        <w:spacing w:after="0" w:line="181" w:lineRule="exact"/>
        <w:rPr>
          <w:rFonts w:ascii="Arial" w:cs="Arial" w:eastAsia="Arial" w:hAnsi="Arial"/>
          <w:sz w:val="18"/>
          <w:szCs w:val="18"/>
          <w:color w:val="auto"/>
        </w:rPr>
      </w:pPr>
    </w:p>
    <w:p>
      <w:pPr>
        <w:ind w:left="372" w:hanging="372"/>
        <w:spacing w:after="0" w:line="277" w:lineRule="auto"/>
        <w:tabs>
          <w:tab w:leader="none" w:pos="3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of the PRC Companies has full, valid and clean title to all of its property, assets and intellectual property used in connection with its business, free and clear of all security interest, liens, charges, encumbrances, claims, options, restrictions and other third party rights.</w:t>
      </w:r>
    </w:p>
    <w:p>
      <w:pPr>
        <w:spacing w:after="0" w:line="170" w:lineRule="exact"/>
        <w:rPr>
          <w:rFonts w:ascii="Arial" w:cs="Arial" w:eastAsia="Arial" w:hAnsi="Arial"/>
          <w:sz w:val="18"/>
          <w:szCs w:val="18"/>
          <w:color w:val="auto"/>
        </w:rPr>
      </w:pPr>
    </w:p>
    <w:p>
      <w:pPr>
        <w:jc w:val="both"/>
        <w:ind w:left="372" w:hanging="372"/>
        <w:spacing w:after="0" w:line="257" w:lineRule="auto"/>
        <w:tabs>
          <w:tab w:leader="none" w:pos="3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 of the PRC Companies is delinquent in the payment of any taxes due and there is no tax deficiency which might be assessed against it, and there is no material breach or violation by the PRC Companies of any applicable PRC tax law or regulation. The statements set forth under the caption “Tax Matters Applicable to U.S. Holders of Our Shares” in the Registration Statement and the Prospectus insofar as they constitute statement of PRC tax law, are accurate in all material respects and that such statements constitute our opinion. We do not express any opinion in this paragraph concerning any law other than PRC tax law.</w:t>
      </w:r>
    </w:p>
    <w:p>
      <w:pPr>
        <w:spacing w:after="0" w:line="3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68" w:right="239" w:bottom="1440" w:gutter="0" w:footer="0" w:header="0"/>
        </w:sectPr>
      </w:pPr>
    </w:p>
    <w:bookmarkStart w:id="167" w:name="page168"/>
    <w:bookmarkEnd w:id="167"/>
    <w:p>
      <w:pPr>
        <w:ind w:left="372" w:hanging="372"/>
        <w:spacing w:after="0"/>
        <w:tabs>
          <w:tab w:leader="none" w:pos="37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labor contracts or employment agreements entered by the PRC Companies with their respective employees are in compliance with PRC Laws.</w:t>
      </w:r>
    </w:p>
    <w:p>
      <w:pPr>
        <w:spacing w:after="0" w:line="248" w:lineRule="exact"/>
        <w:rPr>
          <w:rFonts w:ascii="Arial" w:cs="Arial" w:eastAsia="Arial" w:hAnsi="Arial"/>
          <w:sz w:val="16"/>
          <w:szCs w:val="16"/>
          <w:color w:val="auto"/>
        </w:rPr>
      </w:pPr>
    </w:p>
    <w:p>
      <w:pPr>
        <w:ind w:left="372" w:right="20" w:hanging="372"/>
        <w:spacing w:after="0" w:line="277" w:lineRule="auto"/>
        <w:tabs>
          <w:tab w:leader="none" w:pos="3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are no legal, arbitration or governmental proceedings in progress or pending in the PRC to which any of the Group Companies is a party or of which any property of any Group Company is the subject.</w:t>
      </w:r>
    </w:p>
    <w:p>
      <w:pPr>
        <w:spacing w:after="0" w:line="170" w:lineRule="exact"/>
        <w:rPr>
          <w:rFonts w:ascii="Arial" w:cs="Arial" w:eastAsia="Arial" w:hAnsi="Arial"/>
          <w:sz w:val="18"/>
          <w:szCs w:val="18"/>
          <w:color w:val="auto"/>
        </w:rPr>
      </w:pPr>
    </w:p>
    <w:p>
      <w:pPr>
        <w:jc w:val="both"/>
        <w:ind w:left="372" w:hanging="372"/>
        <w:spacing w:after="0" w:line="255" w:lineRule="auto"/>
        <w:tabs>
          <w:tab w:leader="none" w:pos="37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August 8, 2006, six PRC regulatory agencies, namely, the PRC Ministry of Commerce, the State Assets Supervision and Administration Commission, the State Administration of Taxation, the State Administration for Industry and Commerce, the China Securities Regulatory Commission (the “</w:t>
      </w:r>
      <w:r>
        <w:rPr>
          <w:rFonts w:ascii="Arial" w:cs="Arial" w:eastAsia="Arial" w:hAnsi="Arial"/>
          <w:sz w:val="18"/>
          <w:szCs w:val="18"/>
          <w:b w:val="1"/>
          <w:bCs w:val="1"/>
          <w:color w:val="auto"/>
        </w:rPr>
        <w:t>CSRC</w:t>
      </w:r>
      <w:r>
        <w:rPr>
          <w:rFonts w:ascii="Arial" w:cs="Arial" w:eastAsia="Arial" w:hAnsi="Arial"/>
          <w:sz w:val="18"/>
          <w:szCs w:val="18"/>
          <w:color w:val="auto"/>
        </w:rPr>
        <w:t>”), and the State Administration of Foreign Exchange, jointly adopted the Regulations on Mergers and Acquisitions of Domestic Enterprises by Foreign Investors, which became effective on September 8, 2006 and was amended on June 22, 2009 (the “</w:t>
      </w:r>
      <w:r>
        <w:rPr>
          <w:rFonts w:ascii="Arial" w:cs="Arial" w:eastAsia="Arial" w:hAnsi="Arial"/>
          <w:sz w:val="18"/>
          <w:szCs w:val="18"/>
          <w:b w:val="1"/>
          <w:bCs w:val="1"/>
          <w:color w:val="auto"/>
        </w:rPr>
        <w:t>New M&amp;A Rule</w:t>
      </w:r>
      <w:r>
        <w:rPr>
          <w:rFonts w:ascii="Arial" w:cs="Arial" w:eastAsia="Arial" w:hAnsi="Arial"/>
          <w:sz w:val="18"/>
          <w:szCs w:val="18"/>
          <w:color w:val="auto"/>
        </w:rPr>
        <w:t>”). The New M&amp;A Rule purports, among other things, to require an offshore special purpose vehicle (the “</w:t>
      </w:r>
      <w:r>
        <w:rPr>
          <w:rFonts w:ascii="Arial" w:cs="Arial" w:eastAsia="Arial" w:hAnsi="Arial"/>
          <w:sz w:val="18"/>
          <w:szCs w:val="18"/>
          <w:b w:val="1"/>
          <w:bCs w:val="1"/>
          <w:color w:val="auto"/>
        </w:rPr>
        <w:t>SPV</w:t>
      </w:r>
      <w:r>
        <w:rPr>
          <w:rFonts w:ascii="Arial" w:cs="Arial" w:eastAsia="Arial" w:hAnsi="Arial"/>
          <w:sz w:val="18"/>
          <w:szCs w:val="18"/>
          <w:color w:val="auto"/>
        </w:rPr>
        <w:t>”) formed for listing purposes and controlled directly or indirectly by PRC companies or individuals shall obtain the approval of the CSRC prior to the listing and trading of such SPV’s securities on an overseas stock exchange.</w:t>
      </w:r>
    </w:p>
    <w:p>
      <w:pPr>
        <w:spacing w:after="0" w:line="189" w:lineRule="exact"/>
        <w:rPr>
          <w:rFonts w:ascii="Arial" w:cs="Arial" w:eastAsia="Arial" w:hAnsi="Arial"/>
          <w:sz w:val="18"/>
          <w:szCs w:val="18"/>
          <w:color w:val="auto"/>
        </w:rPr>
      </w:pPr>
    </w:p>
    <w:p>
      <w:pPr>
        <w:jc w:val="both"/>
        <w:ind w:left="372"/>
        <w:spacing w:after="0" w:line="272" w:lineRule="auto"/>
        <w:rPr>
          <w:rFonts w:ascii="Arial" w:cs="Arial" w:eastAsia="Arial" w:hAnsi="Arial"/>
          <w:sz w:val="18"/>
          <w:szCs w:val="18"/>
          <w:color w:val="auto"/>
        </w:rPr>
      </w:pPr>
      <w:r>
        <w:rPr>
          <w:rFonts w:ascii="Arial" w:cs="Arial" w:eastAsia="Arial" w:hAnsi="Arial"/>
          <w:sz w:val="17"/>
          <w:szCs w:val="17"/>
          <w:color w:val="auto"/>
        </w:rPr>
        <w:t>Based on our understanding of the PRC Laws, for reasons that a) under the corporate structure of the Group Companies, the Company don’t merge and acquire any equity interests of a Chinese domestic company thus making the domestic company converted to a Foreign Invested Enterprise, and b) the shareholding structure of the Company is exactly the same as that of the original one of the ChinaLink Professional Services Co., Ltd, we believe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there are uncertainties regarding the interpretation and application of the PRC Laws, and there can be no assurance that the Government Agencies will ultimately take a view that is not contrary to our opinion stated above.</w:t>
      </w:r>
    </w:p>
    <w:p>
      <w:pPr>
        <w:spacing w:after="0" w:line="177" w:lineRule="exact"/>
        <w:rPr>
          <w:rFonts w:ascii="Arial" w:cs="Arial" w:eastAsia="Arial" w:hAnsi="Arial"/>
          <w:sz w:val="18"/>
          <w:szCs w:val="18"/>
          <w:color w:val="auto"/>
        </w:rPr>
      </w:pPr>
    </w:p>
    <w:p>
      <w:pPr>
        <w:jc w:val="both"/>
        <w:ind w:left="372" w:hanging="372"/>
        <w:spacing w:after="0" w:line="273" w:lineRule="auto"/>
        <w:tabs>
          <w:tab w:leader="none" w:pos="37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have advised the Company that the recognition and enforcement of foreign judgments are regulated by the Chinese Civil Procedure Law. Chinese courts may recognize and enforce foreign judgments in accordance with the requirements of the Chinese Civil Procedure Law based either on treaties between China and the country where the judgment is made or in reciprocity between jurisdictions. China does not have any treaties or other agreements with the Cayman Islands or the United States that provide for the reciprocal recognition and enforcement of foreign judgments. We have further advised that under PRC law, PRC courts will not enforce a foreign judgment against the Company or its officers and directors if the court decides that such judgment violates the basic principles of PRC law or national sovereignty, security or social public interest.</w:t>
      </w:r>
    </w:p>
    <w:p>
      <w:pPr>
        <w:spacing w:after="0" w:line="178" w:lineRule="exact"/>
        <w:rPr>
          <w:rFonts w:ascii="Arial" w:cs="Arial" w:eastAsia="Arial" w:hAnsi="Arial"/>
          <w:sz w:val="17"/>
          <w:szCs w:val="17"/>
          <w:color w:val="auto"/>
        </w:rPr>
      </w:pPr>
    </w:p>
    <w:p>
      <w:pPr>
        <w:jc w:val="both"/>
        <w:ind w:left="372"/>
        <w:spacing w:after="0" w:line="264" w:lineRule="auto"/>
        <w:rPr>
          <w:rFonts w:ascii="Arial" w:cs="Arial" w:eastAsia="Arial" w:hAnsi="Arial"/>
          <w:sz w:val="17"/>
          <w:szCs w:val="17"/>
          <w:color w:val="auto"/>
        </w:rPr>
      </w:pPr>
      <w:r>
        <w:rPr>
          <w:rFonts w:ascii="Arial" w:cs="Arial" w:eastAsia="Arial" w:hAnsi="Arial"/>
          <w:sz w:val="18"/>
          <w:szCs w:val="18"/>
          <w:color w:val="auto"/>
        </w:rPr>
        <w:t>The statements as to PRC Law set forth in the Registration Statement and the Prospectus under the caption “Enforceability of Civil Liabilities” are fair and accurate summaries of the matters described therein, and nothing has been omitted from such summaries that would make the same misleading in any material respect.</w:t>
      </w: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868" w:right="239" w:bottom="1440" w:gutter="0" w:footer="0" w:header="0"/>
        </w:sectPr>
      </w:pPr>
    </w:p>
    <w:bookmarkStart w:id="168" w:name="page169"/>
    <w:bookmarkEnd w:id="168"/>
    <w:p>
      <w:pPr>
        <w:jc w:val="both"/>
        <w:ind w:left="380" w:hanging="372"/>
        <w:spacing w:after="0" w:line="272" w:lineRule="auto"/>
        <w:tabs>
          <w:tab w:leader="none" w:pos="3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statements set forth in the Registration Statement and the Prospectus relating to PRC Laws or that are descriptions of agreements or instruments governed by PRC Laws under the captions “Prospectus Summary”, “Risk Factors”, “Dividend Policy”, “Management’s Discussion and Analysis of Financial Condition and Results of Operations”, “Our Business”, “Directors and Executive Officers”, “Related Party Transactions”, “Tax Matters Applicable to U.S. Holders of Our Shares”, “Enforceability of Civil Liabilities” and “Legal Matters” (other than the financial statements and related schedules and other financial data contained therein to which we express no opinion), are true and accurate in all material respects, and fairly present and summarize the information and matters referred to therein, nothing has been omitted from such statements which would make the statements, in light of the circumstance under which they were made, misleading in any material respect.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opinion expressed above is subject to the following qualifications (the “Qualifications”):</w:t>
      </w:r>
    </w:p>
    <w:p>
      <w:pPr>
        <w:spacing w:after="0" w:line="225" w:lineRule="exact"/>
        <w:rPr>
          <w:sz w:val="20"/>
          <w:szCs w:val="20"/>
          <w:color w:val="auto"/>
        </w:rPr>
      </w:pPr>
    </w:p>
    <w:p>
      <w:pPr>
        <w:jc w:val="both"/>
        <w:ind w:left="380" w:hanging="372"/>
        <w:spacing w:after="0" w:line="264" w:lineRule="auto"/>
        <w:tabs>
          <w:tab w:leader="none" w:pos="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Opinion relates only to the PRC Laws and we express no opinion as to any other laws or regulations than the PRC Laws. There is no guarantee that any of the PRC Laws, or the interpretation thereof or enforcement therefore, will not be changed, amended or replaced in the immediate future or in the longer term with or without retrospective effect.</w:t>
      </w:r>
    </w:p>
    <w:p>
      <w:pPr>
        <w:spacing w:after="0" w:line="181" w:lineRule="exact"/>
        <w:rPr>
          <w:rFonts w:ascii="Arial" w:cs="Arial" w:eastAsia="Arial" w:hAnsi="Arial"/>
          <w:sz w:val="18"/>
          <w:szCs w:val="18"/>
          <w:color w:val="auto"/>
        </w:rPr>
      </w:pPr>
    </w:p>
    <w:p>
      <w:pPr>
        <w:ind w:left="380" w:hanging="372"/>
        <w:spacing w:after="0" w:line="277" w:lineRule="auto"/>
        <w:tabs>
          <w:tab w:leader="none" w:pos="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Opinion is intended to be used in the context that is specifically referred to herein and each section shall be considered as a whole regarding the same subject matter and no part shall be extracted for interpretation separately from this Opinion.</w:t>
      </w:r>
    </w:p>
    <w:p>
      <w:pPr>
        <w:spacing w:after="0" w:line="170" w:lineRule="exact"/>
        <w:rPr>
          <w:rFonts w:ascii="Arial" w:cs="Arial" w:eastAsia="Arial" w:hAnsi="Arial"/>
          <w:sz w:val="18"/>
          <w:szCs w:val="18"/>
          <w:color w:val="auto"/>
        </w:rPr>
      </w:pPr>
    </w:p>
    <w:p>
      <w:pPr>
        <w:jc w:val="both"/>
        <w:ind w:left="380" w:hanging="372"/>
        <w:spacing w:after="0" w:line="255" w:lineRule="auto"/>
        <w:tabs>
          <w:tab w:leader="none" w:pos="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This Opinion is subject to the effects of (a) certain legal or statutory principles affecting the enforceability of contractual rights generally under the concepts of public interest, national security, good faith and fair dealing, applicable statutes of limitation, and the limitations of bankruptcy, insolvency, reorganization or similar laws affecting the enforcement of creditor’s rights generally; (b) any circumstance in connection with the formulation, execution or performance of any legal document that will be deemed materially mistaken, clearly unconscionable or fraudulent; (c) judicial discretion with respect to the availability of injunctive relief, the calculation of damages, and any entitlement to attorneys’ fees and other costs; and (d) the discretion of any competent PRC legislative, administrative or judicial bodies in exercising their authority in connection with the interpretation, implementation and application of relevant PRC Laws.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Opinion is rendered to you for the purpose hereof only, and saves as provided for herein, this Opinion shall not be quoted nor shall a copy be given to any person (apart from the addressee) without our express prior written consent except where such disclosure is required to be made by the applicable law or is requested by the SEC or any other regulatory agencies.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use of this Opinion in, and the filing hereof as an exhibit to, the Registration Statement, and to the reference to our name in such Registration Statement. In giving such consent, we do not thereby admit that we fall within the category of the person whose consent is required under Section 7 of the U.S. Securities Act of 1933, as amended, or the regulations promulgated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Hansen &amp; Partners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69" w:name="page170"/>
    <w:bookmarkEnd w:id="169"/>
    <w:p>
      <w:pPr>
        <w:jc w:val="center"/>
        <w:ind w:right="-1062"/>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1062"/>
        <w:spacing w:after="0"/>
        <w:rPr>
          <w:sz w:val="20"/>
          <w:szCs w:val="20"/>
          <w:color w:val="auto"/>
        </w:rPr>
      </w:pPr>
      <w:r>
        <w:rPr>
          <w:rFonts w:ascii="Arial" w:cs="Arial" w:eastAsia="Arial" w:hAnsi="Arial"/>
          <w:sz w:val="18"/>
          <w:szCs w:val="18"/>
          <w:b w:val="1"/>
          <w:bCs w:val="1"/>
          <w:color w:val="auto"/>
        </w:rPr>
        <w:t>List of the PRC Companies</w:t>
      </w:r>
    </w:p>
    <w:p>
      <w:pPr>
        <w:spacing w:after="0" w:line="211" w:lineRule="exact"/>
        <w:rPr>
          <w:sz w:val="20"/>
          <w:szCs w:val="20"/>
          <w:color w:val="auto"/>
        </w:rPr>
      </w:pPr>
    </w:p>
    <w:p>
      <w:pPr>
        <w:jc w:val="right"/>
        <w:ind w:right="839"/>
        <w:spacing w:after="0"/>
        <w:tabs>
          <w:tab w:leader="none" w:pos="1040" w:val="left"/>
        </w:tabs>
        <w:rPr>
          <w:sz w:val="20"/>
          <w:szCs w:val="20"/>
          <w:color w:val="auto"/>
        </w:rPr>
      </w:pPr>
      <w:r>
        <w:rPr>
          <w:rFonts w:ascii="Arial" w:cs="Arial" w:eastAsia="Arial" w:hAnsi="Arial"/>
          <w:sz w:val="18"/>
          <w:szCs w:val="18"/>
          <w:color w:val="auto"/>
        </w:rPr>
        <w:t>English Name</w:t>
      </w:r>
      <w:r>
        <w:rPr>
          <w:sz w:val="20"/>
          <w:szCs w:val="20"/>
          <w:color w:val="auto"/>
        </w:rPr>
        <w:tab/>
      </w:r>
      <w:r>
        <w:rPr>
          <w:rFonts w:ascii="Arial" w:cs="Arial" w:eastAsia="Arial" w:hAnsi="Arial"/>
          <w:sz w:val="16"/>
          <w:szCs w:val="16"/>
          <w:color w:val="auto"/>
        </w:rPr>
        <w:t>Chinese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Shanghai Qincheng Information Technology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ChinaLink Professional Services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Tianjin Huanyu Qinshang Network Technology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CLPS Guangzhou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CLPS Shenzhen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CLPS Beijing Hengtong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CLPS Ruicheng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CLPS Dalian Co., Ltd.</w:t>
      </w:r>
    </w:p>
    <w:p>
      <w:pPr>
        <w:spacing w:after="0" w:line="225" w:lineRule="exact"/>
        <w:rPr>
          <w:rFonts w:ascii="Arial" w:cs="Arial" w:eastAsia="Arial" w:hAnsi="Arial"/>
          <w:sz w:val="18"/>
          <w:szCs w:val="18"/>
          <w:color w:val="auto"/>
        </w:rPr>
      </w:pPr>
    </w:p>
    <w:p>
      <w:pPr>
        <w:ind w:left="543" w:hanging="498"/>
        <w:spacing w:after="0"/>
        <w:tabs>
          <w:tab w:leader="none" w:pos="5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Judge (Shanghai)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-2317115</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-2042795</wp:posOffset>
            </wp:positionV>
            <wp:extent cx="72466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-1768475</wp:posOffset>
            </wp:positionV>
            <wp:extent cx="72466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-1493520</wp:posOffset>
            </wp:positionV>
            <wp:extent cx="72466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-1219200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-944880</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-670560</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-396240</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-121920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43" w:hanging="543"/>
        <w:spacing w:after="0"/>
        <w:tabs>
          <w:tab w:leader="none" w:pos="5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Judge (Shanghai) Human Resource Co., Ltd.</w:t>
      </w:r>
    </w:p>
    <w:p>
      <w:pPr>
        <w:spacing w:after="0" w:line="225" w:lineRule="exact"/>
        <w:rPr>
          <w:rFonts w:ascii="Arial" w:cs="Arial" w:eastAsia="Arial" w:hAnsi="Arial"/>
          <w:sz w:val="18"/>
          <w:szCs w:val="18"/>
          <w:color w:val="auto"/>
        </w:rPr>
      </w:pPr>
    </w:p>
    <w:p>
      <w:pPr>
        <w:ind w:left="543" w:hanging="539"/>
        <w:spacing w:after="0"/>
        <w:tabs>
          <w:tab w:leader="none" w:pos="5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Shanghai Qisheng Co., Ltd</w:t>
      </w:r>
    </w:p>
    <w:p>
      <w:pPr>
        <w:spacing w:after="0" w:line="225" w:lineRule="exact"/>
        <w:rPr>
          <w:rFonts w:ascii="Arial" w:cs="Arial" w:eastAsia="Arial" w:hAnsi="Arial"/>
          <w:sz w:val="18"/>
          <w:szCs w:val="18"/>
          <w:color w:val="auto"/>
        </w:rPr>
      </w:pPr>
    </w:p>
    <w:p>
      <w:pPr>
        <w:ind w:left="543" w:hanging="543"/>
        <w:spacing w:after="0"/>
        <w:tabs>
          <w:tab w:leader="none" w:pos="54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Guangzhou Rongzhuan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-670560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-396240</wp:posOffset>
            </wp:positionV>
            <wp:extent cx="72466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-121920</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523"/>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14605</wp:posOffset>
            </wp:positionV>
            <wp:extent cx="72466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82"/>
          </w:cols>
          <w:pgMar w:left="377" w:top="86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t>Exhibit 8.2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Schiff Hardin LLP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April 24,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acted as counsel as to matters of United States law, including tax law, to CLPS Incorporation, a Cayman Islands company (the “Company”), in connection with the preparation and filing of the Company’s registration statement on Form F-1 (Registration No. 333-223956) and all amendments thereto (as amended, the “Registration Statement”), as originally filed with the Securities and Exchange Commission (the “Commission”) on March 27, 2018. The Registration Statement relates to the offering of up to 2,300,000 of the Company’s common shares, $0.0001 par value per share, including 300,000 shares which may be issued on exercise of a 45-day option granted to the underwriters to cover over-allotments, if any.</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examined such documents and have reviewed such questions of law, as we have considered necessary and appropriate for the purposes of our opinion set forth below. In rendering our opinion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 we have relied upon factual statements and factual representations of officers of the Company.</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Based upon and subject to the limitations, qualifications, exceptions and assumptions set forth herein, we are of the opinion that the statements made in the Registration Statement, under the caption “Tax Consequences to U.S. Holders of Common Shares” to the extent such statements relate to matters of United States tax law, represent our opinion. This opinion is given under Item 601 of Regulation S-K as our opinion regarding tax matters. All such statements are based upon laws and relevant interpretations thereof in effect as of the date of the prospectus, all of which are subject to change. Further, there can be no assurance that the Internal Revenue Service or a court will not take a contrary position.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opinion expressed above is limited to the tax laws of the United States. We assume no obligation to revise or supplement this letter in the event of any changes in law or fact arising after the date hereof; provided, however, that our opinions set forth in the Registration Statement will be revised if needed to remain accurate in all material respects as of the effective date of the Registration Statement. We consent to the filing of this opinion as an exhibit to the Registration Statement, and we further consent to the use of our name in the Registration Statement and the prospectus that forms a part thereof. In giving these consents, we do not thereby admit that we are within the category of persons whose consent is required under Section 7 of the Securities Act of 1933, as amended or the Rules and Regulations of the Securities and Exchange Commission.</w:t>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Schiff Hardin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104515" cy="4718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31045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inclusion in this Registration Statement of CLPS Incorporation on Form F-1 (No. 333-223956) of our report dated December 8, 2017, except for Notes 1, 2, 17 and 18 which are dated March 27, 2018, with respect to our audits of CLPS Incorporation and Subsidiaries as of June 30, 2017 and 2016, and the related consolidated statements of income and comprehensive income, changes in shareholders’ equity and cash flows for the years then ended. We also consent to the reference to our Firm under the heading “Experts” in the prospectus.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160020</wp:posOffset>
            </wp:positionV>
            <wp:extent cx="5274310" cy="4629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5274310" cy="46291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1)"/>
      <w:numFmt w:val="decimal"/>
      <w:start w:val="1"/>
    </w:lvl>
  </w:abstractNum>
  <w:abstractNum w:abstractNumId="2">
    <w:nsid w:val="1CF10FD8"/>
    <w:multiLevelType w:val="hybridMultilevel"/>
    <w:lvl w:ilvl="0">
      <w:lvlJc w:val="left"/>
      <w:lvlText w:val="(%1)"/>
      <w:numFmt w:val="lowerRoman"/>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lvl w:ilvl="1">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amp;"/>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1)"/>
      <w:numFmt w:val="decimal"/>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1)"/>
      <w:numFmt w:val="lowerRoman"/>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
      <w:numFmt w:val="bullet"/>
      <w:start w:val="1"/>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1)"/>
      <w:numFmt w:val="decimal"/>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
      <w:numFmt w:val="bullet"/>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1)"/>
      <w:numFmt w:val="lowerRoman"/>
      <w:start w:val="2"/>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1."/>
      <w:numFmt w:val="decimal"/>
      <w:start w:val="1"/>
    </w:lvl>
  </w:abstractNum>
  <w:abstractNum w:abstractNumId="64">
    <w:nsid w:val="1716703B"/>
    <w:multiLevelType w:val="hybridMultilevel"/>
    <w:lvl w:ilvl="0">
      <w:lvlJc w:val="left"/>
      <w:lvlText w:val="(%1)"/>
      <w:numFmt w:val="lowerRoman"/>
      <w:start w:val="3"/>
    </w:lvl>
  </w:abstractNum>
  <w:abstractNum w:abstractNumId="65">
    <w:nsid w:val="14E17E33"/>
    <w:multiLevelType w:val="hybridMultilevel"/>
    <w:lvl w:ilvl="0">
      <w:lvlJc w:val="left"/>
      <w:lvlText w:val="-"/>
      <w:numFmt w:val="bullet"/>
      <w:start w:val="1"/>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
      <w:numFmt w:val="bullet"/>
      <w:start w:val="1"/>
    </w:lvl>
  </w:abstractNum>
  <w:abstractNum w:abstractNumId="68">
    <w:nsid w:val="68EBC550"/>
    <w:multiLevelType w:val="hybridMultilevel"/>
    <w:lvl w:ilvl="0">
      <w:lvlJc w:val="left"/>
      <w:lvlText w:val="$"/>
      <w:numFmt w:val="bullet"/>
      <w:start w:val="1"/>
    </w:lvl>
  </w:abstractNum>
  <w:abstractNum w:abstractNumId="69">
    <w:nsid w:val="2DF6D648"/>
    <w:multiLevelType w:val="hybridMultilevel"/>
    <w:lvl w:ilvl="0">
      <w:lvlJc w:val="left"/>
      <w:lvlText w:val="(%1)"/>
      <w:numFmt w:val="lowerRoman"/>
      <w:start w:val="1"/>
    </w:lvl>
  </w:abstractNum>
  <w:abstractNum w:abstractNumId="70">
    <w:nsid w:val="46B7D447"/>
    <w:multiLevelType w:val="hybridMultilevel"/>
    <w:lvl w:ilvl="0">
      <w:lvlJc w:val="left"/>
      <w:lvlText w:val="(%1)"/>
      <w:numFmt w:val="lowerLetter"/>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1)"/>
      <w:numFmt w:val="lowerLetter"/>
      <w:start w:val="1"/>
    </w:lvl>
  </w:abstractNum>
  <w:abstractNum w:abstractNumId="73">
    <w:nsid w:val="57FC4FBB"/>
    <w:multiLevelType w:val="hybridMultilevel"/>
    <w:lvl w:ilvl="0">
      <w:lvlJc w:val="left"/>
      <w:lvlText w:val="$"/>
      <w:numFmt w:val="bullet"/>
      <w:start w:val="1"/>
    </w:lvl>
  </w:abstractNum>
  <w:abstractNum w:abstractNumId="74">
    <w:nsid w:val="CC1016F"/>
    <w:multiLevelType w:val="hybridMultilevel"/>
    <w:lvl w:ilvl="0">
      <w:lvlJc w:val="left"/>
      <w:lvlText w:val="$"/>
      <w:numFmt w:val="bullet"/>
      <w:start w:val="1"/>
    </w:lvl>
  </w:abstractNum>
  <w:abstractNum w:abstractNumId="75">
    <w:nsid w:val="43F18422"/>
    <w:multiLevelType w:val="hybridMultilevel"/>
    <w:lvl w:ilvl="0">
      <w:lvlJc w:val="left"/>
      <w:lvlText w:val="(%1)"/>
      <w:numFmt w:val="lowerRoman"/>
      <w:start w:val="1"/>
    </w:lvl>
  </w:abstractNum>
  <w:abstractNum w:abstractNumId="76">
    <w:nsid w:val="60EF0119"/>
    <w:multiLevelType w:val="hybridMultilevel"/>
    <w:lvl w:ilvl="0">
      <w:lvlJc w:val="left"/>
      <w:lvlText w:val="(%1)"/>
      <w:numFmt w:val="lowerRoman"/>
      <w:start w:val="3"/>
    </w:lvl>
  </w:abstractNum>
  <w:abstractNum w:abstractNumId="77">
    <w:nsid w:val="26F324BA"/>
    <w:multiLevelType w:val="hybridMultilevel"/>
    <w:lvl w:ilvl="0">
      <w:lvlJc w:val="left"/>
      <w:lvlText w:val="*"/>
      <w:numFmt w:val="bullet"/>
      <w:start w:val="1"/>
    </w:lvl>
  </w:abstractNum>
  <w:abstractNum w:abstractNumId="78">
    <w:nsid w:val="7F01579B"/>
    <w:multiLevelType w:val="hybridMultilevel"/>
    <w:lvl w:ilvl="0">
      <w:lvlJc w:val="left"/>
      <w:lvlText w:val="(%1)"/>
      <w:numFmt w:val="decimal"/>
      <w:start w:val="1"/>
    </w:lvl>
  </w:abstractNum>
  <w:abstractNum w:abstractNumId="79">
    <w:nsid w:val="49DA307D"/>
    <w:multiLevelType w:val="hybridMultilevel"/>
    <w:lvl w:ilvl="0">
      <w:lvlJc w:val="left"/>
      <w:lvlText w:val="(%1)"/>
      <w:numFmt w:val="lowerLetter"/>
      <w:start w:val="2"/>
    </w:lvl>
  </w:abstractNum>
  <w:abstractNum w:abstractNumId="80">
    <w:nsid w:val="7055A5F5"/>
    <w:multiLevelType w:val="hybridMultilevel"/>
    <w:lvl w:ilvl="0">
      <w:lvlJc w:val="left"/>
      <w:lvlText w:val="(%1)"/>
      <w:numFmt w:val="lowerRoman"/>
      <w:start w:val="1"/>
    </w:lvl>
  </w:abstractNum>
  <w:abstractNum w:abstractNumId="81">
    <w:nsid w:val="5FB8370B"/>
    <w:multiLevelType w:val="hybridMultilevel"/>
    <w:lvl w:ilvl="0">
      <w:lvlJc w:val="left"/>
      <w:lvlText w:val="(%1)"/>
      <w:numFmt w:val="lowerRoman"/>
      <w:start w:val="1"/>
    </w:lvl>
  </w:abstractNum>
  <w:abstractNum w:abstractNumId="82">
    <w:nsid w:val="50801EE1"/>
    <w:multiLevelType w:val="hybridMultilevel"/>
    <w:lvl w:ilvl="0">
      <w:lvlJc w:val="left"/>
      <w:lvlText w:val="1"/>
      <w:numFmt w:val="bullet"/>
      <w:start w:val="1"/>
    </w:lvl>
    <w:lvl w:ilvl="1">
      <w:lvlJc w:val="left"/>
      <w:lvlText w:val="(%2)"/>
      <w:numFmt w:val="lowerLetter"/>
      <w:start w:val="1"/>
    </w:lvl>
  </w:abstractNum>
  <w:abstractNum w:abstractNumId="83">
    <w:nsid w:val="488AC1A"/>
    <w:multiLevelType w:val="hybridMultilevel"/>
    <w:lvl w:ilvl="0">
      <w:lvlJc w:val="left"/>
      <w:lvlText w:val="(%1)"/>
      <w:numFmt w:val="lowerLetter"/>
      <w:start w:val="5"/>
    </w:lvl>
  </w:abstractNum>
  <w:abstractNum w:abstractNumId="84">
    <w:nsid w:val="5FB8011C"/>
    <w:multiLevelType w:val="hybridMultilevel"/>
    <w:lvl w:ilvl="0">
      <w:lvlJc w:val="left"/>
      <w:lvlText w:val="2"/>
      <w:numFmt w:val="bullet"/>
      <w:start w:val="1"/>
    </w:lvl>
    <w:lvl w:ilvl="1">
      <w:lvlJc w:val="left"/>
      <w:lvlText w:val="(%2)"/>
      <w:numFmt w:val="lowerLetter"/>
      <w:start w:val="1"/>
    </w:lvl>
  </w:abstractNum>
  <w:abstractNum w:abstractNumId="85">
    <w:nsid w:val="6AA78F7F"/>
    <w:multiLevelType w:val="hybridMultilevel"/>
    <w:lvl w:ilvl="0">
      <w:lvlJc w:val="left"/>
      <w:lvlText w:val="(%1)"/>
      <w:numFmt w:val="lowerRoman"/>
      <w:start w:val="1"/>
    </w:lvl>
  </w:abstractNum>
  <w:abstractNum w:abstractNumId="86">
    <w:nsid w:val="7672BD23"/>
    <w:multiLevelType w:val="hybridMultilevel"/>
    <w:lvl w:ilvl="0">
      <w:lvlJc w:val="left"/>
      <w:lvlText w:val="3"/>
      <w:numFmt w:val="bullet"/>
      <w:start w:val="1"/>
    </w:lvl>
  </w:abstractNum>
  <w:abstractNum w:abstractNumId="87">
    <w:nsid w:val="6FC75AF8"/>
    <w:multiLevelType w:val="hybridMultilevel"/>
    <w:lvl w:ilvl="0">
      <w:lvlJc w:val="left"/>
      <w:lvlText w:val="(%1)"/>
      <w:numFmt w:val="lowerLetter"/>
      <w:start w:val="1"/>
    </w:lvl>
  </w:abstractNum>
  <w:abstractNum w:abstractNumId="88">
    <w:nsid w:val="6A5F7029"/>
    <w:multiLevelType w:val="hybridMultilevel"/>
    <w:lvl w:ilvl="0">
      <w:lvlJc w:val="left"/>
      <w:lvlText w:val="(%1)"/>
      <w:numFmt w:val="lowerLetter"/>
      <w:start w:val="2"/>
    </w:lvl>
  </w:abstractNum>
  <w:abstractNum w:abstractNumId="89">
    <w:nsid w:val="7D5E18F8"/>
    <w:multiLevelType w:val="hybridMultilevel"/>
    <w:lvl w:ilvl="0">
      <w:lvlJc w:val="left"/>
      <w:lvlText w:val="(%1)"/>
      <w:numFmt w:val="lowerLetter"/>
      <w:start w:val="4"/>
    </w:lvl>
  </w:abstractNum>
  <w:abstractNum w:abstractNumId="90">
    <w:nsid w:val="5F3534A4"/>
    <w:multiLevelType w:val="hybridMultilevel"/>
    <w:lvl w:ilvl="0">
      <w:lvlJc w:val="left"/>
      <w:lvlText w:val="(%1)"/>
      <w:numFmt w:val="lowerLetter"/>
      <w:start w:val="6"/>
    </w:lvl>
    <w:lvl w:ilvl="1">
      <w:lvlJc w:val="left"/>
      <w:lvlText w:val="(%2)"/>
      <w:numFmt w:val="lowerLetter"/>
      <w:start w:val="9"/>
    </w:lvl>
  </w:abstractNum>
  <w:abstractNum w:abstractNumId="91">
    <w:nsid w:val="73A1821B"/>
    <w:multiLevelType w:val="hybridMultilevel"/>
    <w:lvl w:ilvl="0">
      <w:lvlJc w:val="left"/>
      <w:lvlText w:val="(%1)"/>
      <w:numFmt w:val="lowerRoman"/>
      <w:start w:val="2"/>
    </w:lvl>
  </w:abstractNum>
  <w:abstractNum w:abstractNumId="92">
    <w:nsid w:val="7DE67713"/>
    <w:multiLevelType w:val="hybridMultilevel"/>
    <w:lvl w:ilvl="0">
      <w:lvlJc w:val="left"/>
      <w:lvlText w:val="(%1)"/>
      <w:numFmt w:val="lowerLetter"/>
      <w:start w:val="7"/>
    </w:lvl>
  </w:abstractNum>
  <w:abstractNum w:abstractNumId="93">
    <w:nsid w:val="555C55B5"/>
    <w:multiLevelType w:val="hybridMultilevel"/>
    <w:lvl w:ilvl="0">
      <w:lvlJc w:val="left"/>
      <w:lvlText w:val="(%1)"/>
      <w:numFmt w:val="lowerLetter"/>
      <w:start w:val="8"/>
    </w:lvl>
  </w:abstractNum>
  <w:abstractNum w:abstractNumId="94">
    <w:nsid w:val="3FA62ACA"/>
    <w:multiLevelType w:val="hybridMultilevel"/>
    <w:lvl w:ilvl="0">
      <w:lvlJc w:val="left"/>
      <w:lvlText w:val="4"/>
      <w:numFmt w:val="bullet"/>
      <w:start w:val="1"/>
    </w:lvl>
  </w:abstractNum>
  <w:abstractNum w:abstractNumId="95">
    <w:nsid w:val="14FCE74E"/>
    <w:multiLevelType w:val="hybridMultilevel"/>
    <w:lvl w:ilvl="0">
      <w:lvlJc w:val="left"/>
      <w:lvlText w:val="(%1)"/>
      <w:numFmt w:val="lowerLetter"/>
      <w:start w:val="1"/>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lowerLetter"/>
      <w:start w:val="1"/>
    </w:lvl>
  </w:abstractNum>
  <w:abstractNum w:abstractNumId="98">
    <w:nsid w:val="9DAF632"/>
    <w:multiLevelType w:val="hybridMultilevel"/>
    <w:lvl w:ilvl="0">
      <w:lvlJc w:val="left"/>
      <w:lvlText w:val="(%1)"/>
      <w:numFmt w:val="lowerLetter"/>
      <w:start w:val="5"/>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5"/>
      <w:numFmt w:val="bullet"/>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6"/>
      <w:numFmt w:val="bullet"/>
      <w:start w:val="1"/>
    </w:lvl>
  </w:abstractNum>
  <w:abstractNum w:abstractNumId="103">
    <w:nsid w:val="59ADEA3D"/>
    <w:multiLevelType w:val="hybridMultilevel"/>
    <w:lvl w:ilvl="0">
      <w:lvlJc w:val="left"/>
      <w:lvlText w:val="%1."/>
      <w:numFmt w:val="decimal"/>
      <w:start w:val="1"/>
    </w:lvl>
  </w:abstractNum>
  <w:abstractNum w:abstractNumId="104">
    <w:nsid w:val="288F1A34"/>
    <w:multiLevelType w:val="hybridMultilevel"/>
    <w:lvl w:ilvl="0">
      <w:lvlJc w:val="left"/>
      <w:lvlText w:val="%1."/>
      <w:numFmt w:val="decimal"/>
      <w:start w:val="1"/>
    </w:lvl>
  </w:abstractNum>
  <w:abstractNum w:abstractNumId="105">
    <w:nsid w:val="2A155DBC"/>
    <w:multiLevelType w:val="hybridMultilevel"/>
    <w:lvl w:ilvl="0">
      <w:lvlJc w:val="left"/>
      <w:lvlText w:val="%1."/>
      <w:numFmt w:val="decimal"/>
      <w:start w:val="5"/>
    </w:lvl>
  </w:abstractNum>
  <w:abstractNum w:abstractNumId="106">
    <w:nsid w:val="1D9F6E5F"/>
    <w:multiLevelType w:val="hybridMultilevel"/>
    <w:lvl w:ilvl="0">
      <w:lvlJc w:val="left"/>
      <w:lvlText w:val="%1."/>
      <w:numFmt w:val="decimal"/>
      <w:start w:val="9"/>
    </w:lvl>
  </w:abstractNum>
  <w:abstractNum w:abstractNumId="107">
    <w:nsid w:val="97E1B4E"/>
    <w:multiLevelType w:val="hybridMultilevel"/>
    <w:lvl w:ilvl="0">
      <w:lvlJc w:val="left"/>
      <w:lvlText w:val="%1."/>
      <w:numFmt w:val="decimal"/>
      <w:start w:val="13"/>
    </w:lvl>
  </w:abstractNum>
  <w:abstractNum w:abstractNumId="108">
    <w:nsid w:val="51088277"/>
    <w:multiLevelType w:val="hybridMultilevel"/>
    <w:lvl w:ilvl="0">
      <w:lvlJc w:val="left"/>
      <w:lvlText w:val="%1."/>
      <w:numFmt w:val="decimal"/>
      <w:start w:val="1"/>
    </w:lvl>
  </w:abstractNum>
  <w:abstractNum w:abstractNumId="109">
    <w:nsid w:val="1CA0C5FA"/>
    <w:multiLevelType w:val="hybridMultilevel"/>
    <w:lvl w:ilvl="0">
      <w:lvlJc w:val="left"/>
      <w:lvlText w:val="%1."/>
      <w:numFmt w:val="decimal"/>
      <w:start w:val="1"/>
    </w:lvl>
  </w:abstractNum>
  <w:abstractNum w:abstractNumId="110">
    <w:nsid w:val="53584BC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jpe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jpeg"/><Relationship Id="rId255" Type="http://schemas.openxmlformats.org/officeDocument/2006/relationships/image" Target="media/image233.jpeg"/><Relationship Id="rId204" Type="http://schemas.openxmlformats.org/officeDocument/2006/relationships/hyperlink" Target="http://www.sec.gov/Archives/edgar/data/1724542/000121390018003524/ff12018ex3-1_clpsincorp.htm" TargetMode="External"/><Relationship Id="rId205" Type="http://schemas.openxmlformats.org/officeDocument/2006/relationships/hyperlink" Target="http://www.sec.gov/Archives/edgar/data/1724542/000121390018003524/ff12018ex4-1_clpsincorp.htm" TargetMode="External"/><Relationship Id="rId206" Type="http://schemas.openxmlformats.org/officeDocument/2006/relationships/hyperlink" Target="http://www.sec.gov/Archives/edgar/data/1724542/000121390018003524/ff12018ex10-1_clpsincorp.htm" TargetMode="External"/><Relationship Id="rId207" Type="http://schemas.openxmlformats.org/officeDocument/2006/relationships/hyperlink" Target="http://www.sec.gov/Archives/edgar/data/1724542/000121390018003524/ff12018ex10-2_clpsincorp.htm" TargetMode="External"/><Relationship Id="rId208" Type="http://schemas.openxmlformats.org/officeDocument/2006/relationships/hyperlink" Target="http://www.sec.gov/Archives/edgar/data/1724542/000121390018003524/ff12018ex10-3_clpsincorp.htm" TargetMode="External"/><Relationship Id="rId209" Type="http://schemas.openxmlformats.org/officeDocument/2006/relationships/hyperlink" Target="http://www.sec.gov/Archives/edgar/data/1724542/000121390018003524/ff12018ex10-4_clpsincorp.htm" TargetMode="External"/><Relationship Id="rId210" Type="http://schemas.openxmlformats.org/officeDocument/2006/relationships/hyperlink" Target="http://www.sec.gov/Archives/edgar/data/1724542/000121390018003524/ff12018ex10-5_clpsincorp.htm" TargetMode="External"/><Relationship Id="rId211" Type="http://schemas.openxmlformats.org/officeDocument/2006/relationships/hyperlink" Target="http://www.sec.gov/Archives/edgar/data/1724542/000121390018003524/ff12018ex10-6_clpsincorp.htm" TargetMode="External"/><Relationship Id="rId212" Type="http://schemas.openxmlformats.org/officeDocument/2006/relationships/hyperlink" Target="http://www.sec.gov/Archives/edgar/data/1724542/000121390018003524/ff12018ex10-7_clpsincorp.htm" TargetMode="External"/><Relationship Id="rId213" Type="http://schemas.openxmlformats.org/officeDocument/2006/relationships/hyperlink" Target="http://www.sec.gov/Archives/edgar/data/1724542/000121390018003524/ff12018ex10-8_clpsincorp.htm" TargetMode="External"/><Relationship Id="rId214" Type="http://schemas.openxmlformats.org/officeDocument/2006/relationships/hyperlink" Target="http://www.sec.gov/Archives/edgar/data/1724542/000121390018003524/ff12018ex14-1_clpsincorp.htm" TargetMode="External"/><Relationship Id="rId215" Type="http://schemas.openxmlformats.org/officeDocument/2006/relationships/hyperlink" Target="http://www.sec.gov/Archives/edgar/data/1724542/000121390018003524/ff12018ex21-1_clpsincorp.htm" TargetMode="External"/><Relationship Id="rId216" Type="http://schemas.openxmlformats.org/officeDocument/2006/relationships/hyperlink" Target="http://www.sec.gov/Archives/edgar/data/1724542/000121390018003524/ff12018ex99-1_clpsincorp.htm" TargetMode="External"/><Relationship Id="rId217" Type="http://schemas.openxmlformats.org/officeDocument/2006/relationships/hyperlink" Target="http://www.sec.gov/Archives/edgar/data/1724542/000121390018003524/ff12018ex99-2_clpsincorp.htm" TargetMode="External"/><Relationship Id="rId218"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2019-12-08T17:48:43Z</dcterms:created>
  <dcterms:modified xsi:type="dcterms:W3CDTF">2019-12-08T17:48:43Z</dcterms:modified>
</cp:coreProperties>
</file>