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18, 2018</w:t>
      </w:r>
    </w:p>
    <w:p>
      <w:pPr>
        <w:spacing w:after="0" w:line="1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2 to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0001724542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principal executive offices)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areas code, of agent for service)</w:t>
      </w:r>
    </w:p>
    <w:p>
      <w:pPr>
        <w:spacing w:after="0" w:line="8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4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Ralph V. De Martino, Esq.</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0"/>
              </w:rPr>
              <w:t>Louis Taubman, Esq.</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F. Alec Orudjev, Esq.</w:t>
            </w:r>
          </w:p>
        </w:tc>
        <w:tc>
          <w:tcPr>
            <w:tcW w:w="5420" w:type="dxa"/>
            <w:vAlign w:val="bottom"/>
          </w:tcPr>
          <w:p>
            <w:pPr>
              <w:jc w:val="center"/>
              <w:ind w:left="2552"/>
              <w:spacing w:after="0"/>
              <w:rPr>
                <w:sz w:val="20"/>
                <w:szCs w:val="20"/>
                <w:color w:val="auto"/>
              </w:rPr>
            </w:pPr>
            <w:r>
              <w:rPr>
                <w:rFonts w:ascii="Arial" w:cs="Arial" w:eastAsia="Arial" w:hAnsi="Arial"/>
                <w:sz w:val="18"/>
                <w:szCs w:val="18"/>
                <w:b w:val="1"/>
                <w:bCs w:val="1"/>
                <w:color w:val="auto"/>
                <w:w w:val="95"/>
              </w:rPr>
              <w:t>Hunter Taubman Fischer &amp; Li LLC</w:t>
            </w:r>
          </w:p>
        </w:tc>
      </w:tr>
      <w:tr>
        <w:trPr>
          <w:trHeight w:val="221"/>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6"/>
              </w:rPr>
              <w:t>Schiff Hardin LLP</w:t>
            </w:r>
          </w:p>
        </w:tc>
        <w:tc>
          <w:tcPr>
            <w:tcW w:w="5420" w:type="dxa"/>
            <w:vAlign w:val="bottom"/>
          </w:tcPr>
          <w:p>
            <w:pPr>
              <w:jc w:val="center"/>
              <w:ind w:left="2532"/>
              <w:spacing w:after="0" w:line="221" w:lineRule="exact"/>
              <w:rPr>
                <w:sz w:val="20"/>
                <w:szCs w:val="20"/>
                <w:color w:val="auto"/>
              </w:rPr>
            </w:pPr>
            <w:r>
              <w:rPr>
                <w:rFonts w:ascii="Arial" w:cs="Arial" w:eastAsia="Arial" w:hAnsi="Arial"/>
                <w:sz w:val="16"/>
                <w:szCs w:val="16"/>
                <w:b w:val="1"/>
                <w:bCs w:val="1"/>
                <w:color w:val="auto"/>
              </w:rPr>
              <w:t>1450 Broadway, 26</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Floor</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901 K Street, NW, Suite 700</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2"/>
              </w:rPr>
              <w:t>New York, NY 10018</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Washington, DC 20001</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1"/>
              </w:rPr>
              <w:t>Tel: 917-512-0827</w:t>
            </w:r>
          </w:p>
        </w:tc>
      </w:tr>
      <w:tr>
        <w:trPr>
          <w:trHeight w:val="234"/>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Tel: 202-724-6848</w:t>
            </w:r>
          </w:p>
        </w:tc>
        <w:tc>
          <w:tcPr>
            <w:tcW w:w="5420" w:type="dxa"/>
            <w:vAlign w:val="bottom"/>
          </w:tcPr>
          <w:p>
            <w:pPr>
              <w:spacing w:after="0"/>
              <w:rPr>
                <w:sz w:val="20"/>
                <w:szCs w:val="20"/>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becomes effective.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0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40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18"/>
                <w:szCs w:val="18"/>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310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58"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Amendment No. 2 to the Registration Statement on Form F-1 (File No. 333-223956) of CLPS Incorporation is being filed for the sole purpose of filing certain exhibits (Nos. 1.1, 10.9, 10.10 and 10.11). Accordingly, Part I, the form of prospectus, has been omitted from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Since our inception, we issued 11,290,000 shares in the aggregate to 5 shareholders upon the reorganization of our company and in transactions that were not required to be registered under the Securities Act. All such share issuances were deemed to be exempt under the Securities Act by virtue of Section 4(2) thereof as transactions not involving any public offering. In addition, certain share issuances were deemed not to fall within Section 5 under the Securities Act and to be further exempt under Rule 901 and 903 of Regulation S promulgated thereunder by virtue of being issuances of securities by non-U.S. companies to non-U.S. citizens or residents, conducted outside the United States and not using any element of interstate commerce.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below lists all of the securities related to CLPS Shanghai since CLPS Shanghai was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30, 2005, Jingsu Pan and Xiaochun Deng agreed to establish ChinaLink Professional Services Co., Ltd. (“CLPS Shanghai”) and signed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CLPS Shanghai’s Articles of Association. Pursuant to the Articles of Association, Jingsu Pan and Xiaochun Deng agreed to invested RMB250,000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US$30,881) in cash for 50% of equity interests in CLPS Shanghai, and the total registered capital of CLPS Shanghai was RMB500,000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US$61,763).</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December 5, 2005, Jingsu Pan and Xiaochun Deng signed the Resolution of the Board of Shareholders and agreed to increase CLPS Shanghai’s registered capital to RMB1,000,000 (approximately US$123,671). Jingsu Pan and Xiaochun Deng respectively made full payment for their subscribed capital to RMB500,000 (approximately US$61,835).</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29, 2010, Yan Pan entered into a Share Purchase Agreement with Jingsu Pan pursuant to which Yan Pan purchased all of Jingsu Pan’s shares in CLPS Shanghai.</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19, 2010, Raymond Ming Hui Lin entered into a Share Purchase Agreement with Xiaochun Deng pursuant to which Raymond Ming Hui Lin purchased all of Xiaochun Deng’s shares in CLPS Shanghai.</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respectively made full payment for their subscribed capital to RMB2,500,000 (approximately US$399,993).</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October 30, 2013, Xiao Feng Yang entered into a Share Purchase Agreement with Yan Pan pursuant to which Xiao Feng Yang purchased all of Yan Pan’s shares in CLPS Shanghai.</w:t>
      </w:r>
    </w:p>
    <w:p>
      <w:pPr>
        <w:spacing w:after="0" w:line="170"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On June 24, 2014, CLPS Shanghai increased its registered capital to RMB30,000,000 (approximately US$4,759,004). Xiao Feng Yang and Raymond Ming Hui Lin respectively made full payment for their subscribed capital to RMB15,000,000 (approximately US$2,379,502).</w:t>
      </w:r>
    </w:p>
    <w:p>
      <w:pPr>
        <w:spacing w:after="0" w:line="124"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 Xiao Feng Yang and Raymond Ming Hui Lin respectively held 15,000,000 shares of CLPS Shanghai.</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May 16, 2016, CLPS Shanghai issued 3,870,000 shares to three limited partnerships (hereinto: 1,700,000 shares to Shanghai Qinyao Investment Partnership, 1,270,000 shares to Shanghai Qinzhi Investment Partnership, and 900,000 shares to Shanghai Qinshang Software Technology Counsel Partnership) of RMB1.00 per share. CLPS Shanghai’s registered capital was increased to RMB33,870,000.</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ind w:right="100" w:firstLine="648"/>
        <w:spacing w:after="0" w:line="277" w:lineRule="auto"/>
        <w:rPr>
          <w:sz w:val="20"/>
          <w:szCs w:val="20"/>
          <w:color w:val="auto"/>
        </w:rPr>
      </w:pPr>
      <w:r>
        <w:rPr>
          <w:rFonts w:ascii="Arial" w:cs="Arial" w:eastAsia="Arial" w:hAnsi="Arial"/>
          <w:sz w:val="18"/>
          <w:szCs w:val="18"/>
          <w:color w:val="auto"/>
        </w:rPr>
        <w:t>On July 18, 2017, three abovementioned limited partnerships transferred all their shares of CLPS Shanghai to their individual partners according to the proportion of each partner’s capital contribution. Total 47 individuals became shareholders of CLPS Shanghai.</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August 2017, Qiner Co., Ltd. (“Qiner”) entered into three Share Purchase Agreement with three non-Chinese individual shareholders of CLPS Shanghai pursuant to which the three non-Chinese individual shareholders of CLPS Shanghai were to sell all their shares of CLPS Shanghai to Qiner. The share transfer price was RMB1.00 per share.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2017, Shanghai Qincheng Information Technology Co., Ltd (“WOFE”) entered into 46 Share Purchase Agreement with all 46 Chinese individual shareholders of CLPS Shanghai pursuant to which the 46 Chinese individual shareholders of CLPS Shanghai were to sell all their shares of CLPS Shanghai to WOFE. The share transfer price was RMB1.00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Ruicheng Co., Ltd.</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On May 10, 2013, CLPS Ruicheng Co., Ltd. (“CLPS RC”) was established by Wenbin Li and CLPS Shanghai. Wenbin Li invested RMB45,000 (US$7,321) in cash for 45% of equity interests in CLPS RC, and CLPS Shanghai invested RMB55,000 (US$8,948) in cash for 55% of equity interests in CLPS RC. The total registered capital of CLPS RC was RMB100,000 (US$16,269).</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April 2, 2014, Wenbin Li and CLPS Shanghai signed/sealed the Resolution of the Board of Shareholders and agreed to increase CLPS RC’s registered capital to RMB10,000,000 (US$1,611,500). Wenbin Li increased his subscribed capital to RMB4,500,000 (US$725,175), and CLPS Shanghai increased its subscribed capital to RMB5,500,000 (US$886,325).</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November 17, 2015, Wenbin Li entered into a Share Purchase Agreement with CLPS Shanghai pursuant to which CLPS Shanghai purchased all of Wenbin Li’s shares in CLPS RC.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Dalian Co., Ltd.</w:t>
      </w:r>
    </w:p>
    <w:p>
      <w:pPr>
        <w:spacing w:after="0" w:line="22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On May 28, 2011, CLPS Shanghai decided to establish CLPS Dalian Co., Ltd. (“CLPS Dalian”) and sealed its Articles of Association. CLPS Shanghai invested RMB100,000 (US$15,234) in cash for 100% of equity interests in CLPS Dalian, and the total registered capital of CLPS Dalian was RMB100,000 (US$15,234).</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June 13, 2012, CLPS Dalian increased its registered capital to RMB1,000,000 (US$157,023). CLPS Shanghai made full payment for its subscribed capital to RMB1,000,000 (US$157,023).</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March 5, 2014, CLPS Dalian increased its registered capital to RMB2,000,000 (US$326,371). CLPS Shanghai increased its subscribed capital from RMB1,000,000 to RMB2,000,000 (US$326,371).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Beijing Hengtong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30, 2015, CLPS Beijing Hengtong Co., Ltd. (“CLPS Beijing”) was established by Jingwei Sun and CLPS Shanghai. Jingwei Sun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subscribed RMB3,000,000 (US$483,364) in cash for 30% of equity interests in CLPS Beijing, and CLPS Shanghai subscribed RMB7,000,000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(US$1,127,850) in cash for 70% of equity interests in CLPS Beijing. The total registered capital of CLPS Beijing was RMB10,000,000 (US$1,611,214).</w:t>
      </w:r>
    </w:p>
    <w:p>
      <w:pPr>
        <w:spacing w:after="0" w:line="22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March 20, 2016, Jingwei Sun and CLPS Shanghai signed/sealed the Resolution of the Board of Shareholders and agreed to reduce CLPS Beijing’s registered capital to RMB1,000,000 (US$154,603). Jingwei Sun reduced his subscribed capitial to RMB300,000 (US$46,381) and CLPS Shanghai reduced its subscribed capital to RMB700,000 (US$108,222).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Judge China &amp; Judge HR</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On November 9, 2016, CLPS Shanghai entered into a Share Purchase Agreement with JUDGE GROUP ASIA LIMITED pursuant to which CLPS Shanghai purchased 60% of JUDGE GROUP ASIA LIMITED’s shares in Judge (Shanghai) Co., Ltd. (“Judge China”) which is established by JUDGE GROUP ASIA LIMITED in November 23, 2010. The registered capital of Judge China was RMB18,630,000 (US$2,804,329).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20, 2012, Judge China and an unrelated company agreed to establish Judge (Shanghai) Human Resource Co., Ltd. (“Judge HR”).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Judge China subscribed RMB700,000 (US$111,048) for 70% of equity interests in Judge HR.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Shenzhen Co., Ltd.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7, 2017, CLPS Shenzhen Co., Ltd. (“CLPS Shenzhen”) was established by CLPS Shanghai and CLPS Technology (HK) Co., Ltd. (“CLPS Hong Kong”). CLPS Shanghai subscribed RMB3,500,000 (US$507,408) for 70% of equity interests in CLPS Shenzhen, and CLPS Hong Kong subscribed RMB1,500,000 (US$217,461) for 30% of equity interests in CLPS Shenzhen. The total registered capital of CLPS Hong Kong was RMB5,000,000 (US$724,869).</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Tianjin Huanyu Qinshang Network Technology Co., Ltd.</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September 27, 2017, Tianjin Huanyu Qinshang Network Technology Co., Ltd. (“Huanyu”) was established by CLPS Shanghai and Jingwei Sun. CLPS Shanghai subscribed RMB3,000,000 (US$451,807) for 30% of equity interests in Huanyu, and Jingwei Sun subscribed RMB7,000,000 (US$1,054,217) for 70% of equity interests in Huanyu. The total registered capital of Huanyu was RMB10,000,000 (US$1,506,024).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Guangzhou Co., Ltd.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September 27, 2017, CLPS Guangzhou Co., Ltd. (“CLPS Guangzhou”) was established by CLPS Shanghai and Qiner Co., Limited (“Qiner”). CLPS Shanghai subscribed RMB510,000 (US$76,807) for 51% of equity interests in CLPS Guangzhou, and Qiner subscribed RMB490,000 (US$73,795) for 49% of equity interests in CLPS Guangzhou. The total registered capital of CLPS Guangzhou was RMB1,000,000 (US$150,602).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(Australia) Pty. Ltd.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November 10, 2015, CLPS Shanghai invested AUD200,000 (US$140,600) to establish CLPS Technology (Australia) Pty. Ltd. and CLPS held 100% of equity interests in CLPS 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(Singapore) Pte. Ltd.</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On August 18, 2015, CLPS Shanghai invested SGD100,000 (US$71,149) to establish CLPS Technology (Singapore) Pte. Ltd. and CLPS held 100% of equity interests in CLPS SG.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21, 2016, CLPS Shanghai decided to increase investment to SGD500,000 (US$372,606) and CLPS kept holding 100% of equity interests in CLPS SG.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(HK) Co., Ltd.</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January 7, 2016, CLPS Shanghai invested HKD200,000 (US$25,793) to establish CLPS Technology (HK) Co., Ltd. and CLPS held 100% of equity interests in CLPS Hong Kong.</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November 24, 2016, Zhaolong Zhang invested HKD50,000 (US$6,447) in CLPS Hong Kong, and got 20% of equity interests in CLPS Hong Kong correspondingly. CLPS Shanghai held 80% of equity interests after the investment.</w:t>
      </w:r>
    </w:p>
    <w:p>
      <w:pPr>
        <w:spacing w:after="0" w:line="170"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On December 27, 2017, the Company entered into a one-year agreement with Ascent Investor Relations LLC (“Ascent”) pursuant to which Ascent was to provide certain investor relations consulting services to the Company. In addition to the cash fee of $6,000 per month, the Company agreed to issue to Ascent a five-year common share purchase warrant to purchase 107,000 shares of the Company’s common shares.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1, 2017, the Company entered into a financial advisory agreement with Gear Ltd. (“Gear”) pursuant to which Gear was to provide certain due diligence support, advisory, consulting, investor relations and other related services to the Company. In addition to the cash retainer fee of RMB 400,000 (US$59,003), the Company also agreed to issue to Gear a five-year common share purchase warrant to purchase 0.7% of the number of the common shares of the Company at closing of the contemplated IPO.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820" w:type="dxa"/>
            <w:vAlign w:val="bottom"/>
            <w:gridSpan w:val="26"/>
          </w:tcPr>
          <w:p>
            <w:pPr>
              <w:ind w:left="32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51"/>
        </w:trPr>
        <w:tc>
          <w:tcPr>
            <w:tcW w:w="11420" w:type="dxa"/>
            <w:vAlign w:val="bottom"/>
            <w:gridSpan w:val="28"/>
          </w:tcPr>
          <w:p>
            <w:pPr>
              <w:spacing w:after="0"/>
              <w:rPr>
                <w:sz w:val="20"/>
                <w:szCs w:val="20"/>
                <w:color w:val="auto"/>
              </w:rPr>
            </w:pPr>
            <w:r>
              <w:rPr>
                <w:rFonts w:ascii="Arial" w:cs="Arial" w:eastAsia="Arial" w:hAnsi="Arial"/>
                <w:sz w:val="18"/>
                <w:szCs w:val="18"/>
                <w:b w:val="1"/>
                <w:bCs w:val="1"/>
                <w:i w:val="1"/>
                <w:iCs w:val="1"/>
                <w:color w:val="auto"/>
              </w:rPr>
              <w:t>(a) Exhibits</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20" w:type="dxa"/>
            <w:vAlign w:val="bottom"/>
            <w:gridSpan w:val="26"/>
          </w:tcPr>
          <w:p>
            <w:pPr>
              <w:ind w:left="60"/>
              <w:spacing w:after="0"/>
              <w:rPr>
                <w:sz w:val="20"/>
                <w:szCs w:val="20"/>
                <w:color w:val="auto"/>
              </w:rPr>
            </w:pPr>
            <w:r>
              <w:rPr>
                <w:rFonts w:ascii="Arial" w:cs="Arial" w:eastAsia="Arial" w:hAnsi="Arial"/>
                <w:sz w:val="18"/>
                <w:szCs w:val="18"/>
                <w:color w:val="auto"/>
              </w:rPr>
              <w:t>The following exhibits are filed herewith or incorporated by reference in this prospectus:</w:t>
            </w:r>
          </w:p>
        </w:tc>
        <w:tc>
          <w:tcPr>
            <w:tcW w:w="0" w:type="dxa"/>
            <w:vAlign w:val="bottom"/>
          </w:tcPr>
          <w:p>
            <w:pPr>
              <w:spacing w:after="0"/>
              <w:rPr>
                <w:sz w:val="1"/>
                <w:szCs w:val="1"/>
                <w:color w:val="auto"/>
              </w:rPr>
            </w:pPr>
          </w:p>
        </w:tc>
      </w:tr>
      <w:tr>
        <w:trPr>
          <w:trHeight w:val="372"/>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4"/>
          </w:tcPr>
          <w:p>
            <w:pPr>
              <w:spacing w:after="0"/>
              <w:rPr>
                <w:sz w:val="20"/>
                <w:szCs w:val="20"/>
                <w:color w:val="auto"/>
              </w:rPr>
            </w:pPr>
            <w:r>
              <w:rPr>
                <w:rFonts w:ascii="Arial" w:cs="Arial" w:eastAsia="Arial" w:hAnsi="Arial"/>
                <w:sz w:val="18"/>
                <w:szCs w:val="18"/>
                <w:color w:val="auto"/>
              </w:rPr>
              <w:t>Exhibit title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Form of Underwriting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Memorandum and Articles of Association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19">
              <w:r>
                <w:rPr>
                  <w:rFonts w:ascii="Arial" w:cs="Arial" w:eastAsia="Arial" w:hAnsi="Arial"/>
                  <w:sz w:val="18"/>
                  <w:szCs w:val="18"/>
                  <w:color w:val="0000EE"/>
                </w:rPr>
                <w:t>Specimen Share Certificate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Opinion of Ogier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Opinion of Hansen &amp; Partners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Opinion of Schiff Hardin LLP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2017 Equity Incentive Plan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4">
              <w:r>
                <w:rPr>
                  <w:rFonts w:ascii="Arial" w:cs="Arial" w:eastAsia="Arial" w:hAnsi="Arial"/>
                  <w:sz w:val="18"/>
                  <w:szCs w:val="18"/>
                  <w:color w:val="0000EE"/>
                </w:rPr>
                <w:t>Form Independent Director Agreement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Employment Agreement between the Company and Xiao Feng Yang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Employment Agreement between the Company and Raymond Ming Hui Lin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Employment Agreement between the Company and Tian van Acken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8">
              <w:r>
                <w:rPr>
                  <w:rFonts w:ascii="Arial" w:cs="Arial" w:eastAsia="Arial" w:hAnsi="Arial"/>
                  <w:sz w:val="18"/>
                  <w:szCs w:val="18"/>
                  <w:color w:val="0000EE"/>
                </w:rPr>
                <w:t>ANZ Global Services and Operations (Chengdu) Company Limited Agreement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9">
              <w:r>
                <w:rPr>
                  <w:rFonts w:ascii="Arial" w:cs="Arial" w:eastAsia="Arial" w:hAnsi="Arial"/>
                  <w:sz w:val="18"/>
                  <w:szCs w:val="18"/>
                  <w:color w:val="0000EE"/>
                </w:rPr>
                <w:t>Master Lease Agreement - Shanghai Pudong Software Park Co., Ltd.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Form of Framework Contract for Subcontracting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Form Warrant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Form Lockup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Escrow Indemnification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31">
              <w:r>
                <w:rPr>
                  <w:rFonts w:ascii="Arial" w:cs="Arial" w:eastAsia="Arial" w:hAnsi="Arial"/>
                  <w:sz w:val="18"/>
                  <w:szCs w:val="18"/>
                  <w:color w:val="0000EE"/>
                </w:rPr>
                <w:t>Code of Conduct and Ethics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32">
              <w:r>
                <w:rPr>
                  <w:rFonts w:ascii="Arial" w:cs="Arial" w:eastAsia="Arial" w:hAnsi="Arial"/>
                  <w:sz w:val="18"/>
                  <w:szCs w:val="18"/>
                  <w:color w:val="0000EE"/>
                </w:rPr>
                <w:t>List of Subsidiaries of the Registrant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Consent of Ogier (included in Exhibit 5.1).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Consent of Hansen &amp; Partners (included in Exhibit 8.1).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Consent of Schiff Hardin LLP (included in Exhibit 8.2).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Power of Attorney (included on signature page).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Charter of the Audit Committee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Charter of the Compensation Committee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60" w:type="dxa"/>
            <w:vAlign w:val="bottom"/>
            <w:gridSpan w:val="24"/>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Charter of the Nominating Committee (1).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30,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24, 2018.</w:t>
      </w:r>
    </w:p>
    <w:p>
      <w:pPr>
        <w:spacing w:after="0" w:line="144" w:lineRule="exact"/>
        <w:rPr>
          <w:sz w:val="20"/>
          <w:szCs w:val="20"/>
          <w:color w:val="auto"/>
        </w:rPr>
      </w:pPr>
    </w:p>
    <w:p>
      <w:pPr>
        <w:ind w:left="660" w:right="8840" w:hanging="652"/>
        <w:spacing w:after="0" w:line="434" w:lineRule="auto"/>
        <w:tabs>
          <w:tab w:leader="none" w:pos="267"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91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860" w:hanging="20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80" w:firstLine="656"/>
        <w:spacing w:after="0" w:line="293" w:lineRule="auto"/>
        <w:tabs>
          <w:tab w:leader="none" w:pos="91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60" w:firstLine="656"/>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firstLine="656"/>
        <w:spacing w:after="0" w:line="277" w:lineRule="auto"/>
        <w:tabs>
          <w:tab w:leader="none" w:pos="8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right="840" w:firstLine="656"/>
        <w:spacing w:after="0" w:line="277"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200" w:firstLine="656"/>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People’s Republic of China, on May 18, 2018.</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8" w:lineRule="exact"/>
              <w:rPr>
                <w:sz w:val="20"/>
                <w:szCs w:val="20"/>
                <w:color w:val="auto"/>
              </w:rPr>
            </w:pPr>
            <w:r>
              <w:rPr>
                <w:rFonts w:ascii="Arial" w:cs="Arial" w:eastAsia="Arial" w:hAnsi="Arial"/>
                <w:sz w:val="18"/>
                <w:szCs w:val="18"/>
                <w:b w:val="1"/>
                <w:bCs w:val="1"/>
                <w:color w:val="auto"/>
              </w:rPr>
              <w:t>Raymond Ming Hui Lin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0"/>
                <w:szCs w:val="20"/>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Xiao Feng Yang</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18,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Xiao Feng Yang</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Raymond Ming Hui Lin</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18,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5"/>
              </w:rPr>
              <w:t>Raymond Ming Hui Lin</w:t>
            </w:r>
          </w:p>
        </w:tc>
        <w:tc>
          <w:tcPr>
            <w:tcW w:w="24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18,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Tian van Acken</w:t>
            </w:r>
          </w:p>
        </w:tc>
        <w:tc>
          <w:tcPr>
            <w:tcW w:w="24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18,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9"/>
              </w:rPr>
              <w:t>Jin He Shao</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18,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Kewei Huang</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18,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4"/>
              </w:rPr>
              <w:t>Kathryn Amooi</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6073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 in fact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4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the Company has signed this registration statement or amendment thereto in New York on May 18, 2018.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VCorp Services,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 Robert Pitt Drive, Suite 204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Monsey, NY 10952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(888) 528-2677</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Isaac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Isaac Muller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BENCHMARK COMPANY, LLC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Representative of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2092960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E 58th Street,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named on Schedule 1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undersigned, CLPS Incorporation., a corporation formed under the laws of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Benchmark Company LLC (hereinafter referred to as “you” (including its correlatives) or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for which the Representative is acting as representative (the Representative and such other underwriters being collectively called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4" w:lineRule="exact"/>
        <w:rPr>
          <w:sz w:val="20"/>
          <w:szCs w:val="20"/>
          <w:color w:val="auto"/>
        </w:rPr>
      </w:pPr>
    </w:p>
    <w:p>
      <w:pPr>
        <w:ind w:left="660" w:right="9160" w:hanging="652"/>
        <w:spacing w:after="0" w:line="601" w:lineRule="auto"/>
        <w:tabs>
          <w:tab w:leader="none" w:pos="192" w:val="left"/>
        </w:tabs>
        <w:numPr>
          <w:ilvl w:val="0"/>
          <w:numId w:val="5"/>
        </w:numPr>
        <w:rPr>
          <w:rFonts w:ascii="Arial" w:cs="Arial" w:eastAsia="Arial" w:hAnsi="Arial"/>
          <w:sz w:val="15"/>
          <w:szCs w:val="15"/>
          <w:b w:val="1"/>
          <w:bCs w:val="1"/>
          <w:color w:val="auto"/>
        </w:rPr>
      </w:pPr>
      <w:r>
        <w:rPr>
          <w:rFonts w:ascii="Arial" w:cs="Arial" w:eastAsia="Arial" w:hAnsi="Arial"/>
          <w:sz w:val="15"/>
          <w:szCs w:val="15"/>
          <w:u w:val="single" w:color="auto"/>
          <w:color w:val="auto"/>
        </w:rPr>
        <w:t>Purchase and Sale of Shares</w:t>
      </w:r>
      <w:r>
        <w:rPr>
          <w:rFonts w:ascii="Arial" w:cs="Arial" w:eastAsia="Arial" w:hAnsi="Arial"/>
          <w:sz w:val="15"/>
          <w:szCs w:val="15"/>
          <w:color w:val="auto"/>
        </w:rPr>
        <w:t xml:space="preserve">. 1.1 </w:t>
      </w:r>
      <w:r>
        <w:rPr>
          <w:rFonts w:ascii="Arial" w:cs="Arial" w:eastAsia="Arial" w:hAnsi="Arial"/>
          <w:sz w:val="15"/>
          <w:szCs w:val="15"/>
          <w:i w:val="1"/>
          <w:iCs w:val="1"/>
          <w:u w:val="single" w:color="auto"/>
          <w:color w:val="auto"/>
        </w:rPr>
        <w:t>Firm Shares</w:t>
      </w:r>
      <w:r>
        <w:rPr>
          <w:rFonts w:ascii="Arial" w:cs="Arial" w:eastAsia="Arial" w:hAnsi="Arial"/>
          <w:sz w:val="15"/>
          <w:szCs w:val="15"/>
          <w:i w:val="1"/>
          <w:iCs w:val="1"/>
          <w:color w:val="auto"/>
        </w:rPr>
        <w:t>.</w:t>
      </w:r>
    </w:p>
    <w:p>
      <w:pPr>
        <w:ind w:left="1300"/>
        <w:spacing w:after="0"/>
        <w:rPr>
          <w:rFonts w:ascii="Arial" w:cs="Arial" w:eastAsia="Arial" w:hAnsi="Arial"/>
          <w:sz w:val="15"/>
          <w:szCs w:val="15"/>
          <w:b w:val="1"/>
          <w:bCs w:val="1"/>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Nature and Purchase of Firm Shares</w:t>
      </w:r>
      <w:r>
        <w:rPr>
          <w:rFonts w:ascii="Arial" w:cs="Arial" w:eastAsia="Arial" w:hAnsi="Arial"/>
          <w:sz w:val="18"/>
          <w:szCs w:val="18"/>
          <w:color w:val="auto"/>
        </w:rPr>
        <w:t>.</w:t>
      </w:r>
    </w:p>
    <w:p>
      <w:pPr>
        <w:spacing w:after="0" w:line="225" w:lineRule="exact"/>
        <w:rPr>
          <w:rFonts w:ascii="Arial" w:cs="Arial" w:eastAsia="Arial" w:hAnsi="Arial"/>
          <w:sz w:val="15"/>
          <w:szCs w:val="15"/>
          <w:b w:val="1"/>
          <w:bCs w:val="1"/>
          <w:color w:val="auto"/>
        </w:rPr>
      </w:pPr>
    </w:p>
    <w:p>
      <w:pPr>
        <w:jc w:val="both"/>
        <w:ind w:firstLine="1953"/>
        <w:spacing w:after="0" w:line="312" w:lineRule="auto"/>
        <w:tabs>
          <w:tab w:leader="none" w:pos="2165" w:val="left"/>
        </w:tabs>
        <w:numPr>
          <w:ilvl w:val="1"/>
          <w:numId w:val="5"/>
        </w:numPr>
        <w:rPr>
          <w:rFonts w:ascii="Arial" w:cs="Arial" w:eastAsia="Arial" w:hAnsi="Arial"/>
          <w:sz w:val="16"/>
          <w:szCs w:val="16"/>
          <w:color w:val="auto"/>
        </w:rPr>
      </w:pPr>
      <w:r>
        <w:rPr>
          <w:rFonts w:ascii="Arial" w:cs="Arial" w:eastAsia="Arial" w:hAnsi="Arial"/>
          <w:sz w:val="16"/>
          <w:szCs w:val="16"/>
          <w:color w:val="auto"/>
        </w:rPr>
        <w:t>On the basis of the representations and warranties herein contained, but subject to the terms and conditions herein set forth, the Company agrees to sell in the aggregate [•] common shares of the Company, par value $0.0001 per share, and each Underwriter agrees to purchase, severally and not jointly, at the Closing, the following securities of the Company an aggregate of [•] shares (“</w:t>
      </w:r>
      <w:r>
        <w:rPr>
          <w:rFonts w:ascii="Arial" w:cs="Arial" w:eastAsia="Arial" w:hAnsi="Arial"/>
          <w:sz w:val="16"/>
          <w:szCs w:val="16"/>
          <w:b w:val="1"/>
          <w:bCs w:val="1"/>
          <w:color w:val="auto"/>
        </w:rPr>
        <w:t>Firm Shares</w:t>
      </w:r>
      <w:r>
        <w:rPr>
          <w:rFonts w:ascii="Arial" w:cs="Arial" w:eastAsia="Arial" w:hAnsi="Arial"/>
          <w:sz w:val="16"/>
          <w:szCs w:val="16"/>
          <w:color w:val="auto"/>
        </w:rPr>
        <w:t>”) of the Company’s common shares.</w:t>
      </w:r>
    </w:p>
    <w:p>
      <w:pPr>
        <w:spacing w:after="0" w:line="146" w:lineRule="exact"/>
        <w:rPr>
          <w:rFonts w:ascii="Arial" w:cs="Arial" w:eastAsia="Arial" w:hAnsi="Arial"/>
          <w:sz w:val="16"/>
          <w:szCs w:val="16"/>
          <w:color w:val="auto"/>
        </w:rPr>
      </w:pPr>
    </w:p>
    <w:p>
      <w:pPr>
        <w:jc w:val="both"/>
        <w:ind w:right="20" w:firstLine="1953"/>
        <w:spacing w:after="0" w:line="312" w:lineRule="auto"/>
        <w:tabs>
          <w:tab w:leader="none" w:pos="2215"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Firm Shares are to be offered together to the public at the offering price per one Firm Share as set forth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The Underwriters, severally and not jointly, agree to purchase from the Company the number of Firm Shares set forth opposite their respective names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and made a part hereof at the purchase price for one Firm Share of $[•] (or [[•]%] of the Purchase Price).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Firm Shares Payment and Delivery</w:t>
      </w:r>
      <w:r>
        <w:rPr>
          <w:rFonts w:ascii="Arial" w:cs="Arial" w:eastAsia="Arial" w:hAnsi="Arial"/>
          <w:sz w:val="18"/>
          <w:szCs w:val="18"/>
          <w:color w:val="auto"/>
        </w:rPr>
        <w:t>.</w:t>
      </w:r>
    </w:p>
    <w:p>
      <w:pPr>
        <w:spacing w:after="0" w:line="229" w:lineRule="exact"/>
        <w:rPr>
          <w:sz w:val="20"/>
          <w:szCs w:val="20"/>
          <w:color w:val="auto"/>
        </w:rPr>
      </w:pPr>
    </w:p>
    <w:p>
      <w:pPr>
        <w:jc w:val="both"/>
        <w:ind w:firstLine="1945"/>
        <w:spacing w:after="0" w:line="227" w:lineRule="auto"/>
        <w:rPr>
          <w:sz w:val="20"/>
          <w:szCs w:val="20"/>
          <w:color w:val="auto"/>
        </w:rPr>
      </w:pPr>
      <w:r>
        <w:rPr>
          <w:rFonts w:ascii="Arial" w:cs="Arial" w:eastAsia="Arial" w:hAnsi="Arial"/>
          <w:sz w:val="16"/>
          <w:szCs w:val="16"/>
          <w:color w:val="auto"/>
        </w:rPr>
        <w:t>(i) Delivery and payment for the Firm Shares shall be made at 10:00 a.m., Eastern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effective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of the Registration Statement (as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below)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 Registration Statement is declared effective after 4:01 p.m., Eastern time) or at such earlier time as shall be agreed upon by</w:t>
      </w:r>
    </w:p>
    <w:p>
      <w:pPr>
        <w:jc w:val="both"/>
        <w:spacing w:after="0" w:line="217" w:lineRule="auto"/>
        <w:rPr>
          <w:sz w:val="20"/>
          <w:szCs w:val="20"/>
          <w:color w:val="auto"/>
        </w:rPr>
      </w:pPr>
      <w:r>
        <w:rPr>
          <w:rFonts w:ascii="Arial" w:cs="Arial" w:eastAsia="Arial" w:hAnsi="Arial"/>
          <w:sz w:val="18"/>
          <w:szCs w:val="18"/>
          <w:color w:val="auto"/>
        </w:rPr>
        <w:t>the Representative and the Company, at the offices of Hunter Taubman Fischer &amp; Li LLC at 1450 Broadway,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10018 (“</w:t>
      </w:r>
      <w:r>
        <w:rPr>
          <w:rFonts w:ascii="Arial" w:cs="Arial" w:eastAsia="Arial" w:hAnsi="Arial"/>
          <w:sz w:val="18"/>
          <w:szCs w:val="18"/>
          <w:b w:val="1"/>
          <w:bCs w:val="1"/>
          <w:color w:val="auto"/>
        </w:rPr>
        <w:t>Representative’s Counsel</w:t>
      </w:r>
      <w:r>
        <w:rPr>
          <w:rFonts w:ascii="Arial" w:cs="Arial" w:eastAsia="Arial" w:hAnsi="Arial"/>
          <w:sz w:val="18"/>
          <w:szCs w:val="18"/>
          <w:color w:val="auto"/>
        </w:rPr>
        <w:t>”), or at such other place (or remotely by facsimile or other electronic transmission) as shall be agreed upon by the Representative and the Company. The hour and date of delivery and payment for the Firm Shares is called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1953"/>
        <w:spacing w:after="0" w:line="255" w:lineRule="auto"/>
        <w:tabs>
          <w:tab w:leader="none" w:pos="2221"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for the Firm Shares shall be made on the Closing Date by wire transfer in Federal (same day) funds, payable to the order of the Company upon delivery of the certificates (in form and substance satisfactory to the Underwriters) representing the Firm Shares (or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for the account of the Underwriters. The Firm Shares shall be registered in such name or names and in such authorized denominations as the Representative may request in writing at least two (2) full Business Days prior to the Closing Date. The Company shall not be obligated to sell or deliver the Firm Shares except upon tender of payment by the Representative for all of the Firm Shares. 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legal holiday or a day on which banking institutions are authorized or obligated by law to close in New York, New York.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Over-allotment Option</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16"/>
        <w:spacing w:after="0" w:line="29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Option Shares</w:t>
      </w:r>
      <w:r>
        <w:rPr>
          <w:rFonts w:ascii="Arial" w:cs="Arial" w:eastAsia="Arial" w:hAnsi="Arial"/>
          <w:sz w:val="16"/>
          <w:szCs w:val="16"/>
          <w:color w:val="auto"/>
        </w:rPr>
        <w:t>. For the purposes of covering any over-allotments in connection with the distribution and sale of the Firm Shares, the Company hereby grants to the Underwriters an option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to purchase, in the aggregate, up to [•] additional common shares of the Company, par value $0.0001 per share (the “</w:t>
      </w:r>
      <w:r>
        <w:rPr>
          <w:rFonts w:ascii="Arial" w:cs="Arial" w:eastAsia="Arial" w:hAnsi="Arial"/>
          <w:sz w:val="16"/>
          <w:szCs w:val="16"/>
          <w:b w:val="1"/>
          <w:bCs w:val="1"/>
          <w:color w:val="auto"/>
        </w:rPr>
        <w:t>Option Shares</w:t>
      </w:r>
      <w:r>
        <w:rPr>
          <w:rFonts w:ascii="Arial" w:cs="Arial" w:eastAsia="Arial" w:hAnsi="Arial"/>
          <w:sz w:val="16"/>
          <w:szCs w:val="16"/>
          <w:color w:val="auto"/>
        </w:rPr>
        <w:t>”, and along with the Firm Shares,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representing Fifteen percent (15%) of the Firm Shares sold in the offering, from the Company. The purchase price to be paid per Option Share shall be equal to the price per Option Share set forth in </w:t>
      </w:r>
      <w:r>
        <w:rPr>
          <w:rFonts w:ascii="Arial" w:cs="Arial" w:eastAsia="Arial" w:hAnsi="Arial"/>
          <w:sz w:val="16"/>
          <w:szCs w:val="16"/>
          <w:u w:val="single" w:color="auto"/>
          <w:color w:val="auto"/>
        </w:rPr>
        <w:t>Schedule 2-A</w:t>
      </w:r>
      <w:r>
        <w:rPr>
          <w:rFonts w:ascii="Arial" w:cs="Arial" w:eastAsia="Arial" w:hAnsi="Arial"/>
          <w:sz w:val="16"/>
          <w:szCs w:val="16"/>
          <w:color w:val="auto"/>
        </w:rPr>
        <w:t>. The Shares shall be issued directly by the Company and shall have the rights and privileges described in the Registration Statement, the Pricing Disclosure Package and the Prospectus referred to below. The offering and sale of the Shares is herein referred to as the “</w:t>
      </w:r>
      <w:r>
        <w:rPr>
          <w:rFonts w:ascii="Arial" w:cs="Arial" w:eastAsia="Arial" w:hAnsi="Arial"/>
          <w:sz w:val="16"/>
          <w:szCs w:val="16"/>
          <w:b w:val="1"/>
          <w:bCs w:val="1"/>
          <w:color w:val="auto"/>
        </w:rPr>
        <w:t>Offering</w:t>
      </w:r>
      <w:r>
        <w:rPr>
          <w:rFonts w:ascii="Arial" w:cs="Arial" w:eastAsia="Arial" w:hAnsi="Arial"/>
          <w:sz w:val="16"/>
          <w:szCs w:val="16"/>
          <w:color w:val="auto"/>
        </w:rPr>
        <w:t>.”</w:t>
      </w:r>
    </w:p>
    <w:p>
      <w:pPr>
        <w:spacing w:after="0" w:line="165" w:lineRule="exact"/>
        <w:rPr>
          <w:sz w:val="20"/>
          <w:szCs w:val="20"/>
          <w:color w:val="auto"/>
        </w:rPr>
      </w:pPr>
    </w:p>
    <w:p>
      <w:pPr>
        <w:jc w:val="both"/>
        <w:ind w:firstLine="121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Shares within forty-five (45) days after the Effective Date. The Underwriters shall not be under any obligation to purchase any the Option Shares prior to the exercise of the Over-allotment Option. The Over-allotment Option granted hereby may be exercised by the giving of written notice to the Company from the Representative, setting forth the number of the Option Shares to be purchased and the date and time for delivery of and payment for the Option Shares (the “</w:t>
      </w:r>
      <w:r>
        <w:rPr>
          <w:rFonts w:ascii="Arial" w:cs="Arial" w:eastAsia="Arial" w:hAnsi="Arial"/>
          <w:sz w:val="17"/>
          <w:szCs w:val="17"/>
          <w:b w:val="1"/>
          <w:bCs w:val="1"/>
          <w:color w:val="auto"/>
        </w:rPr>
        <w:t>Option Closing Date</w:t>
      </w:r>
      <w:r>
        <w:rPr>
          <w:rFonts w:ascii="Arial" w:cs="Arial" w:eastAsia="Arial" w:hAnsi="Arial"/>
          <w:sz w:val="17"/>
          <w:szCs w:val="17"/>
          <w:color w:val="auto"/>
        </w:rPr>
        <w:t xml:space="preserve">”), which shall not be later than five (5) full Business Days after the date of the notice or such other time as shall be agreed upon by the Company and the Representative, at the offices of Representative’s Counsel or at such other place (including remotely by facsimile or other electronic transmission) as shall be agreed upon by the Company and the Representative.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the Option Shares specified in such notice and (ii) each of the Underwriters, acting severally and not jointly, shall purchase that portion of the total number of the Option Shares then being purchased as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opposite the name of such Underwriter</w:t>
      </w:r>
    </w:p>
    <w:p>
      <w:pPr>
        <w:spacing w:after="0" w:line="180" w:lineRule="exact"/>
        <w:rPr>
          <w:sz w:val="20"/>
          <w:szCs w:val="20"/>
          <w:color w:val="auto"/>
        </w:rPr>
      </w:pPr>
    </w:p>
    <w:p>
      <w:pPr>
        <w:jc w:val="both"/>
        <w:ind w:firstLine="1216"/>
        <w:spacing w:after="0" w:line="29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for the Option Shares shall be made on the Option Closing Date by wire transfer in Federal (same day) funds, payable to the order of the Company upon delivery to you of certificates (in form and substance satisfactory to the Underwriters) representing the Option Shares (or through the facilities of DTC) for the account of the Underwriters. The Option Shares shall be registered in such name or names and in such authorized denominations as the Representative may request in writing at least two (2) full Business Days prior to the Option Closing Date. The Company shall not be obligated to sell or deliver the Option Shares except upon tender of payment by the Representative for applicable Option Shares.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firstLine="8"/>
        <w:spacing w:after="0" w:line="277"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of the Applicable Time (as defined below), as of the Closing Date and as of the Option Closing Date, if any,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 </w:t>
      </w:r>
      <w:r>
        <w:rPr>
          <w:rFonts w:ascii="Arial" w:cs="Arial" w:eastAsia="Arial" w:hAnsi="Arial"/>
          <w:sz w:val="18"/>
          <w:szCs w:val="18"/>
          <w:i w:val="1"/>
          <w:iCs w:val="1"/>
          <w:u w:val="single" w:color="auto"/>
          <w:color w:val="auto"/>
        </w:rPr>
        <w:t>Filing of Registration Statement</w:t>
      </w:r>
      <w:r>
        <w:rPr>
          <w:rFonts w:ascii="Arial" w:cs="Arial" w:eastAsia="Arial" w:hAnsi="Arial"/>
          <w:sz w:val="18"/>
          <w:szCs w:val="18"/>
          <w:i w:val="1"/>
          <w:iCs w:val="1"/>
          <w:color w:val="auto"/>
        </w:rPr>
        <w:t>.</w:t>
      </w:r>
    </w:p>
    <w:p>
      <w:pPr>
        <w:spacing w:after="0" w:line="22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Pursuant to the Securities Act</w:t>
      </w:r>
      <w:r>
        <w:rPr>
          <w:rFonts w:ascii="Arial" w:cs="Arial" w:eastAsia="Arial" w:hAnsi="Arial"/>
          <w:sz w:val="17"/>
          <w:szCs w:val="17"/>
          <w:color w:val="auto"/>
        </w:rPr>
        <w:t>. The Company has filed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and an amendment or amendments thereto, on Form F-1 (File No. 333-223956), including any related prospectus or prospectuses, for the registration of the Shares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which registration statement and amendment or amendments have been prepared by the Company in all material respects in conformity with the requirements of the Securities Act and the rules and regulations of the Commission under the Securities Act (the “</w:t>
      </w:r>
      <w:r>
        <w:rPr>
          <w:rFonts w:ascii="Arial" w:cs="Arial" w:eastAsia="Arial" w:hAnsi="Arial"/>
          <w:sz w:val="17"/>
          <w:szCs w:val="17"/>
          <w:b w:val="1"/>
          <w:bCs w:val="1"/>
          <w:color w:val="auto"/>
        </w:rPr>
        <w:t>Securities Act Regulations</w:t>
      </w:r>
      <w:r>
        <w:rPr>
          <w:rFonts w:ascii="Arial" w:cs="Arial" w:eastAsia="Arial" w:hAnsi="Arial"/>
          <w:sz w:val="17"/>
          <w:szCs w:val="17"/>
          <w:color w:val="auto"/>
        </w:rPr>
        <w:t>”) and will contain all material statements that are required to be stated therein in accordance with the Securities Act and the Securities Act Regulations.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and all information deemed to be a part thereof as of the Effective Date pursuant to paragraph (b) of Rule 430A of the Securities Act Regulations (the “</w:t>
      </w:r>
      <w:r>
        <w:rPr>
          <w:rFonts w:ascii="Arial" w:cs="Arial" w:eastAsia="Arial" w:hAnsi="Arial"/>
          <w:sz w:val="17"/>
          <w:szCs w:val="17"/>
          <w:b w:val="1"/>
          <w:bCs w:val="1"/>
          <w:color w:val="auto"/>
        </w:rPr>
        <w:t>Rule 430A</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is referred to herein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If the Company files any registration statement pursuant to Rule 462(b)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Regulations, then after such filing,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include such registration statement filed pursuant to Rule 462(b). The Registration Statement has been declared effective by the Commission on the date hereof.</w:t>
      </w:r>
    </w:p>
    <w:p>
      <w:pPr>
        <w:spacing w:after="0" w:line="184" w:lineRule="exact"/>
        <w:rPr>
          <w:sz w:val="20"/>
          <w:szCs w:val="20"/>
          <w:color w:val="auto"/>
        </w:rPr>
      </w:pPr>
    </w:p>
    <w:p>
      <w:pPr>
        <w:jc w:val="both"/>
        <w:ind w:firstLine="891"/>
        <w:spacing w:after="0" w:line="255" w:lineRule="auto"/>
        <w:rPr>
          <w:sz w:val="20"/>
          <w:szCs w:val="20"/>
          <w:color w:val="auto"/>
        </w:rPr>
      </w:pPr>
      <w:r>
        <w:rPr>
          <w:rFonts w:ascii="Arial" w:cs="Arial" w:eastAsia="Arial" w:hAnsi="Arial"/>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Arial" w:cs="Arial" w:eastAsia="Arial" w:hAnsi="Arial"/>
          <w:sz w:val="18"/>
          <w:szCs w:val="18"/>
          <w:b w:val="1"/>
          <w:bCs w:val="1"/>
          <w:color w:val="auto"/>
        </w:rPr>
        <w:t>Preliminary Prospectus</w:t>
      </w:r>
      <w:r>
        <w:rPr>
          <w:rFonts w:ascii="Arial" w:cs="Arial" w:eastAsia="Arial" w:hAnsi="Arial"/>
          <w:sz w:val="18"/>
          <w:szCs w:val="18"/>
          <w:color w:val="auto"/>
        </w:rPr>
        <w:t>.” The Preliminary Prospectus, subject to completion, dated April 24, 2018, that was included in the Registration Statement immediately prior to the Applicable Time is hereinafter called the “Pricing Prospectus.” The final prospectus in the form first furnished to the Underwriters for use in the Offering is hereinafter called the “</w:t>
      </w:r>
      <w:r>
        <w:rPr>
          <w:rFonts w:ascii="Arial" w:cs="Arial" w:eastAsia="Arial" w:hAnsi="Arial"/>
          <w:sz w:val="18"/>
          <w:szCs w:val="18"/>
          <w:b w:val="1"/>
          <w:bCs w:val="1"/>
          <w:color w:val="auto"/>
        </w:rPr>
        <w:t>Prospectus</w:t>
      </w:r>
      <w:r>
        <w:rPr>
          <w:rFonts w:ascii="Arial" w:cs="Arial" w:eastAsia="Arial" w:hAnsi="Arial"/>
          <w:sz w:val="18"/>
          <w:szCs w:val="18"/>
          <w:color w:val="auto"/>
        </w:rPr>
        <w:t>.” Any reference to the “most recent Preliminary Prospectus” shall be deemed to refer to the latest Preliminary Prospectus included in the Registration Statement.</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[TIME] [a.m. / p.m.], Eastern time, on the date of this Agreement.</w:t>
      </w:r>
    </w:p>
    <w:p>
      <w:pPr>
        <w:spacing w:after="0" w:line="225" w:lineRule="exact"/>
        <w:rPr>
          <w:sz w:val="20"/>
          <w:szCs w:val="20"/>
          <w:color w:val="auto"/>
        </w:rPr>
      </w:pPr>
    </w:p>
    <w:p>
      <w:pPr>
        <w:jc w:val="both"/>
        <w:ind w:firstLine="8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means any “issuer free writing prospectus,” as defined in Rule 433 of the Securities Act Regulations (“</w:t>
      </w:r>
      <w:r>
        <w:rPr>
          <w:rFonts w:ascii="Arial" w:cs="Arial" w:eastAsia="Arial" w:hAnsi="Arial"/>
          <w:sz w:val="17"/>
          <w:szCs w:val="17"/>
          <w:b w:val="1"/>
          <w:bCs w:val="1"/>
          <w:color w:val="auto"/>
        </w:rPr>
        <w:t>Rule</w:t>
      </w:r>
      <w:r>
        <w:rPr>
          <w:rFonts w:ascii="Arial" w:cs="Arial" w:eastAsia="Arial" w:hAnsi="Arial"/>
          <w:sz w:val="17"/>
          <w:szCs w:val="17"/>
          <w:color w:val="auto"/>
        </w:rPr>
        <w:t xml:space="preserve"> </w:t>
      </w:r>
      <w:r>
        <w:rPr>
          <w:rFonts w:ascii="Arial" w:cs="Arial" w:eastAsia="Arial" w:hAnsi="Arial"/>
          <w:sz w:val="17"/>
          <w:szCs w:val="17"/>
          <w:b w:val="1"/>
          <w:bCs w:val="1"/>
          <w:color w:val="auto"/>
        </w:rPr>
        <w:t>433</w:t>
      </w:r>
      <w:r>
        <w:rPr>
          <w:rFonts w:ascii="Arial" w:cs="Arial" w:eastAsia="Arial" w:hAnsi="Arial"/>
          <w:sz w:val="17"/>
          <w:szCs w:val="17"/>
          <w:color w:val="auto"/>
        </w:rPr>
        <w:t>”), including without limitation any “free writing prospectus” (as defined in Rule 405 of the Securities Act Regulations) relating to the Shares that is (i)</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w:t>
      </w:r>
    </w:p>
    <w:p>
      <w:pPr>
        <w:spacing w:after="0" w:line="174" w:lineRule="exact"/>
        <w:rPr>
          <w:sz w:val="20"/>
          <w:szCs w:val="20"/>
          <w:color w:val="auto"/>
        </w:rPr>
      </w:pPr>
    </w:p>
    <w:p>
      <w:pPr>
        <w:jc w:val="both"/>
        <w:ind w:firstLine="8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General Use Free Writing Prospectus</w:t>
      </w:r>
      <w:r>
        <w:rPr>
          <w:rFonts w:ascii="Arial" w:cs="Arial" w:eastAsia="Arial" w:hAnsi="Arial"/>
          <w:sz w:val="18"/>
          <w:szCs w:val="18"/>
          <w:color w:val="auto"/>
        </w:rPr>
        <w:t>”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w:t>
      </w:r>
      <w:r>
        <w:rPr>
          <w:rFonts w:ascii="Arial" w:cs="Arial" w:eastAsia="Arial" w:hAnsi="Arial"/>
          <w:sz w:val="18"/>
          <w:szCs w:val="18"/>
          <w:b w:val="1"/>
          <w:bCs w:val="1"/>
          <w:color w:val="auto"/>
        </w:rPr>
        <w:t>Bona Fide Electronic Road Show</w:t>
      </w:r>
      <w:r>
        <w:rPr>
          <w:rFonts w:ascii="Arial" w:cs="Arial" w:eastAsia="Arial" w:hAnsi="Arial"/>
          <w:sz w:val="18"/>
          <w:szCs w:val="18"/>
          <w:color w:val="auto"/>
        </w:rPr>
        <w:t xml:space="preserve">”)), as evidenced by its being specified in </w:t>
      </w:r>
      <w:r>
        <w:rPr>
          <w:rFonts w:ascii="Arial" w:cs="Arial" w:eastAsia="Arial" w:hAnsi="Arial"/>
          <w:sz w:val="18"/>
          <w:szCs w:val="18"/>
          <w:u w:val="single" w:color="auto"/>
          <w:color w:val="auto"/>
        </w:rPr>
        <w:t>Schedule 2-B</w:t>
      </w:r>
      <w:r>
        <w:rPr>
          <w:rFonts w:ascii="Arial" w:cs="Arial" w:eastAsia="Arial" w:hAnsi="Arial"/>
          <w:sz w:val="18"/>
          <w:szCs w:val="18"/>
          <w:color w:val="auto"/>
        </w:rPr>
        <w:t xml:space="preserve"> hereto.</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Limited Use Free Writing Prospectus</w:t>
      </w:r>
      <w:r>
        <w:rPr>
          <w:rFonts w:ascii="Arial" w:cs="Arial" w:eastAsia="Arial" w:hAnsi="Arial"/>
          <w:sz w:val="17"/>
          <w:szCs w:val="17"/>
          <w:color w:val="auto"/>
        </w:rPr>
        <w:t>” means any Issuer Free Writing Prospectus that is not an Issuer General Use Free Writing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7" w:lineRule="exact"/>
        <w:rPr>
          <w:sz w:val="20"/>
          <w:szCs w:val="20"/>
          <w:color w:val="auto"/>
        </w:rPr>
      </w:pPr>
    </w:p>
    <w:p>
      <w:pPr>
        <w:jc w:val="both"/>
        <w:ind w:firstLine="8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any Issuer General Use Free Writing Prospectus issued at or prior to the Applicable Time, the Pricing Prospectus and the information included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hereto, all considered together.</w:t>
      </w:r>
    </w:p>
    <w:p>
      <w:pPr>
        <w:spacing w:after="0" w:line="16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Pursuant to the Exchange Act</w:t>
      </w:r>
      <w:r>
        <w:rPr>
          <w:rFonts w:ascii="Arial" w:cs="Arial" w:eastAsia="Arial" w:hAnsi="Arial"/>
          <w:sz w:val="17"/>
          <w:szCs w:val="17"/>
          <w:color w:val="auto"/>
        </w:rPr>
        <w:t>. The Company has filed with the Commission a Form 8-A (File Number [ ● ]) providing for the registration pursuant to Section 12(b)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of the common shares of the Company. The registration of the common shares of the Company under the Exchange Act has become effective on or prior to the date hereof. The Company has taken no action designed to, or likely to have the effect of, terminating the registration of the common shares of the Company under the Exchange Act, nor has the Company received any notification that the Commission is contemplating terminating such registration.</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2.2. </w:t>
      </w:r>
      <w:r>
        <w:rPr>
          <w:rFonts w:ascii="Arial" w:cs="Arial" w:eastAsia="Arial" w:hAnsi="Arial"/>
          <w:sz w:val="16"/>
          <w:szCs w:val="16"/>
          <w:i w:val="1"/>
          <w:iCs w:val="1"/>
          <w:u w:val="single" w:color="auto"/>
          <w:color w:val="auto"/>
        </w:rPr>
        <w:t>Share Exchange Listing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and the common shares underlying the Warrants have been approved for listing on the NASDAQ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 (the “</w:t>
      </w:r>
      <w:r>
        <w:rPr>
          <w:rFonts w:ascii="Arial" w:cs="Arial" w:eastAsia="Arial" w:hAnsi="Arial"/>
          <w:sz w:val="16"/>
          <w:szCs w:val="16"/>
          <w:b w:val="1"/>
          <w:bCs w:val="1"/>
          <w:color w:val="auto"/>
        </w:rPr>
        <w:t>Exchange</w:t>
      </w:r>
      <w:r>
        <w:rPr>
          <w:rFonts w:ascii="Arial" w:cs="Arial" w:eastAsia="Arial" w:hAnsi="Arial"/>
          <w:sz w:val="16"/>
          <w:szCs w:val="16"/>
          <w:color w:val="auto"/>
        </w:rPr>
        <w:t>”), and the Company has taken no action designed to, or likely to have the effect of, delisting of the Shares and the common shares underlying the Warrants from the Exchange, nor has the Company received any notification that the Exchange is contemplating terminating such listing.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2.3. </w:t>
      </w:r>
      <w:r>
        <w:rPr>
          <w:rFonts w:ascii="Arial" w:cs="Arial" w:eastAsia="Arial" w:hAnsi="Arial"/>
          <w:sz w:val="18"/>
          <w:szCs w:val="18"/>
          <w:i w:val="1"/>
          <w:iCs w:val="1"/>
          <w:u w:val="single" w:color="auto"/>
          <w:color w:val="auto"/>
        </w:rPr>
        <w:t>No Stop Orders, etc</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Commission nor, to the Company’s knowledge, any state regulatory authority has issued any order preventing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2.4. </w:t>
      </w:r>
      <w:r>
        <w:rPr>
          <w:rFonts w:ascii="Arial" w:cs="Arial" w:eastAsia="Arial" w:hAnsi="Arial"/>
          <w:sz w:val="18"/>
          <w:szCs w:val="18"/>
          <w:i w:val="1"/>
          <w:iCs w:val="1"/>
          <w:u w:val="single" w:color="auto"/>
          <w:color w:val="auto"/>
        </w:rPr>
        <w:t>Disclosures in Registration Statement</w:t>
      </w:r>
      <w:r>
        <w:rPr>
          <w:rFonts w:ascii="Arial" w:cs="Arial" w:eastAsia="Arial" w:hAnsi="Arial"/>
          <w:sz w:val="18"/>
          <w:szCs w:val="18"/>
          <w:i w:val="1"/>
          <w:i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Compliance with Securities Act and 10b-5 Representation</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93" w:lineRule="auto"/>
        <w:tabs>
          <w:tab w:leader="none" w:pos="2172"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jc w:val="both"/>
        <w:ind w:firstLine="1953"/>
        <w:spacing w:after="0" w:line="264" w:lineRule="auto"/>
        <w:tabs>
          <w:tab w:leader="none" w:pos="2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w:t>
      </w:r>
    </w:p>
    <w:p>
      <w:pPr>
        <w:spacing w:after="0" w:line="181" w:lineRule="exact"/>
        <w:rPr>
          <w:rFonts w:ascii="Arial" w:cs="Arial" w:eastAsia="Arial" w:hAnsi="Arial"/>
          <w:sz w:val="18"/>
          <w:szCs w:val="18"/>
          <w:color w:val="auto"/>
        </w:rPr>
      </w:pPr>
    </w:p>
    <w:p>
      <w:pPr>
        <w:jc w:val="both"/>
        <w:ind w:firstLine="1953"/>
        <w:spacing w:after="0" w:line="289" w:lineRule="auto"/>
        <w:tabs>
          <w:tab w:leader="none" w:pos="2271"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statements made in reliance upon and in conformity with written information furnished to the Company in writing with respect to the Underwriters by the Representative expressly for use in the Registration Statement, the Pricing Prospectus or the Prospectus or any amendment thereof or supplement thereto (the “</w:t>
      </w:r>
      <w:r>
        <w:rPr>
          <w:rFonts w:ascii="Arial" w:cs="Arial" w:eastAsia="Arial" w:hAnsi="Arial"/>
          <w:sz w:val="16"/>
          <w:szCs w:val="16"/>
          <w:b w:val="1"/>
          <w:bCs w:val="1"/>
          <w:color w:val="auto"/>
        </w:rPr>
        <w:t>Underwriters’ Information</w:t>
      </w:r>
      <w:r>
        <w:rPr>
          <w:rFonts w:ascii="Arial" w:cs="Arial" w:eastAsia="Arial" w:hAnsi="Arial"/>
          <w:sz w:val="16"/>
          <w:szCs w:val="16"/>
          <w:color w:val="auto"/>
        </w:rPr>
        <w:t>”); and</w:t>
      </w:r>
    </w:p>
    <w:p>
      <w:pPr>
        <w:spacing w:after="0" w:line="166" w:lineRule="exact"/>
        <w:rPr>
          <w:rFonts w:ascii="Arial" w:cs="Arial" w:eastAsia="Arial" w:hAnsi="Arial"/>
          <w:sz w:val="16"/>
          <w:szCs w:val="16"/>
          <w:color w:val="auto"/>
        </w:rPr>
      </w:pPr>
    </w:p>
    <w:p>
      <w:pPr>
        <w:jc w:val="both"/>
        <w:ind w:firstLine="1953"/>
        <w:spacing w:after="0" w:line="257" w:lineRule="auto"/>
        <w:tabs>
          <w:tab w:leader="none" w:pos="2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the Underwriters’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1297"/>
        <w:spacing w:after="0" w:line="267"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filed as an exhibit to the Registration Statement, the Pricing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for any default or event which would not reasonably be expected to result in a Material Adverse Change.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(each, a “</w:t>
      </w:r>
      <w:r>
        <w:rPr>
          <w:rFonts w:ascii="Arial" w:cs="Arial" w:eastAsia="Arial" w:hAnsi="Arial"/>
          <w:sz w:val="17"/>
          <w:szCs w:val="17"/>
          <w:b w:val="1"/>
          <w:bCs w:val="1"/>
          <w:color w:val="auto"/>
        </w:rPr>
        <w:t>Governmental Entity</w:t>
      </w:r>
      <w:r>
        <w:rPr>
          <w:rFonts w:ascii="Arial" w:cs="Arial" w:eastAsia="Arial" w:hAnsi="Arial"/>
          <w:sz w:val="17"/>
          <w:szCs w:val="17"/>
          <w:color w:val="auto"/>
        </w:rPr>
        <w:t>”), including, without limitation, those relating to environmental laws and regulations, except for any violation which would not reasonably be expected to result in a Material Adverse Change.</w:t>
      </w:r>
    </w:p>
    <w:p>
      <w:pPr>
        <w:spacing w:after="0" w:line="19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2.4.3. </w:t>
      </w:r>
      <w:r>
        <w:rPr>
          <w:rFonts w:ascii="Arial" w:cs="Arial" w:eastAsia="Arial" w:hAnsi="Arial"/>
          <w:sz w:val="17"/>
          <w:szCs w:val="17"/>
          <w:u w:val="single" w:color="auto"/>
          <w:color w:val="auto"/>
        </w:rPr>
        <w:t>Prior Securities Transactions</w:t>
      </w:r>
      <w:r>
        <w:rPr>
          <w:rFonts w:ascii="Arial" w:cs="Arial" w:eastAsia="Arial" w:hAnsi="Arial"/>
          <w:sz w:val="17"/>
          <w:szCs w:val="17"/>
          <w:color w:val="auto"/>
        </w:rPr>
        <w:t>. During the past three (3) years from the date of this Agreement, no securities of the Company have been sold by the Company or by or on behalf of, or for the benefit of, any person or persons controlling, controlled by or under common control with the Company, except as disclosed in the Registration Statement, the Pricing Disclosure Package and any Preliminary Prospectus.</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u w:val="single" w:color="auto"/>
          <w:color w:val="auto"/>
        </w:rPr>
        <w:t>Regulations</w:t>
      </w:r>
      <w:r>
        <w:rPr>
          <w:rFonts w:ascii="Arial" w:cs="Arial" w:eastAsia="Arial" w:hAnsi="Arial"/>
          <w:sz w:val="18"/>
          <w:szCs w:val="18"/>
          <w:color w:val="auto"/>
        </w:rPr>
        <w:t>. The disclosures in the Registration Statement, the Pricing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Pricing Disclosure Package and the Prospectus which are not so disclosed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2.5. </w:t>
      </w:r>
      <w:r>
        <w:rPr>
          <w:rFonts w:ascii="Arial" w:cs="Arial" w:eastAsia="Arial" w:hAnsi="Arial"/>
          <w:sz w:val="18"/>
          <w:szCs w:val="18"/>
          <w:i w:val="1"/>
          <w:iCs w:val="1"/>
          <w:u w:val="single" w:color="auto"/>
          <w:color w:val="auto"/>
        </w:rPr>
        <w:t>Changes After Dates in Registration Statement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respective dates as of which information is given in the Registration Statement, the Pricing Disclosure Package and the Prospectus, except as otherwise specifically stated therein: (i) there has been no material adverse change in the financial position or results of operations of the Company or its Subsidiaries taken as a whole, nor any change or development that, singularly or in the aggregate, would involve a material adverse change in or affecting the condition (financial or otherwise), results of operations, business, or assets of the Company or its Subsidiaries taken as a whole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there have been no material transactions entered into by the Company or its Subsidiaries, other than as contemplated pursuant to this Agreement; and (iii) no officer or director of the Company has resigned from any position with the Company.</w:t>
      </w:r>
    </w:p>
    <w:p>
      <w:pPr>
        <w:spacing w:after="0" w:line="16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Recent Securities Transactions, etc</w:t>
      </w:r>
      <w:r>
        <w:rPr>
          <w:rFonts w:ascii="Arial" w:cs="Arial" w:eastAsia="Arial" w:hAnsi="Arial"/>
          <w:sz w:val="16"/>
          <w:szCs w:val="16"/>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Share.</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2.6. </w:t>
      </w:r>
      <w:r>
        <w:rPr>
          <w:rFonts w:ascii="Arial" w:cs="Arial" w:eastAsia="Arial" w:hAnsi="Arial"/>
          <w:sz w:val="18"/>
          <w:szCs w:val="18"/>
          <w:i w:val="1"/>
          <w:iCs w:val="1"/>
          <w:u w:val="single" w:color="auto"/>
          <w:color w:val="auto"/>
        </w:rPr>
        <w:t>Independent Accountants</w:t>
      </w:r>
      <w:r>
        <w:rPr>
          <w:rFonts w:ascii="Arial" w:cs="Arial" w:eastAsia="Arial" w:hAnsi="Arial"/>
          <w:sz w:val="18"/>
          <w:szCs w:val="18"/>
          <w:color w:val="auto"/>
        </w:rPr>
        <w:t>. To the knowledge of the Company, Friedman LLP (“</w:t>
      </w:r>
      <w:r>
        <w:rPr>
          <w:rFonts w:ascii="Arial" w:cs="Arial" w:eastAsia="Arial" w:hAnsi="Arial"/>
          <w:sz w:val="18"/>
          <w:szCs w:val="18"/>
          <w:b w:val="1"/>
          <w:bCs w:val="1"/>
          <w:color w:val="auto"/>
        </w:rPr>
        <w:t>Auditor</w:t>
      </w:r>
      <w:r>
        <w:rPr>
          <w:rFonts w:ascii="Arial" w:cs="Arial" w:eastAsia="Arial" w:hAnsi="Arial"/>
          <w:sz w:val="18"/>
          <w:szCs w:val="18"/>
          <w:color w:val="auto"/>
        </w:rPr>
        <w:t>”), whose report is filed with the Commission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 is an independent registered public accounting firm as required by the Securities Act and the Securities Act Regulations and the Public Company Accounting Oversight Board. The Auditor has not, during the periods covered by the financial statements included in the Registration Statement, the Pricing Disclosure Package and the Prospectus, provided to the Company any non-audit services, as such term is used in Section 10A(g) of the Exchange 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2.7. </w:t>
      </w:r>
      <w:r>
        <w:rPr>
          <w:rFonts w:ascii="Arial" w:cs="Arial" w:eastAsia="Arial" w:hAnsi="Arial"/>
          <w:sz w:val="16"/>
          <w:szCs w:val="16"/>
          <w:i w:val="1"/>
          <w:iCs w:val="1"/>
          <w:u w:val="single" w:color="auto"/>
          <w:color w:val="auto"/>
        </w:rPr>
        <w:t>Financial Statements, etc</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including the notes thereto and supporting schedules, if 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fairly present in all material respects the financial position and the results of operations of the Company at the dates and for the periods to which they apply; and such financial statements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throughout the periods involved (provided that unaudited interim financial statements are subject to year-end audit adjustments that are not expected to be material in the aggregate and do not contain all footnotes required by GAAP); and any supporting schedules included in the Registration Statement present fairly in all material respects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in all material respects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neither the Company nor any of its subsidiaries listed in Exhibit 21.1 to the Registration Statement (each, a “</w:t>
      </w:r>
      <w:r>
        <w:rPr>
          <w:rFonts w:ascii="Arial" w:cs="Arial" w:eastAsia="Arial" w:hAnsi="Arial"/>
          <w:sz w:val="16"/>
          <w:szCs w:val="16"/>
          <w:b w:val="1"/>
          <w:bCs w:val="1"/>
          <w:color w:val="auto"/>
        </w:rPr>
        <w:t>Subsidiary</w:t>
      </w:r>
      <w:r>
        <w:rPr>
          <w:rFonts w:ascii="Arial" w:cs="Arial" w:eastAsia="Arial" w:hAnsi="Arial"/>
          <w:sz w:val="16"/>
          <w:szCs w:val="16"/>
          <w:color w:val="auto"/>
        </w:rPr>
        <w:t>” and,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has incurred any material liabilities or obligations, direct or contingent, or entered into any material transactions other than in the ordinary course of business, (b) the Company has not declared or paid any dividends or made any distribution of any kind with respect to its common shares (c) there has not been any change in the capital of the Company or any of its Subsidiaries, or, other than in the course of business, any grants under any stock compensation plan, and (d) there has not been any Material Adverse Change in the Company’s long-term or short-term debt. The Company represents that it has no direct or indirect subsidiaries other than those listed in Exhibit 21.1 to the Registration Statement.</w:t>
      </w:r>
    </w:p>
    <w:p>
      <w:pPr>
        <w:spacing w:after="0" w:line="3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2.8. </w:t>
      </w:r>
      <w:r>
        <w:rPr>
          <w:rFonts w:ascii="Arial" w:cs="Arial" w:eastAsia="Arial" w:hAnsi="Arial"/>
          <w:sz w:val="16"/>
          <w:szCs w:val="16"/>
          <w:i w:val="1"/>
          <w:iCs w:val="1"/>
          <w:u w:val="single" w:color="auto"/>
          <w:color w:val="auto"/>
        </w:rPr>
        <w:t>Authorized Capital; Options, etc</w:t>
      </w:r>
      <w:r>
        <w:rPr>
          <w:rFonts w:ascii="Arial" w:cs="Arial" w:eastAsia="Arial" w:hAnsi="Arial"/>
          <w:sz w:val="16"/>
          <w:szCs w:val="16"/>
          <w:color w:val="auto"/>
        </w:rPr>
        <w:t>. The Company had, at the date or dates indicated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the duly authorized, issued and outstanding capitalization as set forth therein. Based on the assumptions stated in the Registration Statement, the Pricing Disclosure Package and the Prospectus, the Company will have on the Closing Date the adjusted capitalization set forth therein. Except as set forth in, or contemplated by, the Registration Statement, the Pricing Disclosure Package and the Prospectus, on the Effective Date, as of the Applicable Time and on the Closing Date and any Option Closing Date, there will be no options, warrants, or other rights to purchase or otherwise acquire any authorized, but unissued common shares of the Company or any security convertible or exercisable into common shares of the Company, or any contracts or commitments to issue or sell common shares of the Company or any such options, warrants, rights or convertible securities.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2.9. </w:t>
      </w:r>
      <w:r>
        <w:rPr>
          <w:rFonts w:ascii="Arial" w:cs="Arial" w:eastAsia="Arial" w:hAnsi="Arial"/>
          <w:sz w:val="18"/>
          <w:szCs w:val="18"/>
          <w:i w:val="1"/>
          <w:iCs w:val="1"/>
          <w:u w:val="single" w:color="auto"/>
          <w:color w:val="auto"/>
        </w:rPr>
        <w:t>Valid Issuance of Securities, etc.</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u w:val="single" w:color="auto"/>
          <w:color w:val="auto"/>
        </w:rPr>
        <w:t>Outstanding Securities</w:t>
      </w:r>
      <w:r>
        <w:rPr>
          <w:rFonts w:ascii="Arial" w:cs="Arial" w:eastAsia="Arial" w:hAnsi="Arial"/>
          <w:sz w:val="16"/>
          <w:szCs w:val="16"/>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Shares conform in all material respects to all statements relating thereto contained in the Registration Statement, the Pricing Disclosure Package and the Prospectus. The offers and sales of the outstanding common shares of the Company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1297"/>
        <w:spacing w:after="0" w:line="290"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Securities Sold Pursuant to this Agreement</w:t>
      </w:r>
      <w:r>
        <w:rPr>
          <w:rFonts w:ascii="Arial" w:cs="Arial" w:eastAsia="Arial" w:hAnsi="Arial"/>
          <w:sz w:val="16"/>
          <w:szCs w:val="16"/>
          <w:color w:val="auto"/>
        </w:rPr>
        <w:t>. The Shares and Underwriters’ Warrants have been duly authorized for issuance and sale and, when issued and paid for, will be validly issued, fully paid and non-assessable; the holders thereof are not and will not be subject to personal liability by reason of being such holders; the Shares and Underwriters’ Warrants are not and will not be subject to the preemptive rights of any holders of any security of the Company or similar contractual rights granted by the Company; and all corporate action required to be taken for the authorization, issuance and sale of the Shares and Underwriters’ Warrants has been duly and validly taken; the common shares issuable upon exercise of the Underwriters’ Warrants have been duly authorized and reserved for issuance by all necessary corporate action on the part of the Company and when issued in accordance with such Underwriter’s Warrants, as the case may be, such common shares will be validly issued, fully paid and non-assessable. The Shares and the Underwriters’ Warrants conform in all material respects to all statements with respect thereto contained in the Registration Statement, the Pricing Disclosure Package and the Prospectus.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2.10. </w:t>
      </w:r>
      <w:r>
        <w:rPr>
          <w:rFonts w:ascii="Arial" w:cs="Arial" w:eastAsia="Arial" w:hAnsi="Arial"/>
          <w:sz w:val="18"/>
          <w:szCs w:val="18"/>
          <w:i w:val="1"/>
          <w:iCs w:val="1"/>
          <w:u w:val="single" w:color="auto"/>
          <w:color w:val="auto"/>
        </w:rPr>
        <w:t>Registration Rights of Third Parties</w:t>
      </w:r>
      <w:r>
        <w:rPr>
          <w:rFonts w:ascii="Arial" w:cs="Arial" w:eastAsia="Arial" w:hAnsi="Arial"/>
          <w:sz w:val="18"/>
          <w:szCs w:val="18"/>
          <w:color w:val="auto"/>
        </w:rPr>
        <w:t>. Except as set forth in the Registration Statement, the Pricing Disclosure Package and the Prospectus, no</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2.11. </w:t>
      </w:r>
      <w:r>
        <w:rPr>
          <w:rFonts w:ascii="Arial" w:cs="Arial" w:eastAsia="Arial" w:hAnsi="Arial"/>
          <w:sz w:val="18"/>
          <w:szCs w:val="18"/>
          <w:i w:val="1"/>
          <w:iCs w:val="1"/>
          <w:u w:val="single" w:color="auto"/>
          <w:color w:val="auto"/>
        </w:rPr>
        <w:t>Validity and Binding Effect of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has been duly and validly authorized by the Company, and, when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will constitute, the valid and binding agreement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2.12. </w:t>
      </w:r>
      <w:r>
        <w:rPr>
          <w:rFonts w:ascii="Arial" w:cs="Arial" w:eastAsia="Arial" w:hAnsi="Arial"/>
          <w:sz w:val="16"/>
          <w:szCs w:val="16"/>
          <w:i w:val="1"/>
          <w:iCs w:val="1"/>
          <w:u w:val="single" w:color="auto"/>
          <w:color w:val="auto"/>
        </w:rPr>
        <w:t>No Conflicts, etc</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all ancillary documents, the consummation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Memorandum and Articles of Association (as the same may be amended or restated from time to time, the “</w:t>
      </w:r>
      <w:r>
        <w:rPr>
          <w:rFonts w:ascii="Arial" w:cs="Arial" w:eastAsia="Arial" w:hAnsi="Arial"/>
          <w:sz w:val="16"/>
          <w:szCs w:val="16"/>
          <w:b w:val="1"/>
          <w:bCs w:val="1"/>
          <w:color w:val="auto"/>
        </w:rPr>
        <w:t>Charter</w:t>
      </w:r>
      <w:r>
        <w:rPr>
          <w:rFonts w:ascii="Arial" w:cs="Arial" w:eastAsia="Arial" w:hAnsi="Arial"/>
          <w:sz w:val="16"/>
          <w:szCs w:val="16"/>
          <w:color w:val="auto"/>
        </w:rPr>
        <w:t>”) or the by-laws of the Company; or (iii) violate any existing applicable law, rule, regulation, judgment, order or decree of any Governmental Entity as of the date hereof.</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2.13. </w:t>
      </w:r>
      <w:r>
        <w:rPr>
          <w:rFonts w:ascii="Arial" w:cs="Arial" w:eastAsia="Arial" w:hAnsi="Arial"/>
          <w:sz w:val="17"/>
          <w:szCs w:val="17"/>
          <w:i w:val="1"/>
          <w:iCs w:val="1"/>
          <w:u w:val="single" w:color="auto"/>
          <w:color w:val="auto"/>
        </w:rPr>
        <w:t>No Defaults; Violations</w:t>
      </w:r>
      <w:r>
        <w:rPr>
          <w:rFonts w:ascii="Arial" w:cs="Arial" w:eastAsia="Arial" w:hAnsi="Arial"/>
          <w:sz w:val="17"/>
          <w:szCs w:val="17"/>
          <w:i w:val="1"/>
          <w:iCs w:val="1"/>
          <w:color w:val="auto"/>
        </w:rPr>
        <w:t xml:space="preserve">. </w:t>
      </w:r>
      <w:r>
        <w:rPr>
          <w:rFonts w:ascii="Arial" w:cs="Arial" w:eastAsia="Arial" w:hAnsi="Arial"/>
          <w:sz w:val="17"/>
          <w:szCs w:val="17"/>
          <w:color w:val="auto"/>
        </w:rPr>
        <w:t>No material default exists in the due performance and observance of any term, covenant or condition of any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 in violation of any term or provision of its Charter or by-laws, or (ii) in violation of any franchise, license, permit, applicable law, rule, regulation, judgment or decree of any Governmental Entity, except in the cases of clause (ii) for such violations which would not reasonably be expected to cause a Material Adverse Change.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i w:val="1"/>
          <w:iCs w:val="1"/>
          <w:color w:val="auto"/>
        </w:rPr>
        <w:t xml:space="preserve">2.14. </w:t>
      </w:r>
      <w:r>
        <w:rPr>
          <w:rFonts w:ascii="Arial" w:cs="Arial" w:eastAsia="Arial" w:hAnsi="Arial"/>
          <w:sz w:val="18"/>
          <w:szCs w:val="18"/>
          <w:i w:val="1"/>
          <w:iCs w:val="1"/>
          <w:u w:val="single" w:color="auto"/>
          <w:color w:val="auto"/>
        </w:rPr>
        <w:t>Corporate Power; Licenses; Consents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Except as described in the Registration Statement, the Pricing Disclosure Package and the Prospectus,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Registration Statement, the Pricing Disclosure Package and the Prospectus, except for the absence of which would not reasonably be expected to have a Material Adverse Change.</w:t>
      </w:r>
    </w:p>
    <w:p>
      <w:pPr>
        <w:spacing w:after="0" w:line="15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Transactions Contemplated Herein</w:t>
      </w:r>
      <w:r>
        <w:rPr>
          <w:rFonts w:ascii="Arial" w:cs="Arial" w:eastAsia="Arial" w:hAnsi="Arial"/>
          <w:sz w:val="16"/>
          <w:szCs w:val="16"/>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the Exchange or other body is required for the valid issuance, sale and delivery of the Shares and the consummation of the transactions and agreements contemplated by this Agreement and the delivery of the Underwriters’ Warrants and as contemplated by the Registration Statement, the Pricing Disclosure Package and the Prospectus, except with respect to applicable Securities Act Regulations, state securities laws and the rules and regulations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2.15. </w:t>
      </w:r>
      <w:r>
        <w:rPr>
          <w:rFonts w:ascii="Arial" w:cs="Arial" w:eastAsia="Arial" w:hAnsi="Arial"/>
          <w:sz w:val="18"/>
          <w:szCs w:val="18"/>
          <w:i w:val="1"/>
          <w:iCs w:val="1"/>
          <w:u w:val="single" w:color="auto"/>
          <w:color w:val="auto"/>
        </w:rPr>
        <w:t>D&amp;O Questionnaires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Company’s knowledge, without investigation, all information contained in the questionnaires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Questionnaires</w:t>
      </w:r>
      <w:r>
        <w:rPr>
          <w:rFonts w:ascii="Arial" w:cs="Arial" w:eastAsia="Arial" w:hAnsi="Arial"/>
          <w:sz w:val="18"/>
          <w:szCs w:val="18"/>
          <w:color w:val="auto"/>
        </w:rPr>
        <w:t>”) completed by each of the Company’s directors and officers immediately prior to the Offering (the “</w:t>
      </w:r>
      <w:r>
        <w:rPr>
          <w:rFonts w:ascii="Arial" w:cs="Arial" w:eastAsia="Arial" w:hAnsi="Arial"/>
          <w:sz w:val="18"/>
          <w:szCs w:val="18"/>
          <w:b w:val="1"/>
          <w:bCs w:val="1"/>
          <w:color w:val="auto"/>
        </w:rPr>
        <w:t>Insiders</w:t>
      </w:r>
      <w:r>
        <w:rPr>
          <w:rFonts w:ascii="Arial" w:cs="Arial" w:eastAsia="Arial" w:hAnsi="Arial"/>
          <w:sz w:val="18"/>
          <w:szCs w:val="18"/>
          <w:color w:val="auto"/>
        </w:rPr>
        <w:t xml:space="preserve">”) as supplemented by all information concerning the Company’s directors, officers and principal shareholders as described in the Registration Statement, the Pricing Disclosure Package and the Prospectus, as well as in the Lock-Up Agreement (as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below), provided to the Underwriters, is true and correct in all material respects and the Company has not become aware of any information which would cause the information disclosed in the Questionnaires to become materially inaccurate and incorrect.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2.16. </w:t>
      </w:r>
      <w:r>
        <w:rPr>
          <w:rFonts w:ascii="Arial" w:cs="Arial" w:eastAsia="Arial" w:hAnsi="Arial"/>
          <w:sz w:val="17"/>
          <w:szCs w:val="17"/>
          <w:i w:val="1"/>
          <w:iCs w:val="1"/>
          <w:u w:val="single" w:color="auto"/>
          <w:color w:val="auto"/>
        </w:rPr>
        <w:t>Litigation; Governmental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no action, suit, proceeding, inquiry, arbitration, investigation, litigation or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pending or, to the Company’s knowledge, threatened against, or involving the Company or, to the Company’s knowledge, any executive officer or director which has not been disclosed in the Registration Statement, the Pricing Disclosure Package and the Prospectus</w:t>
      </w:r>
      <w:r>
        <w:rPr>
          <w:rFonts w:ascii="Arial" w:cs="Arial" w:eastAsia="Arial" w:hAnsi="Arial"/>
          <w:sz w:val="17"/>
          <w:szCs w:val="17"/>
          <w:i w:val="1"/>
          <w:iCs w:val="1"/>
          <w:color w:val="auto"/>
        </w:rPr>
        <w: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2.17. </w:t>
      </w:r>
      <w:r>
        <w:rPr>
          <w:rFonts w:ascii="Arial" w:cs="Arial" w:eastAsia="Arial" w:hAnsi="Arial"/>
          <w:sz w:val="18"/>
          <w:szCs w:val="18"/>
          <w:i w:val="1"/>
          <w:iCs w:val="1"/>
          <w:u w:val="single" w:color="auto"/>
          <w:color w:val="auto"/>
        </w:rPr>
        <w:t>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been duly organized and is validly existing as a corporation and is in good standing under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2.18. </w:t>
      </w:r>
      <w:r>
        <w:rPr>
          <w:rFonts w:ascii="Arial" w:cs="Arial" w:eastAsia="Arial" w:hAnsi="Arial"/>
          <w:sz w:val="16"/>
          <w:szCs w:val="16"/>
          <w:i w:val="1"/>
          <w:iCs w:val="1"/>
          <w:u w:val="single" w:color="auto"/>
          <w:color w:val="auto"/>
        </w:rPr>
        <w:t>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carries or is entitled to the benefits of insurance, (including, without limitation, as to directors and officers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with, to the Company’s knowledge, reputable insurers, in the amount of directors and officers insurance coverage at least equal to $5,000,000 and the Company has included each Underwriter as an additional insured party to the directors and officers insurance coverage and all such insurance is in full force and effect. The Company has no reason to believe that it will not be able (i) to renew its existing insurance coverage as and when such policies expire or</w:t>
      </w:r>
    </w:p>
    <w:p>
      <w:pPr>
        <w:spacing w:after="0" w:line="2" w:lineRule="exact"/>
        <w:rPr>
          <w:sz w:val="20"/>
          <w:szCs w:val="20"/>
          <w:color w:val="auto"/>
        </w:rPr>
      </w:pPr>
    </w:p>
    <w:p>
      <w:pPr>
        <w:ind w:firstLine="8"/>
        <w:spacing w:after="0" w:line="261" w:lineRule="auto"/>
        <w:tabs>
          <w:tab w:leader="none" w:pos="2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obtain comparable coverage from similar institutions as may be necessary or appropriate to conduct its business as now conducted and at a cost that would not result in a Material Adverse Change.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2.19. </w:t>
      </w:r>
      <w:r>
        <w:rPr>
          <w:rFonts w:ascii="Arial" w:cs="Arial" w:eastAsia="Arial" w:hAnsi="Arial"/>
          <w:sz w:val="18"/>
          <w:szCs w:val="18"/>
          <w:i w:val="1"/>
          <w:iCs w:val="1"/>
          <w:u w:val="single" w:color="auto"/>
          <w:color w:val="auto"/>
        </w:rPr>
        <w:t>Transactions Affecting Disclosure to FINRA</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2.19.1. </w:t>
      </w:r>
      <w:r>
        <w:rPr>
          <w:rFonts w:ascii="Arial" w:cs="Arial" w:eastAsia="Arial" w:hAnsi="Arial"/>
          <w:sz w:val="17"/>
          <w:szCs w:val="17"/>
          <w:u w:val="single" w:color="auto"/>
          <w:color w:val="auto"/>
        </w:rPr>
        <w:t>Finder’s Fees</w:t>
      </w:r>
      <w:r>
        <w:rPr>
          <w:rFonts w:ascii="Arial" w:cs="Arial" w:eastAsia="Arial" w:hAnsi="Arial"/>
          <w:sz w:val="17"/>
          <w:szCs w:val="17"/>
          <w:color w:val="auto"/>
        </w:rPr>
        <w:t>. Except as described in the Registration Statement, the Pricing Disclosure Package and the Prospectus, there are no claims, payments, arrangements, agreements or understandings relating to the payment of a finder’s, consulting or origination fee by the Company or any Insider with respect to the sale of the Sales hereunder or any other arrangements, agreements or understandings of the Company or, to the Company’s knowledge, any of its shareholders that may affect the Underwriters’ compensation, as determined by FINRA.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1297"/>
        <w:spacing w:after="0" w:line="255" w:lineRule="auto"/>
        <w:rPr>
          <w:sz w:val="20"/>
          <w:szCs w:val="20"/>
          <w:color w:val="auto"/>
        </w:rPr>
      </w:pPr>
      <w:r>
        <w:rPr>
          <w:rFonts w:ascii="Arial" w:cs="Arial" w:eastAsia="Arial" w:hAnsi="Arial"/>
          <w:sz w:val="18"/>
          <w:szCs w:val="18"/>
          <w:color w:val="auto"/>
        </w:rPr>
        <w:t xml:space="preserve">2.19.2. </w:t>
      </w:r>
      <w:r>
        <w:rPr>
          <w:rFonts w:ascii="Arial" w:cs="Arial" w:eastAsia="Arial" w:hAnsi="Arial"/>
          <w:sz w:val="18"/>
          <w:szCs w:val="18"/>
          <w:u w:val="single" w:color="auto"/>
          <w:color w:val="auto"/>
        </w:rPr>
        <w:t>Payments Within Six (6) Months</w:t>
      </w:r>
      <w:r>
        <w:rPr>
          <w:rFonts w:ascii="Arial" w:cs="Arial" w:eastAsia="Arial" w:hAnsi="Arial"/>
          <w:sz w:val="18"/>
          <w:szCs w:val="18"/>
          <w:color w:val="auto"/>
        </w:rPr>
        <w:t>. 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six (6) months immediately prior to the filing of the Registration Statement, other than the payment to the Underwriters as provided hereunder in connection with the Offering.</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2.19.3. </w:t>
      </w:r>
      <w:r>
        <w:rPr>
          <w:rFonts w:ascii="Arial" w:cs="Arial" w:eastAsia="Arial" w:hAnsi="Arial"/>
          <w:sz w:val="18"/>
          <w:szCs w:val="18"/>
          <w:u w:val="single" w:color="auto"/>
          <w:color w:val="auto"/>
        </w:rPr>
        <w:t>Use of Proceeds</w:t>
      </w:r>
      <w:r>
        <w:rPr>
          <w:rFonts w:ascii="Arial" w:cs="Arial" w:eastAsia="Arial" w:hAnsi="Arial"/>
          <w:sz w:val="18"/>
          <w:szCs w:val="18"/>
          <w:color w:val="auto"/>
        </w:rPr>
        <w:t>. None of the net proceeds of the Offering will be paid by the Company to any participating FINRA member or its affiliates, except as specifically authorized herein.</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2.19.4. </w:t>
      </w:r>
      <w:r>
        <w:rPr>
          <w:rFonts w:ascii="Arial" w:cs="Arial" w:eastAsia="Arial" w:hAnsi="Arial"/>
          <w:sz w:val="18"/>
          <w:szCs w:val="18"/>
          <w:u w:val="single" w:color="auto"/>
          <w:color w:val="auto"/>
        </w:rPr>
        <w:t>FINRA Affiliation</w:t>
      </w:r>
      <w:r>
        <w:rPr>
          <w:rFonts w:ascii="Arial" w:cs="Arial" w:eastAsia="Arial" w:hAnsi="Arial"/>
          <w:sz w:val="18"/>
          <w:szCs w:val="18"/>
          <w:color w:val="auto"/>
        </w:rPr>
        <w:t>. To the Company’s knowledge, and except as may otherwise be disclosed in FINRA questionnaires provided to the Representative’s Counsel, there is no (i) officer or director of the Company, (ii) beneficial owner of 5% or more of any class of the Company's securities or (iii)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2.19.5. </w:t>
      </w:r>
      <w:r>
        <w:rPr>
          <w:rFonts w:ascii="Arial" w:cs="Arial" w:eastAsia="Arial" w:hAnsi="Arial"/>
          <w:sz w:val="18"/>
          <w:szCs w:val="18"/>
          <w:u w:val="single" w:color="auto"/>
          <w:color w:val="auto"/>
        </w:rPr>
        <w:t>Information</w:t>
      </w:r>
      <w:r>
        <w:rPr>
          <w:rFonts w:ascii="Arial" w:cs="Arial" w:eastAsia="Arial" w:hAnsi="Arial"/>
          <w:sz w:val="18"/>
          <w:szCs w:val="18"/>
          <w:color w:val="auto"/>
        </w:rPr>
        <w:t>. All information provided by the Company in its FINRA questionnaire to Representative’s Counsel specifically for use by Representative’s Counsel in connection with its Public Offering System filings (and related disclosure) with FINRA is true, correct and complete in all material respects.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2.20. </w:t>
      </w:r>
      <w:r>
        <w:rPr>
          <w:rFonts w:ascii="Arial" w:cs="Arial" w:eastAsia="Arial" w:hAnsi="Arial"/>
          <w:sz w:val="18"/>
          <w:szCs w:val="18"/>
          <w:i w:val="1"/>
          <w:iCs w:val="1"/>
          <w:u w:val="single" w:color="auto"/>
          <w:color w:val="auto"/>
        </w:rPr>
        <w:t>Foreign Corrupt Practices Act</w:t>
      </w:r>
      <w:r>
        <w:rPr>
          <w:rFonts w:ascii="Arial" w:cs="Arial" w:eastAsia="Arial" w:hAnsi="Arial"/>
          <w:sz w:val="18"/>
          <w:szCs w:val="18"/>
          <w:i w:val="1"/>
          <w:iCs w:val="1"/>
          <w:color w:val="auto"/>
        </w:rPr>
        <w:t xml:space="preserve">. </w:t>
      </w:r>
      <w:r>
        <w:rPr>
          <w:rFonts w:ascii="Arial" w:cs="Arial" w:eastAsia="Arial" w:hAnsi="Arial"/>
          <w:sz w:val="18"/>
          <w:szCs w:val="18"/>
          <w:color w:val="auto"/>
        </w:rPr>
        <w:t>None of the Company and its Subsidiaries or, to the Company’s knowledge, any director, officer,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9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2.21. </w:t>
      </w:r>
      <w:r>
        <w:rPr>
          <w:rFonts w:ascii="Arial" w:cs="Arial" w:eastAsia="Arial" w:hAnsi="Arial"/>
          <w:sz w:val="16"/>
          <w:szCs w:val="16"/>
          <w:i w:val="1"/>
          <w:iCs w:val="1"/>
          <w:u w:val="single" w:color="auto"/>
          <w:color w:val="auto"/>
        </w:rPr>
        <w:t>Compliance with OFAC</w:t>
      </w:r>
      <w:r>
        <w:rPr>
          <w:rFonts w:ascii="Arial" w:cs="Arial" w:eastAsia="Arial" w:hAnsi="Arial"/>
          <w:sz w:val="16"/>
          <w:szCs w:val="16"/>
          <w:i w:val="1"/>
          <w:iCs w:val="1"/>
          <w:color w:val="auto"/>
        </w:rPr>
        <w:t xml:space="preserve">. </w:t>
      </w:r>
      <w:r>
        <w:rPr>
          <w:rFonts w:ascii="Arial" w:cs="Arial" w:eastAsia="Arial" w:hAnsi="Arial"/>
          <w:sz w:val="16"/>
          <w:szCs w:val="16"/>
          <w:color w:val="auto"/>
        </w:rPr>
        <w:t>None of the Company and its Subsidiaries or, to the Company’s knowledge, any director, officer, agent, employee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of the Company and its Subsidiaries or any other person acting on behalf of the Company and its Subsidiaries, is currently subject to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2.22. </w:t>
      </w:r>
      <w:r>
        <w:rPr>
          <w:rFonts w:ascii="Arial" w:cs="Arial" w:eastAsia="Arial" w:hAnsi="Arial"/>
          <w:sz w:val="16"/>
          <w:szCs w:val="16"/>
          <w:i w:val="1"/>
          <w:iCs w:val="1"/>
          <w:u w:val="single" w:color="auto"/>
          <w:color w:val="auto"/>
        </w:rPr>
        <w:t>Money Laundering Laws</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the Company and its Subsidiaries are and have been conducted at all times in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Governmental Entity involving the Company with respect to the Money Laundering Laws is pending or, to the best knowledge of the Company, threatened.</w:t>
      </w:r>
    </w:p>
    <w:p>
      <w:pPr>
        <w:spacing w:after="0" w:line="15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2.23. </w:t>
      </w:r>
      <w:r>
        <w:rPr>
          <w:rFonts w:ascii="Arial" w:cs="Arial" w:eastAsia="Arial" w:hAnsi="Arial"/>
          <w:sz w:val="17"/>
          <w:szCs w:val="17"/>
          <w:i w:val="1"/>
          <w:iCs w:val="1"/>
          <w:u w:val="single" w:color="auto"/>
          <w:color w:val="auto"/>
        </w:rPr>
        <w:t>Officers’ Certificate</w:t>
      </w:r>
      <w:r>
        <w:rPr>
          <w:rFonts w:ascii="Arial" w:cs="Arial" w:eastAsia="Arial" w:hAnsi="Arial"/>
          <w:sz w:val="17"/>
          <w:szCs w:val="17"/>
          <w:i w:val="1"/>
          <w:iCs w:val="1"/>
          <w:color w:val="auto"/>
        </w:rPr>
        <w:t xml:space="preserve">. </w:t>
      </w:r>
      <w:r>
        <w:rPr>
          <w:rFonts w:ascii="Arial" w:cs="Arial" w:eastAsia="Arial" w:hAnsi="Arial"/>
          <w:sz w:val="17"/>
          <w:szCs w:val="17"/>
          <w:color w:val="auto"/>
        </w:rPr>
        <w:t>Any certificate signed by any duly authorized officer of the Company and delivered to you or to Representatives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a representation and warranty by the Company to the Underwriters as to the matters covered thereby.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2.24. </w:t>
      </w:r>
      <w:r>
        <w:rPr>
          <w:rFonts w:ascii="Arial" w:cs="Arial" w:eastAsia="Arial" w:hAnsi="Arial"/>
          <w:sz w:val="17"/>
          <w:szCs w:val="17"/>
          <w:i w:val="1"/>
          <w:iCs w:val="1"/>
          <w:u w:val="single" w:color="auto"/>
          <w:color w:val="auto"/>
        </w:rPr>
        <w:t>Lock-Up Agreements</w:t>
      </w:r>
      <w:r>
        <w:rPr>
          <w:rFonts w:ascii="Arial" w:cs="Arial" w:eastAsia="Arial" w:hAnsi="Arial"/>
          <w:sz w:val="17"/>
          <w:szCs w:val="17"/>
          <w:u w:val="single" w:color="auto"/>
          <w:color w:val="auto"/>
        </w:rPr>
        <w:t>. Schedule 3</w:t>
      </w:r>
      <w:r>
        <w:rPr>
          <w:rFonts w:ascii="Arial" w:cs="Arial" w:eastAsia="Arial" w:hAnsi="Arial"/>
          <w:sz w:val="17"/>
          <w:szCs w:val="17"/>
          <w:i w:val="1"/>
          <w:iCs w:val="1"/>
          <w:color w:val="auto"/>
        </w:rPr>
        <w:t xml:space="preserve"> </w:t>
      </w:r>
      <w:r>
        <w:rPr>
          <w:rFonts w:ascii="Arial" w:cs="Arial" w:eastAsia="Arial" w:hAnsi="Arial"/>
          <w:sz w:val="17"/>
          <w:szCs w:val="17"/>
          <w:color w:val="auto"/>
        </w:rPr>
        <w:t>hereto contains a complete and accurate list of the Company’s officers, directors and each owner of 5%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of the Company’s outstanding common shares (or securities convertible or exercisable into common shares of the Company) (collectively, the “</w:t>
      </w:r>
      <w:r>
        <w:rPr>
          <w:rFonts w:ascii="Arial" w:cs="Arial" w:eastAsia="Arial" w:hAnsi="Arial"/>
          <w:sz w:val="17"/>
          <w:szCs w:val="17"/>
          <w:b w:val="1"/>
          <w:bCs w:val="1"/>
          <w:color w:val="auto"/>
        </w:rPr>
        <w:t>Lock-Up Parties</w:t>
      </w:r>
      <w:r>
        <w:rPr>
          <w:rFonts w:ascii="Arial" w:cs="Arial" w:eastAsia="Arial" w:hAnsi="Arial"/>
          <w:sz w:val="17"/>
          <w:szCs w:val="17"/>
          <w:color w:val="auto"/>
        </w:rPr>
        <w:t>”). The Company has caused each of the Lock-Up Parties to deliver to the Representative an executed Lock-Up Agreement, in a form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similar to that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Lock-Up Agreement</w:t>
      </w:r>
      <w:r>
        <w:rPr>
          <w:rFonts w:ascii="Arial" w:cs="Arial" w:eastAsia="Arial" w:hAnsi="Arial"/>
          <w:sz w:val="17"/>
          <w:szCs w:val="17"/>
          <w:color w:val="auto"/>
        </w:rPr>
        <w:t>”), prior to the execution of this Agreement.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2.25. </w:t>
      </w:r>
      <w:r>
        <w:rPr>
          <w:rFonts w:ascii="Arial" w:cs="Arial" w:eastAsia="Arial" w:hAnsi="Arial"/>
          <w:sz w:val="17"/>
          <w:szCs w:val="17"/>
          <w:i w:val="1"/>
          <w:iCs w:val="1"/>
          <w:u w:val="single" w:color="auto"/>
          <w:color w:val="auto"/>
        </w:rPr>
        <w:t>Subsidiaries</w:t>
      </w:r>
      <w:r>
        <w:rPr>
          <w:rFonts w:ascii="Arial" w:cs="Arial" w:eastAsia="Arial" w:hAnsi="Arial"/>
          <w:sz w:val="17"/>
          <w:szCs w:val="17"/>
          <w:color w:val="auto"/>
        </w:rPr>
        <w:t>. All direct and indirect Subsidiaries of the Company are duly organized and in good standing under the laws of the place of</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or incorporation, and each Subsidiary is in good standing in each jurisdiction in which its ownership or lease of property or the conduct of business requires such qualification, except where the failure to qualify would not have a Material Adverse Change. The Company’s ownership and control of each Subsidiary is as described in the Registration Statement, the Pricing Disclosure Package and the Prospectus.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2.26. </w:t>
      </w:r>
      <w:r>
        <w:rPr>
          <w:rFonts w:ascii="Arial" w:cs="Arial" w:eastAsia="Arial" w:hAnsi="Arial"/>
          <w:sz w:val="18"/>
          <w:szCs w:val="18"/>
          <w:i w:val="1"/>
          <w:iCs w:val="1"/>
          <w:u w:val="single" w:color="auto"/>
          <w:color w:val="auto"/>
        </w:rPr>
        <w:t>Related Party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no business relationships or related party transactions involving the Company or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described in the Registration Statement, the Pricing Disclosure Package and the Prospectus that have not been described as required by the Securities Act Regulations.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2.27. </w:t>
      </w:r>
      <w:r>
        <w:rPr>
          <w:rFonts w:ascii="Arial" w:cs="Arial" w:eastAsia="Arial" w:hAnsi="Arial"/>
          <w:sz w:val="16"/>
          <w:szCs w:val="16"/>
          <w:i w:val="1"/>
          <w:iCs w:val="1"/>
          <w:u w:val="single" w:color="auto"/>
          <w:color w:val="auto"/>
        </w:rPr>
        <w:t>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of the Company is comprised of the persons set forth under the heading of the Pricing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captioned “Management.” The qualifications of the persons serving as board members and the overall composition of the board comply with the Exchange Act, the Exchange Act Regulations, the Sarbanes-Oxley Act of 2002 and the rules promulgated thereunder (the “</w:t>
      </w:r>
      <w:r>
        <w:rPr>
          <w:rFonts w:ascii="Arial" w:cs="Arial" w:eastAsia="Arial" w:hAnsi="Arial"/>
          <w:sz w:val="16"/>
          <w:szCs w:val="16"/>
          <w:b w:val="1"/>
          <w:bCs w:val="1"/>
          <w:color w:val="auto"/>
        </w:rPr>
        <w:t>Sarbanes-Oxley Act</w:t>
      </w:r>
      <w:r>
        <w:rPr>
          <w:rFonts w:ascii="Arial" w:cs="Arial" w:eastAsia="Arial" w:hAnsi="Arial"/>
          <w:sz w:val="16"/>
          <w:szCs w:val="16"/>
          <w:color w:val="auto"/>
        </w:rPr>
        <w: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2.28. </w:t>
      </w:r>
      <w:r>
        <w:rPr>
          <w:rFonts w:ascii="Arial" w:cs="Arial" w:eastAsia="Arial" w:hAnsi="Arial"/>
          <w:sz w:val="18"/>
          <w:szCs w:val="18"/>
          <w:i w:val="1"/>
          <w:iCs w:val="1"/>
          <w:u w:val="single" w:color="auto"/>
          <w:color w:val="auto"/>
        </w:rPr>
        <w:t>Sarbanes-Oxley Compliance</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2.28.1. </w:t>
      </w:r>
      <w:r>
        <w:rPr>
          <w:rFonts w:ascii="Arial" w:cs="Arial" w:eastAsia="Arial" w:hAnsi="Arial"/>
          <w:sz w:val="17"/>
          <w:szCs w:val="17"/>
          <w:u w:val="single" w:color="auto"/>
          <w:color w:val="auto"/>
        </w:rPr>
        <w:t>Disclosure Controls</w:t>
      </w:r>
      <w:r>
        <w:rPr>
          <w:rFonts w:ascii="Arial" w:cs="Arial" w:eastAsia="Arial" w:hAnsi="Arial"/>
          <w:sz w:val="17"/>
          <w:szCs w:val="17"/>
          <w:color w:val="auto"/>
        </w:rPr>
        <w:t>. Except as disclosed in the Registration Statement, Pricing Disclosure Package and the Prospectus, the Company has developed and currently maintains disclosure controls and procedures that will comply with Rule 13a-15 or 15d-15 under the Exchange Act Regulations,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spacing w:after="0" w:line="17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2.28.2. </w:t>
      </w:r>
      <w:r>
        <w:rPr>
          <w:rFonts w:ascii="Arial" w:cs="Arial" w:eastAsia="Arial" w:hAnsi="Arial"/>
          <w:sz w:val="16"/>
          <w:szCs w:val="16"/>
          <w:u w:val="single" w:color="auto"/>
          <w:color w:val="auto"/>
        </w:rPr>
        <w:t>Compliance</w:t>
      </w:r>
      <w:r>
        <w:rPr>
          <w:rFonts w:ascii="Arial" w:cs="Arial" w:eastAsia="Arial" w:hAnsi="Arial"/>
          <w:sz w:val="16"/>
          <w:szCs w:val="16"/>
          <w:color w:val="auto"/>
        </w:rPr>
        <w:t>. The Company is, or at the Applicable Time and on the Closing Date will be, in material compliance with the provisions of the Sarbanes-Oxley Act applicable to it, and has implemented or will implement such programs and has taken reasonable steps to ensure the Company’s future compliance (not later than the relevant statutory and regulatory deadlines therefor) with all of the material provisions of the Sarbanes-Oxley Act.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2.29. </w:t>
      </w:r>
      <w:r>
        <w:rPr>
          <w:rFonts w:ascii="Arial" w:cs="Arial" w:eastAsia="Arial" w:hAnsi="Arial"/>
          <w:sz w:val="16"/>
          <w:szCs w:val="16"/>
          <w:u w:val="single" w:color="auto"/>
          <w:color w:val="auto"/>
        </w:rPr>
        <w:t>Accounting Controls</w:t>
      </w:r>
      <w:r>
        <w:rPr>
          <w:rFonts w:ascii="Arial" w:cs="Arial" w:eastAsia="Arial" w:hAnsi="Arial"/>
          <w:sz w:val="16"/>
          <w:szCs w:val="16"/>
          <w:color w:val="auto"/>
        </w:rPr>
        <w:t>. Except as disclosed in the Registration Statement, Pricing Disclosure Package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maintains, the Company and its Subsidiaries maintain systems of “internal control over financial reporting” (as defined under Rules 13a-15 and 15d-15 under the Exchange Act Regulations) that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 over financial reporting, and with respect to such remedial actions disclosed in the Registration Statement, the Pricing Disclosure Package and the Prospectus, the Company represents that it has taken all remedial actions set forth in such disclosure.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2.30. </w:t>
      </w:r>
      <w:r>
        <w:rPr>
          <w:rFonts w:ascii="Arial" w:cs="Arial" w:eastAsia="Arial" w:hAnsi="Arial"/>
          <w:sz w:val="18"/>
          <w:szCs w:val="18"/>
          <w:i w:val="1"/>
          <w:iCs w:val="1"/>
          <w:u w:val="single" w:color="auto"/>
          <w:color w:val="auto"/>
        </w:rPr>
        <w:t>No Investment Company Status</w:t>
      </w:r>
      <w:r>
        <w:rPr>
          <w:rFonts w:ascii="Arial" w:cs="Arial" w:eastAsia="Arial" w:hAnsi="Arial"/>
          <w:sz w:val="18"/>
          <w:szCs w:val="18"/>
          <w:color w:val="auto"/>
        </w:rPr>
        <w:t>. The Company is not and, after giving effect to the Offering and the application of the proceeds thereof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Registration Statement, the Pricing Disclosure Package and the Prospectus, will not be, required to register as an “investment company,” as defined in the Investment Company Act of 1940, as amended.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2.31. </w:t>
      </w:r>
      <w:r>
        <w:rPr>
          <w:rFonts w:ascii="Arial" w:cs="Arial" w:eastAsia="Arial" w:hAnsi="Arial"/>
          <w:sz w:val="18"/>
          <w:szCs w:val="18"/>
          <w:i w:val="1"/>
          <w:iCs w:val="1"/>
          <w:u w:val="single" w:color="auto"/>
          <w:color w:val="auto"/>
        </w:rPr>
        <w:t>No Labor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No labor dispute with the employees of the Company or any of its Subsidiaries exists or, to the knowledge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is imminent.</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 xml:space="preserve">2.32. </w:t>
      </w:r>
      <w:r>
        <w:rPr>
          <w:rFonts w:ascii="Arial" w:cs="Arial" w:eastAsia="Arial" w:hAnsi="Arial"/>
          <w:sz w:val="16"/>
          <w:szCs w:val="16"/>
          <w:i w:val="1"/>
          <w:iCs w:val="1"/>
          <w:u w:val="single" w:color="auto"/>
          <w:color w:val="auto"/>
        </w:rPr>
        <w:t>Intellectual Property Rights</w:t>
      </w:r>
      <w:r>
        <w:rPr>
          <w:rFonts w:ascii="Arial" w:cs="Arial" w:eastAsia="Arial" w:hAnsi="Arial"/>
          <w:sz w:val="16"/>
          <w:szCs w:val="16"/>
          <w:color w:val="auto"/>
        </w:rPr>
        <w:t>. The Company and each of its Subsidiaries owns or possesses or has valid rights to use all patents,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trademarks, service marks, trade names, trademark registrations, service mark registrations, copyrights, licenses, inventions, trade secrets and similar rights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xml:space="preserve">”) necessary for the conduct of the business of the Company and its Subsidiaries as currently carried on and as described in the Registration Statement, the Pricing Disclosure Package and the Prospectus. To the knowledge of the Company,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written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(B) 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reasonably be expected to result in a Material Adverse Change;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reasonably be expected to result in a Material Adverse Change; (D)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w:t>
      </w:r>
      <w:r>
        <w:rPr>
          <w:rFonts w:ascii="Arial" w:cs="Arial" w:eastAsia="Arial" w:hAnsi="Arial"/>
          <w:sz w:val="16"/>
          <w:szCs w:val="16"/>
          <w:u w:val="single" w:color="auto"/>
          <w:color w:val="auto"/>
        </w:rPr>
        <w:t>Section 2.32</w:t>
      </w:r>
      <w:r>
        <w:rPr>
          <w:rFonts w:ascii="Arial" w:cs="Arial" w:eastAsia="Arial" w:hAnsi="Arial"/>
          <w:sz w:val="16"/>
          <w:szCs w:val="16"/>
          <w:color w:val="auto"/>
        </w:rPr>
        <w:t>, reasonably be expected to result in a Material Adverse Change; and (E)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The Registration Statement, the Pricing Disclosure Package and the Prospectus contain in all material respects the same description of the matters set forth in the preceding sentence. None of the technology employed by the Company has been obtained or is being used by the Company in violation of any contractual obligation binding on the Company or, to the Company’s knowledge, any of its officers, directors or employees, or otherwise in violation of the rights of any persons.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2.33. </w:t>
      </w:r>
      <w:r>
        <w:rPr>
          <w:rFonts w:ascii="Arial" w:cs="Arial" w:eastAsia="Arial" w:hAnsi="Arial"/>
          <w:sz w:val="17"/>
          <w:szCs w:val="17"/>
          <w:i w:val="1"/>
          <w:iCs w:val="1"/>
          <w:u w:val="single" w:color="auto"/>
          <w:color w:val="auto"/>
        </w:rPr>
        <w:t>Taxes</w:t>
      </w:r>
      <w:r>
        <w:rPr>
          <w:rFonts w:ascii="Arial" w:cs="Arial" w:eastAsia="Arial" w:hAnsi="Arial"/>
          <w:sz w:val="17"/>
          <w:szCs w:val="17"/>
          <w:color w:val="auto"/>
        </w:rPr>
        <w:t>. Each of the Company and its Subsidiaries has filed all returns (as hereinafter defined) required to be filed with taxing authorities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hereof or has duly obtained extensions of time for the filing thereof, except in any case in which the failure so to file would not reasonably be expected to cause a Material Adverse Change. Each of the Company and its Subsidiaries has paid all taxes (as hereinafter defined) shown as due on such returns that were filed and has paid all taxes imposed on or assessed against the Company or such respective Subsidiary, except for any such taxes that are currently being contested in good faith or as would not reasonably be expected to cause a Material Adverse Change.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“taxes”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2.34. </w:t>
      </w:r>
      <w:r>
        <w:rPr>
          <w:rFonts w:ascii="Arial" w:cs="Arial" w:eastAsia="Arial" w:hAnsi="Arial"/>
          <w:sz w:val="18"/>
          <w:szCs w:val="18"/>
          <w:i w:val="1"/>
          <w:iCs w:val="1"/>
          <w:u w:val="single" w:color="auto"/>
          <w:color w:val="auto"/>
        </w:rPr>
        <w:t>ERISA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not subject to the Employee Retirement Income Security Act of 1974, as amended, or the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interpretations thereunder.</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 xml:space="preserve">2.35. </w:t>
      </w:r>
      <w:r>
        <w:rPr>
          <w:rFonts w:ascii="Arial" w:cs="Arial" w:eastAsia="Arial" w:hAnsi="Arial"/>
          <w:sz w:val="17"/>
          <w:szCs w:val="17"/>
          <w:i w:val="1"/>
          <w:iCs w:val="1"/>
          <w:u w:val="single" w:color="auto"/>
          <w:color w:val="auto"/>
        </w:rPr>
        <w:t>Compliance with Laws</w:t>
      </w:r>
      <w:r>
        <w:rPr>
          <w:rFonts w:ascii="Arial" w:cs="Arial" w:eastAsia="Arial" w:hAnsi="Arial"/>
          <w:sz w:val="17"/>
          <w:szCs w:val="17"/>
          <w:color w:val="auto"/>
        </w:rPr>
        <w:t>. Except as otherwise disclosed in the Registration Statement, Pricing Disclosure Package and Prospectus and as could</w:t>
      </w:r>
      <w:r>
        <w:rPr>
          <w:rFonts w:ascii="Arial" w:cs="Arial" w:eastAsia="Arial" w:hAnsi="Arial"/>
          <w:sz w:val="17"/>
          <w:szCs w:val="17"/>
          <w:i w:val="1"/>
          <w:iCs w:val="1"/>
          <w:color w:val="auto"/>
        </w:rPr>
        <w:t xml:space="preserve"> </w:t>
      </w:r>
      <w:r>
        <w:rPr>
          <w:rFonts w:ascii="Arial" w:cs="Arial" w:eastAsia="Arial" w:hAnsi="Arial"/>
          <w:sz w:val="17"/>
          <w:szCs w:val="17"/>
          <w:color w:val="auto"/>
        </w:rPr>
        <w:t>not, individually or in the aggregate, be expected to result in a Material Adverse Change, each of the Company and each Subsidiary, the Company: (A) is and at all times has been in compliance with all statutes, rules, or regulations applicable to the services provided by the Company (“</w:t>
      </w:r>
      <w:r>
        <w:rPr>
          <w:rFonts w:ascii="Arial" w:cs="Arial" w:eastAsia="Arial" w:hAnsi="Arial"/>
          <w:sz w:val="17"/>
          <w:szCs w:val="17"/>
          <w:b w:val="1"/>
          <w:bCs w:val="1"/>
          <w:color w:val="auto"/>
        </w:rPr>
        <w:t>Applicable Laws</w:t>
      </w:r>
      <w:r>
        <w:rPr>
          <w:rFonts w:ascii="Arial" w:cs="Arial" w:eastAsia="Arial" w:hAnsi="Arial"/>
          <w:sz w:val="17"/>
          <w:szCs w:val="17"/>
          <w:color w:val="auto"/>
        </w:rPr>
        <w:t>”), except as could not, individually or in the aggregate, reasonably be expected to have a Material Adverse Change; (B) has not received any warning letter, untitled letter or other correspondence or notice from any other governmental authority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7"/>
          <w:szCs w:val="17"/>
          <w:b w:val="1"/>
          <w:bCs w:val="1"/>
          <w:color w:val="auto"/>
        </w:rPr>
        <w:t>Authorizations</w:t>
      </w:r>
      <w:r>
        <w:rPr>
          <w:rFonts w:ascii="Arial" w:cs="Arial" w:eastAsia="Arial" w:hAnsi="Arial"/>
          <w:sz w:val="17"/>
          <w:szCs w:val="17"/>
          <w:color w:val="auto"/>
        </w:rPr>
        <w:t>”); (C) possesses all material Authorizations and such material Authorizations are valid and in full force and effect and are not in material violation of any term of any such Authorizations; (D) has not received written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that if brought would result in a Material Adverse Change; (E) has not received written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or other notice or action relating to the alleged lack of safety of any product or any alleged product defect or violation and, to the Company’s knowledge, no third party has initiated, conducted or intends to initiate any such notice or action.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2.36. </w:t>
      </w:r>
      <w:r>
        <w:rPr>
          <w:rFonts w:ascii="Arial" w:cs="Arial" w:eastAsia="Arial" w:hAnsi="Arial"/>
          <w:sz w:val="18"/>
          <w:szCs w:val="18"/>
          <w:i w:val="1"/>
          <w:iCs w:val="1"/>
          <w:u w:val="single" w:color="auto"/>
          <w:color w:val="auto"/>
        </w:rPr>
        <w:t>Ineligible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filing the Registration Statement and any post-effective amendment thereto, at the time of effectiveness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and any amendment thereto, at the earliest time thereafter that the Company or another offering participant made a bona fide offer (within the meaning of Rule 164(h)(2) of the Securities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2.37. </w:t>
      </w:r>
      <w:r>
        <w:rPr>
          <w:rFonts w:ascii="Arial" w:cs="Arial" w:eastAsia="Arial" w:hAnsi="Arial"/>
          <w:sz w:val="17"/>
          <w:szCs w:val="17"/>
          <w:i w:val="1"/>
          <w:iCs w:val="1"/>
          <w:u w:val="single" w:color="auto"/>
          <w:color w:val="auto"/>
        </w:rPr>
        <w:t>Real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set forth in the Registration Statement, the Pricing Disclosure Package and the Prospectus,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and do not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written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which would result in a Material Adverse Change.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2.38. </w:t>
      </w:r>
      <w:r>
        <w:rPr>
          <w:rFonts w:ascii="Arial" w:cs="Arial" w:eastAsia="Arial" w:hAnsi="Arial"/>
          <w:sz w:val="17"/>
          <w:szCs w:val="17"/>
          <w:i w:val="1"/>
          <w:iCs w:val="1"/>
          <w:u w:val="single" w:color="auto"/>
          <w:color w:val="auto"/>
        </w:rPr>
        <w:t>Contracts Affecting Capital</w:t>
      </w:r>
      <w:r>
        <w:rPr>
          <w:rFonts w:ascii="Arial" w:cs="Arial" w:eastAsia="Arial" w:hAnsi="Arial"/>
          <w:sz w:val="17"/>
          <w:szCs w:val="17"/>
          <w:color w:val="auto"/>
        </w:rPr>
        <w:t>. There are no transactions, arrangements or other relationships between and/or among the Company,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(as such term is defined in Rule 405 of the Securities Act Regulations)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2.39. </w:t>
      </w:r>
      <w:r>
        <w:rPr>
          <w:rFonts w:ascii="Arial" w:cs="Arial" w:eastAsia="Arial" w:hAnsi="Arial"/>
          <w:sz w:val="16"/>
          <w:szCs w:val="16"/>
          <w:i w:val="1"/>
          <w:iCs w:val="1"/>
          <w:u w:val="single" w:color="auto"/>
          <w:color w:val="auto"/>
        </w:rPr>
        <w:t>Loans to Directors or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no outstanding loans, advances (except normal advances for business expenses in the ordinary course</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2.40. </w:t>
      </w:r>
      <w:r>
        <w:rPr>
          <w:rFonts w:ascii="Arial" w:cs="Arial" w:eastAsia="Arial" w:hAnsi="Arial"/>
          <w:sz w:val="18"/>
          <w:szCs w:val="18"/>
          <w:i w:val="1"/>
          <w:iCs w:val="1"/>
          <w:u w:val="single" w:color="auto"/>
          <w:color w:val="auto"/>
        </w:rPr>
        <w:t>Industry Data;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statistical and market-related data included in each of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are based on or derived from sources that the Company reasonably and in good faith believes are reliable and accurate or represent the Company’s good faith estimates that are made on the basis of data derived from such sources. No forward-looking statement (within the meaning of Section 27A of the Securities Act and Section 21E of the Exchange Act) contained in the Prospectus has been made or reaffirmed without a reasonable basis or has been disclosed other than in good faith.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2.41. </w:t>
      </w:r>
      <w:r>
        <w:rPr>
          <w:rFonts w:ascii="Arial" w:cs="Arial" w:eastAsia="Arial" w:hAnsi="Arial"/>
          <w:sz w:val="18"/>
          <w:szCs w:val="18"/>
          <w:i w:val="1"/>
          <w:iCs w:val="1"/>
          <w:u w:val="single" w:color="auto"/>
          <w:color w:val="auto"/>
        </w:rPr>
        <w:t>Emerging Growth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time of the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in or through any Person authorized to act on its behalf in any Testing-the 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2.42. </w:t>
      </w:r>
      <w:r>
        <w:rPr>
          <w:rFonts w:ascii="Arial" w:cs="Arial" w:eastAsia="Arial" w:hAnsi="Arial"/>
          <w:sz w:val="17"/>
          <w:szCs w:val="17"/>
          <w:i w:val="1"/>
          <w:iCs w:val="1"/>
          <w:u w:val="single" w:color="auto"/>
          <w:color w:val="auto"/>
        </w:rPr>
        <w:t>Testing-the-Waters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has not (i) alone engaged in any Testing-the-Waters Communications, other than Testing-the-Waters Communications with the written consent of the Representative and with entities that are qualified institutional buyers within the meaning of Rule 144A under the Securities Act or institutions that are accredited investors within the meaning of Rule 501 under the Securities Act and (ii) authorized anyone other than the Representative to engage in Testing-the-Waters Communications. The Company confirms that the Representative has been authorized to act on its behalf in undertaking Testing-the-Waters Communications. The Company has not distributed any Written Testing-the-Waters Communications other than those listed on </w:t>
      </w:r>
      <w:r>
        <w:rPr>
          <w:rFonts w:ascii="Arial" w:cs="Arial" w:eastAsia="Arial" w:hAnsi="Arial"/>
          <w:sz w:val="17"/>
          <w:szCs w:val="17"/>
          <w:u w:val="single" w:color="auto"/>
          <w:color w:val="auto"/>
        </w:rPr>
        <w:t>Schedule 2-C</w:t>
      </w:r>
      <w:r>
        <w:rPr>
          <w:rFonts w:ascii="Arial" w:cs="Arial" w:eastAsia="Arial" w:hAnsi="Arial"/>
          <w:sz w:val="17"/>
          <w:szCs w:val="17"/>
          <w:color w:val="auto"/>
        </w:rPr>
        <w:t xml:space="preserve"> hereto.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2.43. </w:t>
      </w:r>
      <w:r>
        <w:rPr>
          <w:rFonts w:ascii="Arial" w:cs="Arial" w:eastAsia="Arial" w:hAnsi="Arial"/>
          <w:sz w:val="18"/>
          <w:szCs w:val="18"/>
          <w:i w:val="1"/>
          <w:iCs w:val="1"/>
          <w:u w:val="single" w:color="auto"/>
          <w:color w:val="auto"/>
        </w:rPr>
        <w:t>Electronic Road Show</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made available a Bona Fide Electronic Road Show in compliance with Rule 433(d)(8)(ii)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Regulations such that no filing of any “road show” (as defined in Rule 433(h) of the Securities Act Regulations) is required in connection with the Offering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2.44. </w:t>
      </w:r>
      <w:r>
        <w:rPr>
          <w:rFonts w:ascii="Arial" w:cs="Arial" w:eastAsia="Arial" w:hAnsi="Arial"/>
          <w:sz w:val="18"/>
          <w:szCs w:val="18"/>
          <w:i w:val="1"/>
          <w:iCs w:val="1"/>
          <w:u w:val="single" w:color="auto"/>
          <w:color w:val="auto"/>
        </w:rPr>
        <w:t>Margin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owns no “margin securities” as that term is defined in Regulation U of the Board of Governors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System (the “</w:t>
      </w:r>
      <w:r>
        <w:rPr>
          <w:rFonts w:ascii="Arial" w:cs="Arial" w:eastAsia="Arial" w:hAnsi="Arial"/>
          <w:sz w:val="18"/>
          <w:szCs w:val="18"/>
          <w:b w:val="1"/>
          <w:bCs w:val="1"/>
          <w:color w:val="auto"/>
        </w:rPr>
        <w:t>Federal Reserve Board</w:t>
      </w:r>
      <w:r>
        <w:rPr>
          <w:rFonts w:ascii="Arial" w:cs="Arial" w:eastAsia="Arial" w:hAnsi="Arial"/>
          <w:sz w:val="18"/>
          <w:szCs w:val="18"/>
          <w:color w:val="auto"/>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common shares of the Company to be considered a “purpose credit” within the meanings of Regulation T, U or X of the Federal Reserve Board</w:t>
      </w:r>
      <w:r>
        <w:rPr>
          <w:rFonts w:ascii="Arial" w:cs="Arial" w:eastAsia="Arial" w:hAnsi="Arial"/>
          <w:sz w:val="18"/>
          <w:szCs w:val="18"/>
          <w:i w:val="1"/>
          <w:iCs w:val="1"/>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2.45. </w:t>
      </w:r>
      <w:r>
        <w:rPr>
          <w:rFonts w:ascii="Arial" w:cs="Arial" w:eastAsia="Arial" w:hAnsi="Arial"/>
          <w:sz w:val="18"/>
          <w:szCs w:val="18"/>
          <w:i w:val="1"/>
          <w:iCs w:val="1"/>
          <w:u w:val="single" w:color="auto"/>
          <w:color w:val="auto"/>
        </w:rPr>
        <w:t>PRC Representation and Warranties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2.45.1. </w:t>
      </w:r>
      <w:r>
        <w:rPr>
          <w:rFonts w:ascii="Arial" w:cs="Arial" w:eastAsia="Arial" w:hAnsi="Arial"/>
          <w:sz w:val="18"/>
          <w:szCs w:val="18"/>
          <w:u w:val="single" w:color="auto"/>
          <w:color w:val="auto"/>
        </w:rPr>
        <w:t>PRC Taxes</w:t>
      </w:r>
      <w:r>
        <w:rPr>
          <w:rFonts w:ascii="Arial" w:cs="Arial" w:eastAsia="Arial" w:hAnsi="Arial"/>
          <w:sz w:val="18"/>
          <w:szCs w:val="18"/>
          <w:color w:val="auto"/>
        </w:rPr>
        <w:t>. Except as disclosed in the Registration Statement, the Pricing Disclosure Package and Prospectus, including the risk factor set forth in “Risk Factors— we may be classified as a “resident enterprise” for PRC enterprise income tax purposes; such classification could result in unfavorable tax consequences to us and our non-PRC shareholders, no transaction, stamp, capital or other issuance, registration, transaction, transfer or withholding taxes or duties are payable in to any PRC taxing authority in connection with (A) the issuance, sale and delivery of the Shares and the Underwriters’ Warrants, (B) the purchase from the Company and the sale and delivery of the Shares to purchasers thereof, or (C) the execution and delivery of this Agreement by the Underwriters.</w:t>
      </w:r>
    </w:p>
    <w:p>
      <w:pPr>
        <w:spacing w:after="0" w:line="19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2.45.2. </w:t>
      </w:r>
      <w:r>
        <w:rPr>
          <w:rFonts w:ascii="Arial" w:cs="Arial" w:eastAsia="Arial" w:hAnsi="Arial"/>
          <w:sz w:val="17"/>
          <w:szCs w:val="17"/>
          <w:u w:val="single" w:color="auto"/>
          <w:color w:val="auto"/>
        </w:rPr>
        <w:t>Compliance with SAFE Regulations</w:t>
      </w:r>
      <w:r>
        <w:rPr>
          <w:rFonts w:ascii="Arial" w:cs="Arial" w:eastAsia="Arial" w:hAnsi="Arial"/>
          <w:sz w:val="17"/>
          <w:szCs w:val="17"/>
          <w:color w:val="auto"/>
        </w:rPr>
        <w:t>. The Company has taken all reasonable steps to cause all of the Company’s shareholders and warrant holders who are residents or citizens of the PRC, to comply with any applicable rules and regulations of the State Administration of Foreign Exchange relating to such shareholders’ and option holders’ shareholding with the Company (the “</w:t>
      </w:r>
      <w:r>
        <w:rPr>
          <w:rFonts w:ascii="Arial" w:cs="Arial" w:eastAsia="Arial" w:hAnsi="Arial"/>
          <w:sz w:val="17"/>
          <w:szCs w:val="17"/>
          <w:b w:val="1"/>
          <w:bCs w:val="1"/>
          <w:color w:val="auto"/>
        </w:rPr>
        <w:t>SAFE Rules and Regulations</w:t>
      </w:r>
      <w:r>
        <w:rPr>
          <w:rFonts w:ascii="Arial" w:cs="Arial" w:eastAsia="Arial" w:hAnsi="Arial"/>
          <w:sz w:val="17"/>
          <w:szCs w:val="17"/>
          <w:color w:val="auto"/>
        </w:rPr>
        <w:t>”), including, without limitation, taking reasonable steps to require each shareholder or option holder that is, or is directly or indirectly owned or controlled by, a resident or citizen of the PRC to complete any registration and other procedures required under applicable SAFE Rules and Regulations.</w:t>
      </w:r>
    </w:p>
    <w:p>
      <w:pPr>
        <w:spacing w:after="0" w:line="17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2.45.3. </w:t>
      </w:r>
      <w:r>
        <w:rPr>
          <w:rFonts w:ascii="Arial" w:cs="Arial" w:eastAsia="Arial" w:hAnsi="Arial"/>
          <w:sz w:val="18"/>
          <w:szCs w:val="18"/>
          <w:u w:val="single" w:color="auto"/>
          <w:color w:val="auto"/>
        </w:rPr>
        <w:t>M&amp;A and CSRC Rules</w:t>
      </w:r>
      <w:r>
        <w:rPr>
          <w:rFonts w:ascii="Arial" w:cs="Arial" w:eastAsia="Arial" w:hAnsi="Arial"/>
          <w:sz w:val="18"/>
          <w:szCs w:val="18"/>
          <w:color w:val="auto"/>
        </w:rPr>
        <w:t>. The Company is aware of and has been advised as to the content of the Rules on Mergers and Acquisitions of Domestic Enterprises by Foreign Investors jointly promulgated by the Ministry of Commerce, the State Assets Supervision and Administration Commission, the State Tax Administration, the State Administration of Industry and Commerce, the China Securities Regulatory Commission (“</w:t>
      </w:r>
      <w:r>
        <w:rPr>
          <w:rFonts w:ascii="Arial" w:cs="Arial" w:eastAsia="Arial" w:hAnsi="Arial"/>
          <w:sz w:val="18"/>
          <w:szCs w:val="18"/>
          <w:b w:val="1"/>
          <w:bCs w:val="1"/>
          <w:color w:val="auto"/>
        </w:rPr>
        <w:t>CSRC</w:t>
      </w:r>
      <w:r>
        <w:rPr>
          <w:rFonts w:ascii="Arial" w:cs="Arial" w:eastAsia="Arial" w:hAnsi="Arial"/>
          <w:sz w:val="18"/>
          <w:szCs w:val="18"/>
          <w:color w:val="auto"/>
        </w:rPr>
        <w:t>”) and the State Administration of Foreign Exchange of China on August 8, 2006 (the “</w:t>
      </w:r>
      <w:r>
        <w:rPr>
          <w:rFonts w:ascii="Arial" w:cs="Arial" w:eastAsia="Arial" w:hAnsi="Arial"/>
          <w:sz w:val="18"/>
          <w:szCs w:val="18"/>
          <w:b w:val="1"/>
          <w:bCs w:val="1"/>
          <w:color w:val="auto"/>
        </w:rPr>
        <w:t>M&amp;A Rules</w:t>
      </w:r>
      <w:r>
        <w:rPr>
          <w:rFonts w:ascii="Arial" w:cs="Arial" w:eastAsia="Arial" w:hAnsi="Arial"/>
          <w:sz w:val="18"/>
          <w:szCs w:val="18"/>
          <w:color w:val="auto"/>
        </w:rPr>
        <w:t>”), in particular the relevant provisions thereof that purport to require offshore special purpose vehicles formed for the purpose of obtaining a stock exchange listing outside of the PRC and controlled directly or indirectly by companies or natural persons of the PRC, to obtain the approval of the CSRC prior to the listing and trading of their securities on a stock exchange located outside of the PRC; the Company has received legal advice specifically with respect to the M&amp;A Rules from its PRC counsel and based on such legal advice, the Company confirms with the Underwriters:</w:t>
      </w:r>
    </w:p>
    <w:p>
      <w:pPr>
        <w:spacing w:after="0" w:line="192" w:lineRule="exact"/>
        <w:rPr>
          <w:sz w:val="20"/>
          <w:szCs w:val="20"/>
          <w:color w:val="auto"/>
        </w:rPr>
      </w:pPr>
    </w:p>
    <w:p>
      <w:pPr>
        <w:jc w:val="both"/>
        <w:ind w:firstLine="1953"/>
        <w:spacing w:after="0" w:line="276" w:lineRule="auto"/>
        <w:tabs>
          <w:tab w:leader="none" w:pos="21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Except as disclosed in the Pricing Disclosure Package, Registration Statement and the Prospectus, the issuance and sale of the Securities, the listing and trading of the Securities on NASDAQ and the consummation of the transactions contemplated by this Agreement are not and will not be, as of the date hereof, at the Closing Date or on each settlement date, affected by the M&amp;A Rules or any official clarifications, guidance, interpretations or implementation rules in connection with or related to the M&amp;A Rules, including the guidance and notices issued by the CSRC on September 8 and September 21, 2006, as amended (collectively, the “</w:t>
      </w:r>
      <w:r>
        <w:rPr>
          <w:rFonts w:ascii="Arial" w:cs="Arial" w:eastAsia="Arial" w:hAnsi="Arial"/>
          <w:sz w:val="17"/>
          <w:szCs w:val="17"/>
          <w:b w:val="1"/>
          <w:bCs w:val="1"/>
          <w:color w:val="auto"/>
        </w:rPr>
        <w:t>M&amp;A Rules and Related Clarifications</w:t>
      </w:r>
      <w:r>
        <w:rPr>
          <w:rFonts w:ascii="Arial" w:cs="Arial" w:eastAsia="Arial" w:hAnsi="Arial"/>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1953"/>
        <w:spacing w:after="0" w:line="312" w:lineRule="auto"/>
        <w:tabs>
          <w:tab w:leader="none" w:pos="22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disclosed in the Pricing Disclosure Package, Registration Statement and the Prospectus, as of the date hereof, the M&amp;A Rules and Related Classifications did not and do not require the Company to obtain the approval of the CSRC prior to the issuance and sale of the Shares and Underwriters’ Warrants, the listing and trading of the Shares on Nasdaq, or the consummation of the transactions contemplated by this Agreement.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2.46. </w:t>
      </w:r>
      <w:r>
        <w:rPr>
          <w:rFonts w:ascii="Arial" w:cs="Arial" w:eastAsia="Arial" w:hAnsi="Arial"/>
          <w:sz w:val="18"/>
          <w:szCs w:val="18"/>
          <w:i w:val="1"/>
          <w:iCs w:val="1"/>
          <w:u w:val="single" w:color="auto"/>
          <w:color w:val="auto"/>
        </w:rPr>
        <w:t>Dividends and Distributions</w:t>
      </w:r>
      <w:r>
        <w:rPr>
          <w:rFonts w:ascii="Arial" w:cs="Arial" w:eastAsia="Arial" w:hAnsi="Arial"/>
          <w:sz w:val="18"/>
          <w:szCs w:val="18"/>
          <w:color w:val="auto"/>
        </w:rPr>
        <w:t>. Except as disclosed in the Pricing Disclosure Package, Registration Statement and the Prospectus, no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2.47. </w:t>
      </w:r>
      <w:r>
        <w:rPr>
          <w:rFonts w:ascii="Arial" w:cs="Arial" w:eastAsia="Arial" w:hAnsi="Arial"/>
          <w:sz w:val="17"/>
          <w:szCs w:val="17"/>
          <w:i w:val="1"/>
          <w:iCs w:val="1"/>
          <w:u w:val="single" w:color="auto"/>
          <w:color w:val="auto"/>
        </w:rPr>
        <w:t>Lending Relationships</w:t>
      </w:r>
      <w:r>
        <w:rPr>
          <w:rFonts w:ascii="Arial" w:cs="Arial" w:eastAsia="Arial" w:hAnsi="Arial"/>
          <w:sz w:val="17"/>
          <w:szCs w:val="17"/>
          <w:color w:val="auto"/>
        </w:rPr>
        <w:t>. Except as disclosed in the Pricing Disclosure Package, Registration Statement and the Prospectus, the Company (i)</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any material lending or other relationship with any bank or lending affiliate of the Underwriters and (ii) does not intend to use any of the proceeds from the sale of the Securities hereunder to repay any outstanding debt owed to any affiliate of the Underwriters.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2.48. </w:t>
      </w:r>
      <w:r>
        <w:rPr>
          <w:rFonts w:ascii="Arial" w:cs="Arial" w:eastAsia="Arial" w:hAnsi="Arial"/>
          <w:sz w:val="16"/>
          <w:szCs w:val="16"/>
          <w:i w:val="1"/>
          <w:iCs w:val="1"/>
          <w:u w:val="single" w:color="auto"/>
          <w:color w:val="auto"/>
        </w:rPr>
        <w:t>No Immunity</w:t>
      </w:r>
      <w:r>
        <w:rPr>
          <w:rFonts w:ascii="Arial" w:cs="Arial" w:eastAsia="Arial" w:hAnsi="Arial"/>
          <w:sz w:val="16"/>
          <w:szCs w:val="16"/>
          <w:color w:val="auto"/>
        </w:rPr>
        <w:t>. None of the Company, its Subsidiaries or any of its or their properties or assets has any immunity from the jurisdiction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court or from any legal process (whether through service or notice, attachment prior to judgment, attachment in aid of execution or otherwise) under the laws of the Cayman Islands, British Virgin Islands, Hong Kong, Singapore, Taiwan, Australia, the PRC, New York or United States federal law; and, to the extent that the Company, its Subsidiaries, or any of their respective properties, assets or revenues may have or may hereafter become entitled to any such right of immunity in any such court in which proceedings may at any time be commenced, each of the Company, its Subsidiaries waives or will waive such right to the extent permitted by law and has consented to such relief and enforcement under New York law as provided under this Agreement.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2.49. </w:t>
      </w:r>
      <w:r>
        <w:rPr>
          <w:rFonts w:ascii="Arial" w:cs="Arial" w:eastAsia="Arial" w:hAnsi="Arial"/>
          <w:sz w:val="17"/>
          <w:szCs w:val="17"/>
          <w:i w:val="1"/>
          <w:iCs w:val="1"/>
          <w:u w:val="single" w:color="auto"/>
          <w:color w:val="auto"/>
        </w:rPr>
        <w:t>Free Transferability of Dividends or Distributions</w:t>
      </w:r>
      <w:r>
        <w:rPr>
          <w:rFonts w:ascii="Arial" w:cs="Arial" w:eastAsia="Arial" w:hAnsi="Arial"/>
          <w:sz w:val="17"/>
          <w:szCs w:val="17"/>
          <w:color w:val="auto"/>
        </w:rPr>
        <w:t>. Except as disclosed in the Pricing Disclosure Package, Registration Statement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all dividends and other distributions declared and payable on the common shares of the Company may under the current laws and regulations of the Cayman Islands, the British Virgin Islands, Singapore, Taiwan, Hong Kong, Australia and PRC, be paid to the holders of Securities, as the case may be, in United States dollars and may be converted into foreign currency that may be transferred out of the Cayman Islands, British Virgin Islands, Singapore, Taiwan, Hong Kong, Australia and the PRC, and all such payments made to holders thereof or therein who are non-residents of the Cayman Islands, British Virgin Islands, Singapore, Taiwan, Hong Kong, Australia or the PRC, will not be subject to income, withholding or other taxes under laws and regulations of the Cayman Islands, British Virgin Islands, Singapore, Taiwan, Hong Kong, Australia and the PRC, or any political subdivision or taxing authority thereof or therein and will otherwise be free and clear of any other tax, duty, withholding or deduction in the Cayman Islands, British Virgin Islands, Singapore, Taiwan, Hong Kong, Australia and the PRC or any political subdivision or taxing authority thereof or therein and without the necessity of obtaining any governmental authorization in the Cayman Islands, the British Virgin Islands, Singapore, Taiwan, Hong Kong, Australia and the PRC or any political subdivision or taxing authority thereof or therein.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2.50. </w:t>
      </w:r>
      <w:r>
        <w:rPr>
          <w:rFonts w:ascii="Arial" w:cs="Arial" w:eastAsia="Arial" w:hAnsi="Arial"/>
          <w:sz w:val="18"/>
          <w:szCs w:val="18"/>
          <w:i w:val="1"/>
          <w:iCs w:val="1"/>
          <w:u w:val="single" w:color="auto"/>
          <w:color w:val="auto"/>
        </w:rPr>
        <w:t>Not a PFIC</w:t>
      </w:r>
      <w:r>
        <w:rPr>
          <w:rFonts w:ascii="Arial" w:cs="Arial" w:eastAsia="Arial" w:hAnsi="Arial"/>
          <w:sz w:val="18"/>
          <w:szCs w:val="18"/>
          <w:color w:val="auto"/>
        </w:rPr>
        <w:t>. Except as disclosed in the Pricing Disclosure Package, Registration Statement and Prospectus, the Company does not expect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treated 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within the meaning of Section 1297 of the United States Internal Revenue Code of 1986, as amended, for its current taxable year. The Company has no plan or intention to operate in such a manner that would reasonably be expected to result in the Company becoming a PFIC in future taxable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2.51. </w:t>
      </w:r>
      <w:r>
        <w:rPr>
          <w:rFonts w:ascii="Arial" w:cs="Arial" w:eastAsia="Arial" w:hAnsi="Arial"/>
          <w:sz w:val="18"/>
          <w:szCs w:val="18"/>
          <w:i w:val="1"/>
          <w:iCs w:val="1"/>
          <w:u w:val="single" w:color="auto"/>
          <w:color w:val="auto"/>
        </w:rPr>
        <w:t>Foreign Private Issuer Status</w:t>
      </w:r>
      <w:r>
        <w:rPr>
          <w:rFonts w:ascii="Arial" w:cs="Arial" w:eastAsia="Arial" w:hAnsi="Arial"/>
          <w:sz w:val="18"/>
          <w:szCs w:val="18"/>
          <w:color w:val="auto"/>
        </w:rPr>
        <w:t>. The Company is a “foreign private issuer” within the meaning of Rule 405 under the Act.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2.52. </w:t>
      </w:r>
      <w:r>
        <w:rPr>
          <w:rFonts w:ascii="Arial" w:cs="Arial" w:eastAsia="Arial" w:hAnsi="Arial"/>
          <w:sz w:val="18"/>
          <w:szCs w:val="18"/>
          <w:i w:val="1"/>
          <w:iCs w:val="1"/>
          <w:u w:val="single" w:color="auto"/>
          <w:color w:val="auto"/>
        </w:rPr>
        <w:t>Choice of Law</w:t>
      </w:r>
      <w:r>
        <w:rPr>
          <w:rFonts w:ascii="Arial" w:cs="Arial" w:eastAsia="Arial" w:hAnsi="Arial"/>
          <w:sz w:val="18"/>
          <w:szCs w:val="18"/>
          <w:color w:val="auto"/>
        </w:rPr>
        <w:t>. Except as disclosed in the Pricing Disclosure Package, Registration Statement and the Prospectus, the choice of law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 each constitutes a legal and valid choice of law under the laws of the Cayman Islands, the British Virgin Islands, Singapore, Taiwan, Hong Kong and the PRC and will be honored by courts in the Cayman Islands, the British Virgin Islands, Singapore, Taiwan, Hong Kong and the PRC, subject to compliance with relevant civil procedural requirements (that do not involve a re-examination of the merits of the claim) in the Cayman Islands, the British Virgin Islands, Singapore, Taiwan, Hong Kong, Australia and the PRC. The Company has the power to submit, and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 has legally, validly, effectively and submitted, to the personal jurisdiction of each of the New York Courts, and the Company has the power to designate, appoint and authorize, and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 has legally, validly, effectively and irrevocably designated, appointed an authorized agent for service of process in any action arising out of or relating to this Agreement or the Securities in any New York Court, and service of process effected on such authorized agent will be effective to confer valid personal jurisdiction over the Company as provided in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2.53. </w:t>
      </w:r>
      <w:r>
        <w:rPr>
          <w:rFonts w:ascii="Arial" w:cs="Arial" w:eastAsia="Arial" w:hAnsi="Arial"/>
          <w:sz w:val="18"/>
          <w:szCs w:val="18"/>
          <w:i w:val="1"/>
          <w:iCs w:val="1"/>
          <w:u w:val="single" w:color="auto"/>
          <w:color w:val="auto"/>
        </w:rPr>
        <w:t>Recognition of Judgments</w:t>
      </w:r>
      <w:r>
        <w:rPr>
          <w:rFonts w:ascii="Arial" w:cs="Arial" w:eastAsia="Arial" w:hAnsi="Arial"/>
          <w:sz w:val="18"/>
          <w:szCs w:val="18"/>
          <w:i w:val="1"/>
          <w:iCs w:val="1"/>
          <w:color w:val="auto"/>
        </w:rPr>
        <w:t xml:space="preserve">. </w:t>
      </w:r>
      <w:r>
        <w:rPr>
          <w:rFonts w:ascii="Arial" w:cs="Arial" w:eastAsia="Arial" w:hAnsi="Arial"/>
          <w:sz w:val="18"/>
          <w:szCs w:val="18"/>
          <w:color w:val="auto"/>
        </w:rPr>
        <w:t>Any final judgment for a fixed sum of money rendered by a New York Court having jurisdiction under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in respect of any suit, action or proceeding against the Company based upon this Agreement would be recognized and enforced against the Company by Cayman Islands courts without re-examining the merits of the case under the common law doctrine of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judgment is (A)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9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3.1. </w:t>
      </w:r>
      <w:r>
        <w:rPr>
          <w:rFonts w:ascii="Arial" w:cs="Arial" w:eastAsia="Arial" w:hAnsi="Arial"/>
          <w:sz w:val="18"/>
          <w:szCs w:val="18"/>
          <w:i w:val="1"/>
          <w:iCs w:val="1"/>
          <w:u w:val="single" w:color="auto"/>
          <w:color w:val="auto"/>
        </w:rPr>
        <w:t>Amendments to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deliver to the Representative, prior to filing, any amendment or supplement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or Prospectus proposed to be filed after the Effective Date and not file any such amendment or supplement to which the Representative shall reasonably object in writing.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3.2. </w:t>
      </w:r>
      <w:r>
        <w:rPr>
          <w:rFonts w:ascii="Arial" w:cs="Arial" w:eastAsia="Arial" w:hAnsi="Arial"/>
          <w:sz w:val="18"/>
          <w:szCs w:val="18"/>
          <w:i w:val="1"/>
          <w:iCs w:val="1"/>
          <w:u w:val="single" w:color="auto"/>
          <w:color w:val="auto"/>
        </w:rPr>
        <w:t>Federal Securities Laws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The Company, subject to </w:t>
      </w:r>
      <w:r>
        <w:rPr>
          <w:rFonts w:ascii="Arial" w:cs="Arial" w:eastAsia="Arial" w:hAnsi="Arial"/>
          <w:sz w:val="17"/>
          <w:szCs w:val="17"/>
          <w:u w:val="single" w:color="auto"/>
          <w:color w:val="auto"/>
        </w:rPr>
        <w:t>Section 3.2.2</w:t>
      </w:r>
      <w:r>
        <w:rPr>
          <w:rFonts w:ascii="Arial" w:cs="Arial" w:eastAsia="Arial" w:hAnsi="Arial"/>
          <w:sz w:val="17"/>
          <w:szCs w:val="17"/>
          <w:color w:val="auto"/>
        </w:rPr>
        <w:t>, shall comply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Shares and Underwriters’ Warrants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Shares and Underwriters’ Warrants. The Company shall effect all filings required under Rule 424(b) of the Securities Act Regulations, in the manner and within the time period required by Rule 424(b) (without reliance on Rule 424(b)(8)),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best efforts to prevent the issuance of any stop order, prevention or suspension and, if any such order is issued, to obtain the lifting thereof at the earliest possible moment.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1297"/>
        <w:spacing w:after="0" w:line="284"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Continued Compliance</w:t>
      </w:r>
      <w:r>
        <w:rPr>
          <w:rFonts w:ascii="Arial" w:cs="Arial" w:eastAsia="Arial" w:hAnsi="Arial"/>
          <w:sz w:val="16"/>
          <w:szCs w:val="16"/>
          <w:color w:val="auto"/>
        </w:rPr>
        <w:t>. The Company shall comply with the Securities Act, the Securities Act Regulations, the Exchange Act and the Exchange Act Regulations so as to permit the completion of the distribution of the Shares as contemplated in this Agreement and in the Registration Statement, the Pricing Disclosure Package and the Prospectus. If at any time when a prospectus relating to the Shares is (or, but for the exception afforded by Rule 172 of the Securities Act Regulations (“</w:t>
      </w:r>
      <w:r>
        <w:rPr>
          <w:rFonts w:ascii="Arial" w:cs="Arial" w:eastAsia="Arial" w:hAnsi="Arial"/>
          <w:sz w:val="16"/>
          <w:szCs w:val="16"/>
          <w:b w:val="1"/>
          <w:bCs w:val="1"/>
          <w:color w:val="auto"/>
        </w:rPr>
        <w:t>Rule 172</w:t>
      </w:r>
      <w:r>
        <w:rPr>
          <w:rFonts w:ascii="Arial" w:cs="Arial" w:eastAsia="Arial" w:hAnsi="Arial"/>
          <w:sz w:val="16"/>
          <w:szCs w:val="16"/>
          <w:color w:val="auto"/>
        </w:rPr>
        <w:t xml:space="preserve">”), would be) required by the Securities Act to be delivered in connection with sales of the Shares,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amendment or supplement and (C) file with the Commission any such amendment or supplement;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file or use any such amendment or supplement to which the Representative or Representative’s Counsel shall reasonably object. The Company will furnish to the Underwriters such number of copies of such amendment or supplement as the Underwriters may reasonably request. The Company has given the Representative notice of any filings made pursuant to the Exchange Act or the Exchange Act Regulations within 48 hours prior to the Applicable Time. The Company shall give the Representative notice of its intention to make any such filing from the Applicable Time until the later of the Closing Date and the exercise in full or expiration of the Over-allotment Option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 and will furnish the Representative with copies of the related document(s) a reasonable amount of time prior to such proposed filing, as the case may be, and will not file or use any such document to which the Representative or counsel for the Underwriters shall reasonably object.</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Until three years after the date of this Agreement, the Company shall use its commercially reasonable efforts to maintain the registration of the common shares of the Company under the Exchange Act.</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The Company agrees that, unless it obtains the prior written consent of the Representative, it shall not make any offer relating to the Shares that would constitute an Issuer Free Writing Prospectus or that would otherwise constitute a “free writing prospectus,” or a portion thereof, required to be filed by the Company with the Commission or retained by the Company under Rule 433;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Representative shall be deemed to have consented to each Issuer General Use Free Writing Prospectus set forth in </w:t>
      </w:r>
      <w:r>
        <w:rPr>
          <w:rFonts w:ascii="Arial" w:cs="Arial" w:eastAsia="Arial" w:hAnsi="Arial"/>
          <w:sz w:val="17"/>
          <w:szCs w:val="17"/>
          <w:u w:val="single" w:color="auto"/>
          <w:color w:val="auto"/>
        </w:rPr>
        <w:t>Schedule 2-B</w:t>
      </w:r>
      <w:r>
        <w:rPr>
          <w:rFonts w:ascii="Arial" w:cs="Arial" w:eastAsia="Arial" w:hAnsi="Arial"/>
          <w:sz w:val="17"/>
          <w:szCs w:val="17"/>
          <w:color w:val="auto"/>
        </w:rPr>
        <w:t>.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1297"/>
        <w:spacing w:after="0" w:line="276"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Testing-the-Waters Communications</w:t>
      </w:r>
      <w:r>
        <w:rPr>
          <w:rFonts w:ascii="Arial" w:cs="Arial" w:eastAsia="Arial" w:hAnsi="Arial"/>
          <w:sz w:val="17"/>
          <w:szCs w:val="17"/>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Representative and shall promptly amend or supplement, at its own expense, such Written Testing-the-Waters Communication to eliminate or correct such untrue statement or omission.</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3.3. </w:t>
      </w:r>
      <w:r>
        <w:rPr>
          <w:rFonts w:ascii="Arial" w:cs="Arial" w:eastAsia="Arial" w:hAnsi="Arial"/>
          <w:sz w:val="17"/>
          <w:szCs w:val="17"/>
          <w:i w:val="1"/>
          <w:iCs w:val="1"/>
          <w:u w:val="single" w:color="auto"/>
          <w:color w:val="auto"/>
        </w:rPr>
        <w:t>Delivery to the Underwriters of Registration Statements</w:t>
      </w:r>
      <w:r>
        <w:rPr>
          <w:rFonts w:ascii="Arial" w:cs="Arial" w:eastAsia="Arial" w:hAnsi="Arial"/>
          <w:sz w:val="17"/>
          <w:szCs w:val="17"/>
          <w:color w:val="auto"/>
        </w:rPr>
        <w:t>. The Company has delivered or made available or shall deliver or make available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and Representative’s Counsel, without charge, signed copies of the Registration Statement as originally filed and each amendment thereto (including exhibits filed therewith) and signed copies of all consents and certificates of experts, and upon request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3.4. </w:t>
      </w:r>
      <w:r>
        <w:rPr>
          <w:rFonts w:ascii="Arial" w:cs="Arial" w:eastAsia="Arial" w:hAnsi="Arial"/>
          <w:sz w:val="17"/>
          <w:szCs w:val="17"/>
          <w:i w:val="1"/>
          <w:iCs w:val="1"/>
          <w:u w:val="single" w:color="auto"/>
          <w:color w:val="auto"/>
        </w:rPr>
        <w:t>Delivery to the Underwriters of Prospectuses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delivered or made available or will deliver or make available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Shares is (or, but for the exception afforded by Rule 172,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3.5. </w:t>
      </w:r>
      <w:r>
        <w:rPr>
          <w:rFonts w:ascii="Arial" w:cs="Arial" w:eastAsia="Arial" w:hAnsi="Arial"/>
          <w:sz w:val="17"/>
          <w:szCs w:val="17"/>
          <w:i w:val="1"/>
          <w:iCs w:val="1"/>
          <w:u w:val="single" w:color="auto"/>
          <w:color w:val="auto"/>
        </w:rPr>
        <w:t>Effectiveness and Events Requiring Notice to the Representative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shall use its commercially reasonable efforts to 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Registration Statement covering the issuance of the common shares underlying the Warrants to remain effective with a current prospectus for at least nine (9) months after the Applicable Time, and shall notify the Representative immediately and confirm the notice in writing: (i) of the cessation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Shares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that, in the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shall make every reasonable effort to obtain promptly the lifting of such order.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3.6. </w:t>
      </w:r>
      <w:r>
        <w:rPr>
          <w:rFonts w:ascii="Arial" w:cs="Arial" w:eastAsia="Arial" w:hAnsi="Arial"/>
          <w:sz w:val="18"/>
          <w:szCs w:val="18"/>
          <w:i w:val="1"/>
          <w:iCs w:val="1"/>
          <w:u w:val="single" w:color="auto"/>
          <w:color w:val="auto"/>
        </w:rPr>
        <w:t>Review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three (3) years after the date of this Agreement, the Company, at its expense, shall cause its</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engaged independent registered public accounting firm to review (but not audit) the Company’s financial statements for each of the three fiscal quarters immediately preceding the announcement of any quarterly financial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3.7. </w:t>
      </w:r>
      <w:r>
        <w:rPr>
          <w:rFonts w:ascii="Arial" w:cs="Arial" w:eastAsia="Arial" w:hAnsi="Arial"/>
          <w:sz w:val="18"/>
          <w:szCs w:val="18"/>
          <w:i w:val="1"/>
          <w:iCs w:val="1"/>
          <w:u w:val="single" w:color="auto"/>
          <w:color w:val="auto"/>
        </w:rPr>
        <w:t>Listing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use its commercially reasonable efforts to maintain the listing of the Shares and the common shares underlying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on the Exchange for at least three years from the date of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3.8. </w:t>
      </w:r>
      <w:r>
        <w:rPr>
          <w:rFonts w:ascii="Arial" w:cs="Arial" w:eastAsia="Arial" w:hAnsi="Arial"/>
          <w:sz w:val="18"/>
          <w:szCs w:val="18"/>
          <w:i w:val="1"/>
          <w:iCs w:val="1"/>
          <w:u w:val="single" w:color="auto"/>
          <w:color w:val="auto"/>
        </w:rPr>
        <w:t>Financial Public Relations Firm</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Effective Date, the Company shall have retained a financial public relations firm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to the Representative and the Company, which shall initially be [●], which firm shall be experienced in assisting issuers in initial public offerings of securities and in their relations with their security holders, and shall retain such firm or another firm reasonably acceptable to the Representative for a period of not less than two (2) years after the Effective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3.9. </w:t>
      </w:r>
      <w:r>
        <w:rPr>
          <w:rFonts w:ascii="Arial" w:cs="Arial" w:eastAsia="Arial" w:hAnsi="Arial"/>
          <w:sz w:val="18"/>
          <w:szCs w:val="18"/>
          <w:i w:val="1"/>
          <w:iCs w:val="1"/>
          <w:u w:val="single" w:color="auto"/>
          <w:color w:val="auto"/>
        </w:rPr>
        <w:t>Reports to the Representative</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u w:val="single" w:color="auto"/>
          <w:color w:val="auto"/>
        </w:rPr>
        <w:t>Periodic Reports, etc</w:t>
      </w:r>
      <w:r>
        <w:rPr>
          <w:rFonts w:ascii="Arial" w:cs="Arial" w:eastAsia="Arial" w:hAnsi="Arial"/>
          <w:sz w:val="16"/>
          <w:szCs w:val="16"/>
          <w:color w:val="auto"/>
        </w:rPr>
        <w:t xml:space="preserve">. For a period of three (3) years after the date of this Agreement, the Company shall furnish or make available to the Representative copies of such financial statements and other periodic and special reports as the Company from time to time furnishes generally to holders of any class of its securities and also furnish or make available to the Representative: (i) a copy of each periodic report the Company shall be required to file with the Commission under the Exchange Act and the Exchange Act Regulations; (ii) a copy of every press release and every news item and article with respect to the Company or its affairs which was released by the Company; (iii) a copy of each Form 6-K prepared and filed by the Company; (iv) a copy of each registration statement filed by the Company under the Securities Act; and (v) such additional documents and information with respect to the Company and the affairs of any future subsidiaries of the Company as the Representative may from time to time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Representative shall sign, if requested by the Company, a Regulation FD compliant confidentiality agreement which is reasonably acceptable to the Representative and Representative’s Counsel in connection with the Representative’s receipt of such information. Documents filed with the Commission pursuant to its EDGAR system shall be deemed to have been delivered to the Representative pursuant to this </w:t>
      </w:r>
      <w:r>
        <w:rPr>
          <w:rFonts w:ascii="Arial" w:cs="Arial" w:eastAsia="Arial" w:hAnsi="Arial"/>
          <w:sz w:val="16"/>
          <w:szCs w:val="16"/>
          <w:u w:val="single" w:color="auto"/>
          <w:color w:val="auto"/>
        </w:rPr>
        <w:t>Section 3.9.1</w:t>
      </w:r>
      <w:r>
        <w:rPr>
          <w:rFonts w:ascii="Arial" w:cs="Arial" w:eastAsia="Arial" w:hAnsi="Arial"/>
          <w:sz w:val="16"/>
          <w:szCs w:val="16"/>
          <w:color w:val="auto"/>
        </w:rPr>
        <w:t>.</w:t>
      </w:r>
    </w:p>
    <w:p>
      <w:pPr>
        <w:spacing w:after="0" w:line="16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3.9.2. </w:t>
      </w:r>
      <w:r>
        <w:rPr>
          <w:rFonts w:ascii="Arial" w:cs="Arial" w:eastAsia="Arial" w:hAnsi="Arial"/>
          <w:sz w:val="16"/>
          <w:szCs w:val="16"/>
          <w:u w:val="single" w:color="auto"/>
          <w:color w:val="auto"/>
        </w:rPr>
        <w:t>Transfer Agent; Transfer Sheets</w:t>
      </w:r>
      <w:r>
        <w:rPr>
          <w:rFonts w:ascii="Arial" w:cs="Arial" w:eastAsia="Arial" w:hAnsi="Arial"/>
          <w:sz w:val="16"/>
          <w:szCs w:val="16"/>
          <w:color w:val="auto"/>
        </w:rPr>
        <w:t>. For a period of three (3) years after the date of this Agreement, the Company shall retain a transfer agent and registrar acceptable to the Representative (the “</w:t>
      </w:r>
      <w:r>
        <w:rPr>
          <w:rFonts w:ascii="Arial" w:cs="Arial" w:eastAsia="Arial" w:hAnsi="Arial"/>
          <w:sz w:val="16"/>
          <w:szCs w:val="16"/>
          <w:b w:val="1"/>
          <w:bCs w:val="1"/>
          <w:color w:val="auto"/>
        </w:rPr>
        <w:t>Transfer Agent</w:t>
      </w:r>
      <w:r>
        <w:rPr>
          <w:rFonts w:ascii="Arial" w:cs="Arial" w:eastAsia="Arial" w:hAnsi="Arial"/>
          <w:sz w:val="16"/>
          <w:szCs w:val="16"/>
          <w:color w:val="auto"/>
        </w:rPr>
        <w:t>”) and shall furnish to the Representative at the Company’s sole cost and expense such transfer sheets of the Company’s securities as the Representative may reasonably request, including the daily and monthly consolidated transfer sheets of the Transfer Agent and DTC. [●] is acceptable to the Representative to act as Transfer Agent for the common shares of the Company.</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u w:val="single" w:color="auto"/>
          <w:color w:val="auto"/>
        </w:rPr>
        <w:t>Trading Reports</w:t>
      </w:r>
      <w:r>
        <w:rPr>
          <w:rFonts w:ascii="Arial" w:cs="Arial" w:eastAsia="Arial" w:hAnsi="Arial"/>
          <w:sz w:val="18"/>
          <w:szCs w:val="18"/>
          <w:color w:val="auto"/>
        </w:rPr>
        <w:t>. For a period of six months after the date hereof, during such time as the Shares are listed on the Exchange, the Company shall provide to the Representative, at the Company’s expense, such reports published by the Exchange relating to price trading of the Shares, as the Representative shall reasonably request.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3.10. </w:t>
      </w:r>
      <w:r>
        <w:rPr>
          <w:rFonts w:ascii="Arial" w:cs="Arial" w:eastAsia="Arial" w:hAnsi="Arial"/>
          <w:sz w:val="18"/>
          <w:szCs w:val="18"/>
          <w:i w:val="1"/>
          <w:iCs w:val="1"/>
          <w:u w:val="single" w:color="auto"/>
          <w:color w:val="auto"/>
        </w:rPr>
        <w:t>Consideration; Payment of Expenses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u w:val="single" w:color="auto"/>
          <w:color w:val="auto"/>
        </w:rPr>
        <w:t>Underwriting Discount</w:t>
      </w:r>
      <w:r>
        <w:rPr>
          <w:rFonts w:ascii="Arial" w:cs="Arial" w:eastAsia="Arial" w:hAnsi="Arial"/>
          <w:sz w:val="16"/>
          <w:szCs w:val="16"/>
          <w:color w:val="auto"/>
        </w:rPr>
        <w:t>. In consideration of the services to be provided for hereunder, the Company shall pay to the Underwriters or their respective designees their pro rata portion (based on the Shares purchased) of the following compensation with respect to the Shares which they are offering: (i) with respect to Shares sold to investors introduced by the Underwriters in this Offering, a six and a half percent (6.5%) underwriting discount; and (ii) with respect to Shares sold to investors introduced by the Company in this Offering, a four percent (4%) underwriting discount.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1297"/>
        <w:spacing w:after="0" w:line="283" w:lineRule="auto"/>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u w:val="single" w:color="auto"/>
          <w:color w:val="auto"/>
        </w:rPr>
        <w:t>Underwriters’ Warrants</w:t>
      </w:r>
      <w:r>
        <w:rPr>
          <w:rFonts w:ascii="Arial" w:cs="Arial" w:eastAsia="Arial" w:hAnsi="Arial"/>
          <w:sz w:val="16"/>
          <w:szCs w:val="16"/>
          <w:color w:val="auto"/>
        </w:rPr>
        <w:t>. The Company hereby agrees to issue to the Underwriters (and/or their designees) on the Closing Date or the Option Closing Date, as applicable, warrants to purchase such number of common shares of the Company equal to: (i) with respect to Shares sold to investors introduced by the Underwriters in this Offering, five percent (5%) of the gross payment amount to be disbursed to the Company on the Closing Date or the Option Closing Date, as applicable, for the Shares, and (ii) with respect to Shares sold to investors introduced by the Company in this Offering, three percent (3%) of the gross payment amount to be disbursed to the Company on the Closing Date or the Option Closing Date, as applicable, for the Shares. divided by the purchase price of the Shares (collectively, the “</w:t>
      </w:r>
      <w:r>
        <w:rPr>
          <w:rFonts w:ascii="Arial" w:cs="Arial" w:eastAsia="Arial" w:hAnsi="Arial"/>
          <w:sz w:val="16"/>
          <w:szCs w:val="16"/>
          <w:b w:val="1"/>
          <w:bCs w:val="1"/>
          <w:color w:val="auto"/>
        </w:rPr>
        <w:t>Underwriters’ Warrants</w:t>
      </w:r>
      <w:r>
        <w:rPr>
          <w:rFonts w:ascii="Arial" w:cs="Arial" w:eastAsia="Arial" w:hAnsi="Arial"/>
          <w:sz w:val="16"/>
          <w:szCs w:val="16"/>
          <w:color w:val="auto"/>
        </w:rPr>
        <w:t xml:space="preserve">”). The Underwriters’ Warrants,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shall be exercisable, in whole or in part, commencing on the effective date of the Registration Statement (the “</w:t>
      </w:r>
      <w:r>
        <w:rPr>
          <w:rFonts w:ascii="Arial" w:cs="Arial" w:eastAsia="Arial" w:hAnsi="Arial"/>
          <w:sz w:val="16"/>
          <w:szCs w:val="16"/>
          <w:b w:val="1"/>
          <w:bCs w:val="1"/>
          <w:color w:val="auto"/>
        </w:rPr>
        <w:t>Effective Date</w:t>
      </w:r>
      <w:r>
        <w:rPr>
          <w:rFonts w:ascii="Arial" w:cs="Arial" w:eastAsia="Arial" w:hAnsi="Arial"/>
          <w:sz w:val="16"/>
          <w:szCs w:val="16"/>
          <w:color w:val="auto"/>
        </w:rPr>
        <w:t>”) and expiring on the five-year anniversary thereof at an initial exercise price per common share of $[●], which is equal to 120% of the purchase price of the Shares. The Underwriters’ Warrants shall include a “cashless” exercise feature and shall include a provision for “piggy-back” registration rights until expiration or until the shares underlying the warrant are eligible for resale pursuant to an exemption from registration. The Representative understands and agrees that there are significant restrictions pursuant to FINRA Rule 5110 against transferring the Underwriters’ Warrants and the underlying common shares during the one hundred eighty</w:t>
      </w:r>
    </w:p>
    <w:p>
      <w:pPr>
        <w:spacing w:after="0" w:line="5" w:lineRule="exact"/>
        <w:rPr>
          <w:sz w:val="20"/>
          <w:szCs w:val="20"/>
          <w:color w:val="auto"/>
        </w:rPr>
      </w:pPr>
    </w:p>
    <w:p>
      <w:pPr>
        <w:jc w:val="both"/>
        <w:ind w:firstLine="8"/>
        <w:spacing w:after="0" w:line="252" w:lineRule="auto"/>
        <w:tabs>
          <w:tab w:leader="none" w:pos="4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days after the Effective Date and by its acceptance thereof shall agree that it will not sell, transfer, assign, pledge or hypothecate the Underwriters’ Warrants, or any portion thereof, or be the subject of any hedging, short sale, derivative, put or call transaction that would result in the effective economic disposition of such securities for a period of one hundred eighty (180) days following the Effective Date to anyone other than (i) an Underwriter, or (ii) a bona fide officer or partner of the Underwriters; and only if any such transferee agrees to the foregoing lock-up restrictions. Delivery of the Underwriters’ Warrants shall be made on the Closing Date or the Option Closing Date, as applicable, and shall be issued in the name or names and in such authorized denominations as the Representative may request.</w:t>
      </w:r>
    </w:p>
    <w:p>
      <w:pPr>
        <w:spacing w:after="0" w:line="19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3.10.3. </w:t>
      </w: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(a) all filing fees and communication expenses relating to the registration of the Shares to be sold in the Offering (including the Over-allotment Option) with the Commission; (b) all Public Filing System filing fees associated with the review of the Offering by FINRA; (c) all fees and expenses relating to the listing of such Shares on the Exchange and such other Share exchanges as the Company and the Representative together determine;</w:t>
      </w:r>
    </w:p>
    <w:p>
      <w:pPr>
        <w:spacing w:after="0" w:line="2" w:lineRule="exact"/>
        <w:rPr>
          <w:sz w:val="20"/>
          <w:szCs w:val="20"/>
          <w:color w:val="auto"/>
        </w:rPr>
      </w:pPr>
    </w:p>
    <w:p>
      <w:pPr>
        <w:jc w:val="both"/>
        <w:ind w:firstLine="8"/>
        <w:spacing w:after="0" w:line="284" w:lineRule="auto"/>
        <w:tabs>
          <w:tab w:leader="none" w:pos="2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fees, expenses and disbursements relating to background checks of the Company’s officers and directors; (e) all fees, expenses and disbursements relating to the registration, qualification or exemption of the Shares under the securities laws of such foreign jurisdictions as the Representative may reasonably designate; (f)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(g) the costs and expenses of a public relations firm; (h) the costs of preparing, printing and delivering certificates representing the Shares; (i) fees and expenses of the transfer agent for the common shares of the Company; (j) Share transfer and/or stamp taxes, if any, payable upon the transfer of securities from the Company to the Underwriters; (k) the fees and expenses of the Company’s accountants; (l) the fees and expenses of the Company’s legal counsel and other agents and representatives; (m) fees and expenses of the Representative’s Counsel not to exceed $75,000 ($10,000 of which was already paid); (n) third-party due diligence expenses up to $50,000; (o) the cost associated with the Underwriters’ use of Ipreo’s book-building, prospectus tracking and compliance software for the Offering not to exceed $15,000 in the aggregate; (p) up to $25,000 of the Underwriters’ actual accountable “road show” expenses for the Offering; and (q) the costs associated with the bound volumes of the public offering materials as well as commemorative mementos and lucite tombstones in an amount not to exceed $2,500, with all of the Underwriters’ out-of-pocket expenses under sub-sections 3.10.3(m)-(q) not to exceed $167,500. The Representative may deduct from the net proceeds of the Offering payable to the Company on the Closing Date, or the Option Closing Date, if any, the expenses set forth herein to be paid by the Company to the Underwriters.</w:t>
      </w:r>
    </w:p>
    <w:p>
      <w:pPr>
        <w:spacing w:after="0" w:line="17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3.10.4. </w:t>
      </w:r>
      <w:r>
        <w:rPr>
          <w:rFonts w:ascii="Arial" w:cs="Arial" w:eastAsia="Arial" w:hAnsi="Arial"/>
          <w:sz w:val="17"/>
          <w:szCs w:val="17"/>
          <w:u w:val="single" w:color="auto"/>
          <w:color w:val="auto"/>
        </w:rPr>
        <w:t>Non-accountable Expenses</w:t>
      </w:r>
      <w:r>
        <w:rPr>
          <w:rFonts w:ascii="Arial" w:cs="Arial" w:eastAsia="Arial" w:hAnsi="Arial"/>
          <w:sz w:val="17"/>
          <w:szCs w:val="17"/>
          <w:color w:val="auto"/>
        </w:rPr>
        <w:t xml:space="preserve">. The Company further agrees that, in addition to the expenses payable pursuant to </w:t>
      </w:r>
      <w:r>
        <w:rPr>
          <w:rFonts w:ascii="Arial" w:cs="Arial" w:eastAsia="Arial" w:hAnsi="Arial"/>
          <w:sz w:val="17"/>
          <w:szCs w:val="17"/>
          <w:u w:val="single" w:color="auto"/>
          <w:color w:val="auto"/>
        </w:rPr>
        <w:t>Section 3.10.3</w:t>
      </w:r>
      <w:r>
        <w:rPr>
          <w:rFonts w:ascii="Arial" w:cs="Arial" w:eastAsia="Arial" w:hAnsi="Arial"/>
          <w:sz w:val="17"/>
          <w:szCs w:val="17"/>
          <w:color w:val="auto"/>
        </w:rPr>
        <w:t xml:space="preserve">, on the Closing Date it shall pay to the Representative, by deduction from the net proceeds of the Offering contemplated herein, a non-accountable expense allowance equal to half a percent (0.5%) of the gross proceeds received by the Company from the sale of the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that the Offering is terminated, the Company agrees to reimburse the Underwriters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hereof.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3.11. </w:t>
      </w:r>
      <w:r>
        <w:rPr>
          <w:rFonts w:ascii="Arial" w:cs="Arial" w:eastAsia="Arial" w:hAnsi="Arial"/>
          <w:sz w:val="17"/>
          <w:szCs w:val="17"/>
          <w:i w:val="1"/>
          <w:iCs w:val="1"/>
          <w:u w:val="single" w:color="auto"/>
          <w:color w:val="auto"/>
        </w:rPr>
        <w:t>Application of Net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shall apply the net proceeds from the Offering received by it in a manner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thereof described under the caption “Use of Proceeds” in the Registration Statement, the Pricing Disclosure Package and the Prospectus.</w:t>
      </w:r>
    </w:p>
    <w:p>
      <w:pPr>
        <w:spacing w:after="0" w:line="14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i w:val="1"/>
          <w:iCs w:val="1"/>
          <w:color w:val="auto"/>
        </w:rPr>
        <w:t xml:space="preserve">3.12. </w:t>
      </w:r>
      <w:r>
        <w:rPr>
          <w:rFonts w:ascii="Arial" w:cs="Arial" w:eastAsia="Arial" w:hAnsi="Arial"/>
          <w:sz w:val="18"/>
          <w:szCs w:val="18"/>
          <w:i w:val="1"/>
          <w:iCs w:val="1"/>
          <w:u w:val="single" w:color="auto"/>
          <w:color w:val="auto"/>
        </w:rPr>
        <w:t>Delivery of Earnings Statements to Security Holders</w:t>
      </w:r>
      <w:r>
        <w:rPr>
          <w:rFonts w:ascii="Arial" w:cs="Arial" w:eastAsia="Arial" w:hAnsi="Arial"/>
          <w:sz w:val="18"/>
          <w:szCs w:val="18"/>
          <w:color w:val="auto"/>
        </w:rPr>
        <w:t>. The Company shall make generally available to its security holders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but not later than the first day of the fifteenth (15</w:t>
      </w:r>
      <w:r>
        <w:rPr>
          <w:rFonts w:ascii="Arial" w:cs="Arial" w:eastAsia="Arial" w:hAnsi="Arial"/>
          <w:sz w:val="30"/>
          <w:szCs w:val="30"/>
          <w:color w:val="auto"/>
          <w:vertAlign w:val="superscript"/>
        </w:rPr>
        <w:t>th</w:t>
      </w:r>
      <w:r>
        <w:rPr>
          <w:rFonts w:ascii="Arial" w:cs="Arial" w:eastAsia="Arial" w:hAnsi="Arial"/>
          <w:sz w:val="18"/>
          <w:szCs w:val="18"/>
          <w:color w:val="auto"/>
        </w:rPr>
        <w:t>) full calendar month following the date of this Agreement, an earnings statement (which need not be certified by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3.13. </w:t>
      </w:r>
      <w:r>
        <w:rPr>
          <w:rFonts w:ascii="Arial" w:cs="Arial" w:eastAsia="Arial" w:hAnsi="Arial"/>
          <w:sz w:val="17"/>
          <w:szCs w:val="17"/>
          <w:i w:val="1"/>
          <w:iCs w:val="1"/>
          <w:u w:val="single" w:color="auto"/>
          <w:color w:val="auto"/>
        </w:rPr>
        <w:t>Stabilization</w:t>
      </w:r>
      <w:r>
        <w:rPr>
          <w:rFonts w:ascii="Arial" w:cs="Arial" w:eastAsia="Arial" w:hAnsi="Arial"/>
          <w:sz w:val="17"/>
          <w:szCs w:val="17"/>
          <w:i w:val="1"/>
          <w:iCs w:val="1"/>
          <w:color w:val="auto"/>
        </w:rPr>
        <w:t xml:space="preserve">. </w:t>
      </w:r>
      <w:r>
        <w:rPr>
          <w:rFonts w:ascii="Arial" w:cs="Arial" w:eastAsia="Arial" w:hAnsi="Arial"/>
          <w:sz w:val="17"/>
          <w:szCs w:val="17"/>
          <w:color w:val="auto"/>
        </w:rPr>
        <w:t>Neither the Company nor, to its knowledge, any of its employees, directors or shareholders has taken or shall take,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Shares.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3.14. </w:t>
      </w:r>
      <w:r>
        <w:rPr>
          <w:rFonts w:ascii="Arial" w:cs="Arial" w:eastAsia="Arial" w:hAnsi="Arial"/>
          <w:sz w:val="18"/>
          <w:szCs w:val="18"/>
          <w:i w:val="1"/>
          <w:iCs w:val="1"/>
          <w:u w:val="single" w:color="auto"/>
          <w:color w:val="auto"/>
        </w:rPr>
        <w:t>Internal Controls</w:t>
      </w:r>
      <w:r>
        <w:rPr>
          <w:rFonts w:ascii="Arial" w:cs="Arial" w:eastAsia="Arial" w:hAnsi="Arial"/>
          <w:sz w:val="18"/>
          <w:szCs w:val="18"/>
          <w:color w:val="auto"/>
        </w:rPr>
        <w:t>. Except to the extent disclosed in the Registration Statement, Pricing Disclosure Package and Prospectus,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3.15. </w:t>
      </w:r>
      <w:r>
        <w:rPr>
          <w:rFonts w:ascii="Arial" w:cs="Arial" w:eastAsia="Arial" w:hAnsi="Arial"/>
          <w:sz w:val="16"/>
          <w:szCs w:val="16"/>
          <w:i w:val="1"/>
          <w:iCs w:val="1"/>
          <w:u w:val="single" w:color="auto"/>
          <w:color w:val="auto"/>
        </w:rPr>
        <w:t>Accountants</w:t>
      </w:r>
      <w:r>
        <w:rPr>
          <w:rFonts w:ascii="Arial" w:cs="Arial" w:eastAsia="Arial" w:hAnsi="Arial"/>
          <w:sz w:val="16"/>
          <w:szCs w:val="16"/>
          <w:color w:val="auto"/>
        </w:rPr>
        <w:t>. As of the date of this Agreement, the Company has retained an independent registered public accounting firm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to the Representative, and the Company shall continue to retain a nationally recognized independent registered public accounting firm for a period of at least three (3) years after the date of this Agreement. The Representative acknowledges that the Auditor is acceptable to the Representative.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3.16. </w:t>
      </w:r>
      <w:r>
        <w:rPr>
          <w:rFonts w:ascii="Arial" w:cs="Arial" w:eastAsia="Arial" w:hAnsi="Arial"/>
          <w:sz w:val="18"/>
          <w:szCs w:val="18"/>
          <w:i w:val="1"/>
          <w:iCs w:val="1"/>
          <w:u w:val="single" w:color="auto"/>
          <w:color w:val="auto"/>
        </w:rPr>
        <w:t>FINRA</w:t>
      </w:r>
      <w:r>
        <w:rPr>
          <w:rFonts w:ascii="Arial" w:cs="Arial" w:eastAsia="Arial" w:hAnsi="Arial"/>
          <w:sz w:val="18"/>
          <w:szCs w:val="18"/>
          <w:color w:val="auto"/>
        </w:rPr>
        <w:t>. For a period of 90 days from the later of the Closing Date or the Option Closing Date, the Company shall advise the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(who shall make an appropriate filing with FINRA) if it is or becomes aware that (i) any officer or director of the Company, (ii) any beneficial owner of 5%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3.17. </w:t>
      </w:r>
      <w:r>
        <w:rPr>
          <w:rFonts w:ascii="Arial" w:cs="Arial" w:eastAsia="Arial" w:hAnsi="Arial"/>
          <w:sz w:val="17"/>
          <w:szCs w:val="17"/>
          <w:i w:val="1"/>
          <w:iCs w:val="1"/>
          <w:u w:val="single" w:color="auto"/>
          <w:color w:val="auto"/>
        </w:rPr>
        <w:t>No Fiduciary Duties</w:t>
      </w:r>
      <w:r>
        <w:rPr>
          <w:rFonts w:ascii="Arial" w:cs="Arial" w:eastAsia="Arial" w:hAnsi="Arial"/>
          <w:sz w:val="17"/>
          <w:szCs w:val="17"/>
          <w:color w:val="auto"/>
        </w:rPr>
        <w:t>. The Company acknowledges and agrees that the Underwriters’ responsibility to the Company is solely contractual in</w:t>
      </w:r>
      <w:r>
        <w:rPr>
          <w:rFonts w:ascii="Arial" w:cs="Arial" w:eastAsia="Arial" w:hAnsi="Arial"/>
          <w:sz w:val="17"/>
          <w:szCs w:val="17"/>
          <w:i w:val="1"/>
          <w:iCs w:val="1"/>
          <w:color w:val="auto"/>
        </w:rPr>
        <w:t xml:space="preserve"> </w:t>
      </w:r>
      <w:r>
        <w:rPr>
          <w:rFonts w:ascii="Arial" w:cs="Arial" w:eastAsia="Arial" w:hAnsi="Arial"/>
          <w:sz w:val="17"/>
          <w:szCs w:val="17"/>
          <w:color w:val="auto"/>
        </w:rPr>
        <w:t>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3.18. </w:t>
      </w:r>
      <w:r>
        <w:rPr>
          <w:rFonts w:ascii="Arial" w:cs="Arial" w:eastAsia="Arial" w:hAnsi="Arial"/>
          <w:sz w:val="18"/>
          <w:szCs w:val="18"/>
          <w:i w:val="1"/>
          <w:iCs w:val="1"/>
          <w:u w:val="single" w:color="auto"/>
          <w:color w:val="auto"/>
        </w:rPr>
        <w:t>Company Lock-Up Agreements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3.18.1. Restriction on Sales of Capital Share. The Company, on behalf of itself and any successor entity, agrees that, without the prior written consent of the Representative, it will not, for a period of six (6) months after the date of this Agreement (the “</w:t>
      </w:r>
      <w:r>
        <w:rPr>
          <w:rFonts w:ascii="Arial" w:cs="Arial" w:eastAsia="Arial" w:hAnsi="Arial"/>
          <w:sz w:val="16"/>
          <w:szCs w:val="16"/>
          <w:b w:val="1"/>
          <w:bCs w:val="1"/>
          <w:color w:val="auto"/>
        </w:rPr>
        <w:t>Lock-Up Period</w:t>
      </w:r>
      <w:r>
        <w:rPr>
          <w:rFonts w:ascii="Arial" w:cs="Arial" w:eastAsia="Arial" w:hAnsi="Arial"/>
          <w:sz w:val="16"/>
          <w:szCs w:val="16"/>
          <w:color w:val="auto"/>
        </w:rPr>
        <w:t>”), (i) offer, pledge, sell, contract to sell, sell any option or contract to purchase, purchase any option or contract to sell, grant any option, right or warrant to purchase, lend, or otherwise transfer or dispose of, directly or indirectly, any shares of capital Share of the Company or any securities convertible into or exercisable or exchangeable for shares of capital Share of the Company; (ii) file or caused to be filed any registration statement with the Commission relating to the offering of any shares of capital Share of the Company or any securities convertible into or exercisable or exchangeable for shares of capital Share of the Company;</w:t>
      </w:r>
    </w:p>
    <w:p>
      <w:pPr>
        <w:spacing w:after="0" w:line="5" w:lineRule="exact"/>
        <w:rPr>
          <w:sz w:val="20"/>
          <w:szCs w:val="20"/>
          <w:color w:val="auto"/>
        </w:rPr>
      </w:pPr>
    </w:p>
    <w:p>
      <w:pPr>
        <w:jc w:val="both"/>
        <w:ind w:firstLine="8"/>
        <w:spacing w:after="0" w:line="268"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complete any offering of debt securities of the Company, other than entering into a line of credit with a traditional bank or (iv) enter into any swap or other arrangement that transfers to another, in whole or in part, any of the economic consequences of ownership of capital Share of the Company, whether any such transaction described in clause (i), (ii), (iii) or (iv) above is to be settled by delivery of shares of capital Share of the Company or such other securities, in cash or otherwise. The restrictions contained in this </w:t>
      </w:r>
      <w:r>
        <w:rPr>
          <w:rFonts w:ascii="Arial" w:cs="Arial" w:eastAsia="Arial" w:hAnsi="Arial"/>
          <w:sz w:val="17"/>
          <w:szCs w:val="17"/>
          <w:u w:val="single" w:color="auto"/>
          <w:color w:val="auto"/>
        </w:rPr>
        <w:t>Section 3.18.1</w:t>
      </w:r>
      <w:r>
        <w:rPr>
          <w:rFonts w:ascii="Arial" w:cs="Arial" w:eastAsia="Arial" w:hAnsi="Arial"/>
          <w:sz w:val="17"/>
          <w:szCs w:val="17"/>
          <w:color w:val="auto"/>
        </w:rPr>
        <w:t xml:space="preserve"> shall not apply to (i) the common shares of the Company to be sold hereunder, (ii) the issuance by the Company of common shares of the Company upon the exercise of a Share option or warrant or the conversion of a security outstanding on the date hereof, (iii) the issuance by the Company of options or common shares of the Company under any equity compensation plan of the Company, (iv) any issuance of securities disclosed in the Registration Statement, the Pricing Disclosure Package or the Prospectus, and (v) the filing of a Registration Statement on Form S-8 or any successor form thereto.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1297"/>
        <w:spacing w:after="0" w:line="257" w:lineRule="auto"/>
        <w:rPr>
          <w:sz w:val="20"/>
          <w:szCs w:val="20"/>
          <w:color w:val="auto"/>
        </w:rPr>
      </w:pPr>
      <w:r>
        <w:rPr>
          <w:rFonts w:ascii="Arial" w:cs="Arial" w:eastAsia="Arial" w:hAnsi="Arial"/>
          <w:sz w:val="18"/>
          <w:szCs w:val="18"/>
          <w:color w:val="auto"/>
        </w:rPr>
        <w:t>3.18.2. Restriction on Continuous Offerings. Notwithstanding the restrictions contained in Section 3.18.1, the Company, on behalf of itself and any successor entity, agrees that, without the prior written consent of the Representatives, it will not, for a period of six (6) months after the date of this Agreement, directly or indirectly in any “at-the-market” or continuous equity transaction, offer to sell, sell, contract to sell, grant any option to sell or otherwise dispose of shares of capital Share of the Company or any securities convertible into or exercisable or exchangeable for shares of capital Share of the Company.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3.19. </w:t>
      </w:r>
      <w:r>
        <w:rPr>
          <w:rFonts w:ascii="Arial" w:cs="Arial" w:eastAsia="Arial" w:hAnsi="Arial"/>
          <w:sz w:val="18"/>
          <w:szCs w:val="18"/>
          <w:i w:val="1"/>
          <w:iCs w:val="1"/>
          <w:u w:val="single" w:color="auto"/>
          <w:color w:val="auto"/>
        </w:rPr>
        <w:t>Release of D&amp;O Lock-up Period</w:t>
      </w:r>
      <w:r>
        <w:rPr>
          <w:rFonts w:ascii="Arial" w:cs="Arial" w:eastAsia="Arial" w:hAnsi="Arial"/>
          <w:sz w:val="18"/>
          <w:szCs w:val="18"/>
          <w:color w:val="auto"/>
        </w:rPr>
        <w:t>. If the Representative, in its sole discretion, agrees to release or waive the restrictions set forth in the Lock-Up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Agreements described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hereof for an officer or director of the Company and provides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through a major news service at least two (2) Business Days before the effective date of the release or waiver.</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3.20. </w:t>
      </w:r>
      <w:r>
        <w:rPr>
          <w:rFonts w:ascii="Arial" w:cs="Arial" w:eastAsia="Arial" w:hAnsi="Arial"/>
          <w:sz w:val="16"/>
          <w:szCs w:val="16"/>
          <w:i w:val="1"/>
          <w:iCs w:val="1"/>
          <w:u w:val="single" w:color="auto"/>
          <w:color w:val="auto"/>
        </w:rPr>
        <w:t>Blue Sky Qualifications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use its best efforts, in cooperation with the Underwriters, if necessary, to qualify the Shares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offering and sale under the applicable securities laws of such states and other jurisdictions (domestic or foreign) as the Representative may designate and to maintain such qualifications in effect so long as required to complete the distribution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3.21. </w:t>
      </w:r>
      <w:r>
        <w:rPr>
          <w:rFonts w:ascii="Arial" w:cs="Arial" w:eastAsia="Arial" w:hAnsi="Arial"/>
          <w:sz w:val="17"/>
          <w:szCs w:val="17"/>
          <w:i w:val="1"/>
          <w:iCs w:val="1"/>
          <w:u w:val="single" w:color="auto"/>
          <w:color w:val="auto"/>
        </w:rPr>
        <w:t>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during the period when a prospectus relating to the Shares is (or, but for the exception afforded by</w:t>
      </w:r>
      <w:r>
        <w:rPr>
          <w:rFonts w:ascii="Arial" w:cs="Arial" w:eastAsia="Arial" w:hAnsi="Arial"/>
          <w:sz w:val="17"/>
          <w:szCs w:val="17"/>
          <w:i w:val="1"/>
          <w:iCs w:val="1"/>
          <w:color w:val="auto"/>
        </w:rPr>
        <w:t xml:space="preserve"> </w:t>
      </w:r>
      <w:r>
        <w:rPr>
          <w:rFonts w:ascii="Arial" w:cs="Arial" w:eastAsia="Arial" w:hAnsi="Arial"/>
          <w:sz w:val="17"/>
          <w:szCs w:val="17"/>
          <w:color w:val="auto"/>
        </w:rPr>
        <w:t>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Shares as may be required under Rule 463 under the Securities Act Regulations.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3.22. </w:t>
      </w:r>
      <w:r>
        <w:rPr>
          <w:rFonts w:ascii="Arial" w:cs="Arial" w:eastAsia="Arial" w:hAnsi="Arial"/>
          <w:sz w:val="18"/>
          <w:szCs w:val="18"/>
          <w:i w:val="1"/>
          <w:iCs w:val="1"/>
          <w:u w:val="single" w:color="auto"/>
          <w:color w:val="auto"/>
        </w:rPr>
        <w:t>Emerging Growth Company Status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promptly notify the Representative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the Shares within the meaning of the Securities Act and (ii) fifteen (15) days following the completion of the Lock-Up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8"/>
        <w:spacing w:after="0" w:line="259"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Underwriters to purchase and pay for the Shares,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4.1. </w:t>
      </w:r>
      <w:r>
        <w:rPr>
          <w:rFonts w:ascii="Arial" w:cs="Arial" w:eastAsia="Arial" w:hAnsi="Arial"/>
          <w:sz w:val="18"/>
          <w:szCs w:val="18"/>
          <w:i w:val="1"/>
          <w:iCs w:val="1"/>
          <w:u w:val="single" w:color="auto"/>
          <w:color w:val="auto"/>
        </w:rPr>
        <w:t>Regulatory Matters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Effectiveness of Registration Statement; Rule 430A Information</w:t>
      </w:r>
      <w:r>
        <w:rPr>
          <w:rFonts w:ascii="Arial" w:cs="Arial" w:eastAsia="Arial" w:hAnsi="Arial"/>
          <w:sz w:val="16"/>
          <w:szCs w:val="16"/>
          <w:color w:val="auto"/>
        </w:rPr>
        <w:t>. The Registration Statement has become effective not later than 5:00 p.m., Eastern time, on the date of this Agreement or such later date and time as shall be consented to in writing by you, and, at each of the Closing Date and any Option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The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6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On or before the date of this Agreement,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Exchange Share Market Clearance</w:t>
      </w:r>
      <w:r>
        <w:rPr>
          <w:rFonts w:ascii="Arial" w:cs="Arial" w:eastAsia="Arial" w:hAnsi="Arial"/>
          <w:sz w:val="18"/>
          <w:szCs w:val="18"/>
          <w:color w:val="auto"/>
        </w:rPr>
        <w:t>. On the Closing Date, the Shares shall have been approved for listing on the Exchange, subject only to official notice of issuance. On the first Option Closing Date (if any), the Option Shares shall have been approved for listing on the Exchange, subject only to official notice of issuance.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4.2. </w:t>
      </w:r>
      <w:r>
        <w:rPr>
          <w:rFonts w:ascii="Arial" w:cs="Arial" w:eastAsia="Arial" w:hAnsi="Arial"/>
          <w:sz w:val="18"/>
          <w:szCs w:val="18"/>
          <w:i w:val="1"/>
          <w:iCs w:val="1"/>
          <w:u w:val="single" w:color="auto"/>
          <w:color w:val="auto"/>
        </w:rPr>
        <w:t>Company Counsel Matters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Opinions of Counsels</w:t>
      </w:r>
      <w:r>
        <w:rPr>
          <w:rFonts w:ascii="Arial" w:cs="Arial" w:eastAsia="Arial" w:hAnsi="Arial"/>
          <w:sz w:val="18"/>
          <w:szCs w:val="18"/>
          <w:color w:val="auto"/>
        </w:rPr>
        <w:t>. On the Closing Date, the Representative shall have received the favorable opinion, in form and substance reasonably satisfactory to Representative’s Counsel addressed to each of the Underwriters (including the Representative) and stating that such opinions may be relied upon by Representative’s Counsel, of each of the following counsels:</w:t>
      </w:r>
    </w:p>
    <w:p>
      <w:pPr>
        <w:spacing w:after="0" w:line="181" w:lineRule="exact"/>
        <w:rPr>
          <w:sz w:val="20"/>
          <w:szCs w:val="20"/>
          <w:color w:val="auto"/>
        </w:rPr>
      </w:pPr>
    </w:p>
    <w:p>
      <w:pPr>
        <w:ind w:firstLine="1953"/>
        <w:spacing w:after="0" w:line="277" w:lineRule="auto"/>
        <w:tabs>
          <w:tab w:leader="none" w:pos="21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Schiff Hardin LLP, U.S. counsel for the Company, with respect to matters of U.S. law, to the effect set forth in </w:t>
      </w:r>
      <w:r>
        <w:rPr>
          <w:rFonts w:ascii="Arial" w:cs="Arial" w:eastAsia="Arial" w:hAnsi="Arial"/>
          <w:sz w:val="18"/>
          <w:szCs w:val="18"/>
          <w:u w:val="single" w:color="auto"/>
          <w:color w:val="auto"/>
        </w:rPr>
        <w:t>Exhibit D-I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right="20" w:firstLine="1953"/>
        <w:spacing w:after="0" w:line="277" w:lineRule="auto"/>
        <w:tabs>
          <w:tab w:leader="none" w:pos="22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Ogier, special counsel for the Company with respect to matters of Cayman Islands law, to the effect set forth in </w:t>
      </w:r>
      <w:r>
        <w:rPr>
          <w:rFonts w:ascii="Arial" w:cs="Arial" w:eastAsia="Arial" w:hAnsi="Arial"/>
          <w:sz w:val="18"/>
          <w:szCs w:val="18"/>
          <w:u w:val="single" w:color="auto"/>
          <w:color w:val="auto"/>
        </w:rPr>
        <w:t>Exhibit D-II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Hansen &amp; Partners, special counsel for the Company with respect to matters of People’s Republic of China law, to the effect set forth in </w:t>
      </w:r>
      <w:r>
        <w:rPr>
          <w:rFonts w:ascii="Arial" w:cs="Arial" w:eastAsia="Arial" w:hAnsi="Arial"/>
          <w:sz w:val="18"/>
          <w:szCs w:val="18"/>
          <w:u w:val="single" w:color="auto"/>
          <w:color w:val="auto"/>
        </w:rPr>
        <w:t>Exhibit D-III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Angela Ho &amp; Associates, special counsel for the Company with respect to matters of Hong Kong law, to the effect set forth in </w:t>
      </w:r>
      <w:r>
        <w:rPr>
          <w:rFonts w:ascii="Arial" w:cs="Arial" w:eastAsia="Arial" w:hAnsi="Arial"/>
          <w:sz w:val="18"/>
          <w:szCs w:val="18"/>
          <w:u w:val="single" w:color="auto"/>
          <w:color w:val="auto"/>
        </w:rPr>
        <w:t>Exhibit D-IV</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Ogier, special counsel for the Company with respect to matters of British Virgin Islands law, to the effect set forth in </w:t>
      </w:r>
      <w:r>
        <w:rPr>
          <w:rFonts w:ascii="Arial" w:cs="Arial" w:eastAsia="Arial" w:hAnsi="Arial"/>
          <w:sz w:val="18"/>
          <w:szCs w:val="18"/>
          <w:u w:val="single" w:color="auto"/>
          <w:color w:val="auto"/>
        </w:rPr>
        <w:t>Exhibit D-V</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Chien Yeh Law Offices, special counsel for the Company with respect to matters of Taiwan law, to the effect set forth in </w:t>
      </w:r>
      <w:r>
        <w:rPr>
          <w:rFonts w:ascii="Arial" w:cs="Arial" w:eastAsia="Arial" w:hAnsi="Arial"/>
          <w:sz w:val="18"/>
          <w:szCs w:val="18"/>
          <w:u w:val="single" w:color="auto"/>
          <w:color w:val="auto"/>
        </w:rPr>
        <w:t>Exhibit D-VI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right="20" w:firstLine="1953"/>
        <w:spacing w:after="0" w:line="277" w:lineRule="auto"/>
        <w:tabs>
          <w:tab w:leader="none" w:pos="23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Chandlers International Lawyers, special counsel for the Company with respect to matters of Australia law, to the effect set forth in </w:t>
      </w:r>
      <w:r>
        <w:rPr>
          <w:rFonts w:ascii="Arial" w:cs="Arial" w:eastAsia="Arial" w:hAnsi="Arial"/>
          <w:sz w:val="18"/>
          <w:szCs w:val="18"/>
          <w:u w:val="single" w:color="auto"/>
          <w:color w:val="auto"/>
        </w:rPr>
        <w:t>Exhibit D-VII</w:t>
      </w:r>
      <w:r>
        <w:rPr>
          <w:rFonts w:ascii="Arial" w:cs="Arial" w:eastAsia="Arial" w:hAnsi="Arial"/>
          <w:sz w:val="18"/>
          <w:szCs w:val="18"/>
          <w:color w:val="auto"/>
        </w:rPr>
        <w:t xml:space="preserve"> hereto and to such further effect as Representative’s Counsel may reasonably request; and</w:t>
      </w:r>
    </w:p>
    <w:p>
      <w:pPr>
        <w:spacing w:after="0" w:line="170" w:lineRule="exact"/>
        <w:rPr>
          <w:rFonts w:ascii="Arial" w:cs="Arial" w:eastAsia="Arial" w:hAnsi="Arial"/>
          <w:sz w:val="18"/>
          <w:szCs w:val="18"/>
          <w:color w:val="auto"/>
        </w:rPr>
      </w:pPr>
    </w:p>
    <w:p>
      <w:pPr>
        <w:ind w:firstLine="1953"/>
        <w:spacing w:after="0" w:line="277" w:lineRule="auto"/>
        <w:tabs>
          <w:tab w:leader="none" w:pos="23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Jan Tan &amp; Chan, special counsel for the Company with respect to matters of Singapore law, to the effect set forth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D-VIII</w:t>
      </w:r>
      <w:r>
        <w:rPr>
          <w:rFonts w:ascii="Arial" w:cs="Arial" w:eastAsia="Arial" w:hAnsi="Arial"/>
          <w:sz w:val="18"/>
          <w:szCs w:val="18"/>
          <w:color w:val="auto"/>
        </w:rPr>
        <w:t xml:space="preserve"> hereto and to such further effect as Representative’s Counsel may reasonably request.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right="20" w:firstLine="1297"/>
        <w:spacing w:after="0" w:line="312"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Option Closing Date Opinion of Counsel</w:t>
      </w:r>
      <w:r>
        <w:rPr>
          <w:rFonts w:ascii="Arial" w:cs="Arial" w:eastAsia="Arial" w:hAnsi="Arial"/>
          <w:sz w:val="16"/>
          <w:szCs w:val="16"/>
          <w:color w:val="auto"/>
        </w:rPr>
        <w:t xml:space="preserve">. On the Option Closing Date, if any, the Representatives shall have received the favorable opinions of counsel listed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dated the Option Closing Date, addressed to the Representative and in form and substance reasonably satisfactory to the Representative, confirming as of the Option Closing Date, the statements made by such counsel in their opinions delivered on the Closing Date.</w:t>
      </w:r>
    </w:p>
    <w:p>
      <w:pPr>
        <w:spacing w:after="0" w:line="14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Reliance</w:t>
      </w:r>
      <w:r>
        <w:rPr>
          <w:rFonts w:ascii="Arial" w:cs="Arial" w:eastAsia="Arial" w:hAnsi="Arial"/>
          <w:sz w:val="16"/>
          <w:szCs w:val="16"/>
          <w:color w:val="auto"/>
        </w:rPr>
        <w:t xml:space="preserve">. In rendering such opinions,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copies of any such statements or certificates shall be delivered to Representative’s Counsel if requested.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4.3. </w:t>
      </w:r>
      <w:r>
        <w:rPr>
          <w:rFonts w:ascii="Arial" w:cs="Arial" w:eastAsia="Arial" w:hAnsi="Arial"/>
          <w:sz w:val="18"/>
          <w:szCs w:val="18"/>
          <w:i w:val="1"/>
          <w:iCs w:val="1"/>
          <w:u w:val="single" w:color="auto"/>
          <w:color w:val="auto"/>
        </w:rPr>
        <w:t>Comfort Letters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At the time this Agreement is executed you shall have received a cold comfort letter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and in form and substance satisfactory in all respects to you and to the Auditor, dated as of the date of this Agreement.</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xml:space="preserve">. At each of the Closing Date and the Option Closing Date, if any, the Representative shall have received from the Auditor a letter, dated as of the Closing Date or the Option Closing Date, as applicable, to the effect that the Auditor reaffirms the statements made in the letter furnished pursuant to </w:t>
      </w:r>
      <w:r>
        <w:rPr>
          <w:rFonts w:ascii="Arial" w:cs="Arial" w:eastAsia="Arial" w:hAnsi="Arial"/>
          <w:sz w:val="18"/>
          <w:szCs w:val="18"/>
          <w:u w:val="single" w:color="auto"/>
          <w:color w:val="auto"/>
        </w:rPr>
        <w:t>Section 4.3.1</w:t>
      </w:r>
      <w:r>
        <w:rPr>
          <w:rFonts w:ascii="Arial" w:cs="Arial" w:eastAsia="Arial" w:hAnsi="Arial"/>
          <w:sz w:val="18"/>
          <w:szCs w:val="18"/>
          <w:color w:val="auto"/>
        </w:rPr>
        <w:t>, except that the specified date referred to shall be a date not more than three (3) business days prior to the Closing Date or the Option Closing Date,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4.4. </w:t>
      </w:r>
      <w:r>
        <w:rPr>
          <w:rFonts w:ascii="Arial" w:cs="Arial" w:eastAsia="Arial" w:hAnsi="Arial"/>
          <w:sz w:val="18"/>
          <w:szCs w:val="18"/>
          <w:i w:val="1"/>
          <w:iCs w:val="1"/>
          <w:u w:val="single" w:color="auto"/>
          <w:color w:val="auto"/>
        </w:rPr>
        <w:t>Officers’ Certificates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Company shall have furnished to the Representative a certificate, dated the Closing Date and any Option Closing Date (if such date is other than the Closing Date), of its Chief Executive Officer, its President and its Chief Financial Officer stating that (i) such officers have carefully examined the Registration Statement, the Pricing Disclosure Package, any Issuer Free Writing Prospectus and the Prospectus and, in their opinion, the Registration Statement and each amendment thereto,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in all material respects (except for those representations and warranties qualified as to materiality, which shall be true and correct in all respects and except for those representations and warranties which refer to facts existing at a specific date, which shall be true and correct as of such date)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or incorporated by reference in the Pricing Disclosure Package, a Material Adverse Change.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1297"/>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At each of the Closing Date and the Option Closing Date, if any, the Representative shall have received a certificate of the Company signed by the Secretary of the Company, dated the Closing Date or the Option Date, as the case may be, respectively, certifying: (i) that each of the Charter and Bylaws is true and complete, has not been modified and is in full force and effect; (ii) that the resolutions of the Company’s Board of Directors (and any pricing committee thereof)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4.5. </w:t>
      </w:r>
      <w:r>
        <w:rPr>
          <w:rFonts w:ascii="Arial" w:cs="Arial" w:eastAsia="Arial" w:hAnsi="Arial"/>
          <w:sz w:val="17"/>
          <w:szCs w:val="17"/>
          <w:i w:val="1"/>
          <w:iCs w:val="1"/>
          <w:u w:val="single" w:color="auto"/>
          <w:color w:val="auto"/>
        </w:rPr>
        <w:t>No Material Changes</w:t>
      </w:r>
      <w:r>
        <w:rPr>
          <w:rFonts w:ascii="Arial" w:cs="Arial" w:eastAsia="Arial" w:hAnsi="Arial"/>
          <w:sz w:val="17"/>
          <w:szCs w:val="17"/>
          <w:color w:val="auto"/>
        </w:rPr>
        <w:t>. Prior to and on each of the Closing Date and each Option Closing Date, if any: (i) there shall have been no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Change in the condition or prospects or the business activities, financial or otherwise, of the Company from the latest dates as of which such condition is set forth in the Registration Statement, the Pricing Disclosure Package and the Prospectus; (ii) no action, suit or proceeding, at law or in equity, shall have been pending or threatened against the Company or any Insider before or by any court or federal or state commission, board or other administrative agency wherein an unfavorable decision, ruling or finding may reasonably be expected to cause a Material Adverse Change, except as set forth in the Registration Statement, the Pricing Disclosure Package and the Prospectus; (iii) no stop order shall have been issued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4.6. </w:t>
      </w:r>
      <w:r>
        <w:rPr>
          <w:rFonts w:ascii="Arial" w:cs="Arial" w:eastAsia="Arial" w:hAnsi="Arial"/>
          <w:sz w:val="18"/>
          <w:szCs w:val="18"/>
          <w:i w:val="1"/>
          <w:iCs w:val="1"/>
          <w:u w:val="single" w:color="auto"/>
          <w:color w:val="auto"/>
        </w:rPr>
        <w:t>Delivery of Agreements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On or before the date of this Agreement, the Company shall have delivered to the Representative executed copies of the Lock-Up Agreements from each of the persons listed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4.7. </w:t>
      </w:r>
      <w:r>
        <w:rPr>
          <w:rFonts w:ascii="Arial" w:cs="Arial" w:eastAsia="Arial" w:hAnsi="Arial"/>
          <w:sz w:val="18"/>
          <w:szCs w:val="18"/>
          <w:i w:val="1"/>
          <w:iCs w:val="1"/>
          <w:u w:val="single" w:color="auto"/>
          <w:color w:val="auto"/>
        </w:rPr>
        <w:t>Additional Documents</w:t>
      </w:r>
      <w:r>
        <w:rPr>
          <w:rFonts w:ascii="Arial" w:cs="Arial" w:eastAsia="Arial" w:hAnsi="Arial"/>
          <w:sz w:val="18"/>
          <w:szCs w:val="18"/>
          <w:color w:val="auto"/>
        </w:rPr>
        <w:t>. At the Closing Date and at each Option Closing Date (if any) Representative’s Counsel shall have been furnished with</w:t>
      </w:r>
      <w:r>
        <w:rPr>
          <w:rFonts w:ascii="Arial" w:cs="Arial" w:eastAsia="Arial" w:hAnsi="Arial"/>
          <w:sz w:val="18"/>
          <w:szCs w:val="18"/>
          <w:i w:val="1"/>
          <w:iCs w:val="1"/>
          <w:color w:val="auto"/>
        </w:rPr>
        <w:t xml:space="preserve"> </w:t>
      </w:r>
      <w:r>
        <w:rPr>
          <w:rFonts w:ascii="Arial" w:cs="Arial" w:eastAsia="Arial" w:hAnsi="Arial"/>
          <w:sz w:val="18"/>
          <w:szCs w:val="18"/>
          <w:color w:val="auto"/>
        </w:rPr>
        <w:t>such documents and opinions as they may require for the purpose of enabling Representative’s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Shares and the Underwriters’ Warrants as herein contemplated shall be satisfactory in form and substance to the Representative and Representative’s Counsel.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5.1. </w:t>
      </w:r>
      <w:r>
        <w:rPr>
          <w:rFonts w:ascii="Arial" w:cs="Arial" w:eastAsia="Arial" w:hAnsi="Arial"/>
          <w:sz w:val="18"/>
          <w:szCs w:val="18"/>
          <w:i w:val="1"/>
          <w:iCs w:val="1"/>
          <w:u w:val="single" w:color="auto"/>
          <w:color w:val="auto"/>
        </w:rPr>
        <w:t>Indemnification of the Underwriters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Underwriter, its affiliates and each of its and their respective directors, officers, members, employees, representatives, partners, shareholders, affiliates, counsel, and agents and each person, if any, who controls any such Underwriter within the meaning of Section 15 of the Securities Act or Section 20 of the Exchange Act (collectively the “</w:t>
      </w:r>
      <w:r>
        <w:rPr>
          <w:rFonts w:ascii="Arial" w:cs="Arial" w:eastAsia="Arial" w:hAnsi="Arial"/>
          <w:sz w:val="16"/>
          <w:szCs w:val="16"/>
          <w:b w:val="1"/>
          <w:bCs w:val="1"/>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to which they or any of them may become subject under the Securities Act, the Exchange Act or any other statute or at common law or otherwise or under the laws of foreign countries (a “</w:t>
      </w:r>
      <w:r>
        <w:rPr>
          <w:rFonts w:ascii="Arial" w:cs="Arial" w:eastAsia="Arial" w:hAnsi="Arial"/>
          <w:sz w:val="16"/>
          <w:szCs w:val="16"/>
          <w:b w:val="1"/>
          <w:bCs w:val="1"/>
          <w:color w:val="auto"/>
        </w:rPr>
        <w:t>Claim</w:t>
      </w:r>
      <w:r>
        <w:rPr>
          <w:rFonts w:ascii="Arial" w:cs="Arial" w:eastAsia="Arial" w:hAnsi="Arial"/>
          <w:sz w:val="16"/>
          <w:szCs w:val="16"/>
          <w:color w:val="auto"/>
        </w:rPr>
        <w:t xml:space="preserve">”), arising out of or based upon any untrue statement or alleged untrue statement of a material fact contained, or the omission or alleged omission therefrom of a material fact required to be stated therein or necessary to make the statements therein, in the light of the circumstances under which they were made, not misleading, in (A) the Registration Statement, the Pricing Disclosure Package, any Preliminary Prospectus, the Prospectus, or in any Issuer Free Writing Prospectus or in any Written Testing-the-Waters Communication (as from time to time each may be amended and supplemented); (B) any materials or information provided to investors by, or with the approval of, the Company in connection with the marketing of the Offering, including any “road show” or investor presentations made to investors by the Company (whether in person or electronically); or (C) any application or other document or written communication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collectively called “application”) executed by the Company or based upon written information furnished by the Company in any jurisdiction in order to qualify the Shares and Underwriters’ Warrants under the securities laws thereof or filed with the Commission, any state securities commission or agency, the Exchange or any other national securities exchange; unless such statement or omission was made in reliance upon, and in conformity with, the Underwriters’ Information. With respect to any untrue statement or omission or alleged untrue statement or omission made in the Registration Statement, Pricing Disclosure Package or Prospectus, the indemnity agreement contained in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not inure to the benefit of any Underwriter Indemnified Party to the extent that any loss, liability, claim, damage or expense of such Underwriter Indemnified Party results from the fact that a copy of the Prospectus was not given or sent to the person asserting any such loss, liability, claim or damage at or prior to the written confirmation of sale of the Shares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The Company also agrees that it will reimburse each Underwriter Indemnified Party for all fees and expenses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(collectively, the “</w:t>
      </w:r>
      <w:r>
        <w:rPr>
          <w:rFonts w:ascii="Arial" w:cs="Arial" w:eastAsia="Arial" w:hAnsi="Arial"/>
          <w:sz w:val="16"/>
          <w:szCs w:val="16"/>
          <w:b w:val="1"/>
          <w:bCs w:val="1"/>
          <w:color w:val="auto"/>
        </w:rPr>
        <w:t>Expenses</w:t>
      </w:r>
      <w:r>
        <w:rPr>
          <w:rFonts w:ascii="Arial" w:cs="Arial" w:eastAsia="Arial" w:hAnsi="Arial"/>
          <w:sz w:val="16"/>
          <w:szCs w:val="16"/>
          <w:color w:val="auto"/>
        </w:rPr>
        <w:t>”), and further agrees wherever and whenever possible to advance payment of Expenses as they are incurred by an Underwriter Indemnified Party in investigating, preparing, pursuing or defending any Claim.</w:t>
      </w:r>
    </w:p>
    <w:p>
      <w:pPr>
        <w:spacing w:after="0" w:line="38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If any action is brought against an Underwriter Indemnified Party in respect of which indemnity may be sought against the Company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such Underwriter Indemnified Party shall promptly notify the Company in writing of the institution of such action and the Company shall assume the defense of such action, including the employment and fees of counsel (subject to the approval of such Underwriter Indemnified Party) and payment of actual expenses if an Underwriter Indemnified Party requests that the Company do so. Such Underwriter Indemnified Party shall have the right to employ its or their own counsel in any such case, and the fees and expenses of such counsel shall be at the expense of the Company and shall be advanced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not be obligated to bear the reasonable fees and expenses of more than one firm of attorneys selected by the Underwriter Indemnified Party (in addition to local counsel). Notwithstanding anything to the contrary contained herein, and provided that the Company has timely honored its obligations under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shall have the right to approve the terms of any settlement of such action, which approval shall not be unreasonably withheld. The Company shall not be liable for any settlement of any action effected without its consent (which shall not be unreasonably withheld). In addition, the Company shall not, without the prior written consent of the Underwriters (which consent shall not be unreasonably withheld), settle, compromise or consent to the entry of any judgment in or otherwise seek to terminate any pending or threatened action in respect of which advancement, reimbursement, indemnification or contribution may be sought hereunder (whether or not such Underwriter Indemnified Party is a party thereto) unless such settlement, compromise, consent or termination (i) includes an unconditional release of each Underwriter Indemnified Party, acceptable to such Underwriter Indemnified Party, from all liabilities, expenses and claims arising out of such action for which indemnification or contribution may be sought and (ii) does not include a statement as to or an admission of fault, culpability or a failure to act, by or on behalf of any Underwriter Indemnified Party.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5.2. </w:t>
      </w:r>
      <w:r>
        <w:rPr>
          <w:rFonts w:ascii="Arial" w:cs="Arial" w:eastAsia="Arial" w:hAnsi="Arial"/>
          <w:sz w:val="17"/>
          <w:szCs w:val="17"/>
          <w:i w:val="1"/>
          <w:iCs w:val="1"/>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its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officers who signed the Registration Statement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such losses, liabilities, claims, damages and expenses (or actions in respect thereof) which arise out of or are based upon untrue statements or omissions, or alleged untrue statements or omissions made in the Registration Statement, any Preliminary Prospectus, the Pricing Disclosure Package or Prospectus or any amendment or supplement thereto or in any application, in reliance upon, and in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Shares or in connection with the Registration Statement, the Pricing Disclosure Package, the Prospectus, or any Issuer Free Writing Prospectus or any Written Testing-the-Waters Communication.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5.3. </w:t>
      </w:r>
      <w:r>
        <w:rPr>
          <w:rFonts w:ascii="Arial" w:cs="Arial" w:eastAsia="Arial" w:hAnsi="Arial"/>
          <w:sz w:val="18"/>
          <w:szCs w:val="18"/>
          <w:i w:val="1"/>
          <w:iCs w:val="1"/>
          <w:u w:val="single" w:color="auto"/>
          <w:color w:val="auto"/>
        </w:rPr>
        <w:t>Contribution</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Contribution Rights</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for any reason be unavailable to or insufficient to hold harmless an indemnified party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Securities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shall be deemed to include, for purposes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1297"/>
        <w:spacing w:after="0" w:line="288"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Contribution Procedure</w:t>
      </w:r>
      <w:r>
        <w:rPr>
          <w:rFonts w:ascii="Arial" w:cs="Arial" w:eastAsia="Arial" w:hAnsi="Arial"/>
          <w:sz w:val="16"/>
          <w:szCs w:val="16"/>
          <w:color w:val="auto"/>
        </w:rPr>
        <w:t xml:space="preserve">. Within fifteen (15) days after receipt by any party to this Agreement (or its representative) of notice of the commencement of any action, suit or proceeding, such party will, if a claim for contribution in respect thereof is to be made against another party (“contributing party”),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on account of any settlement of any claim, action or proceeding affected by such party seeking contribution without the written consent of such contributing party. The contribution provisions contained in this </w:t>
      </w:r>
      <w:r>
        <w:rPr>
          <w:rFonts w:ascii="Arial" w:cs="Arial" w:eastAsia="Arial" w:hAnsi="Arial"/>
          <w:sz w:val="16"/>
          <w:szCs w:val="16"/>
          <w:u w:val="single" w:color="auto"/>
          <w:color w:val="auto"/>
        </w:rPr>
        <w:t>Section 5.3.2</w:t>
      </w:r>
      <w:r>
        <w:rPr>
          <w:rFonts w:ascii="Arial" w:cs="Arial" w:eastAsia="Arial" w:hAnsi="Arial"/>
          <w:sz w:val="16"/>
          <w:szCs w:val="16"/>
          <w:color w:val="auto"/>
        </w:rPr>
        <w:t xml:space="preserve"> are intended to supersede, to the extent permitted by law, any right to contribution under the Securities Act, the Exchange Act or otherwise available. Each Underwriter’s obligations to contribute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are several and not joint.</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5.4. </w:t>
      </w:r>
      <w:r>
        <w:rPr>
          <w:rFonts w:ascii="Arial" w:cs="Arial" w:eastAsia="Arial" w:hAnsi="Arial"/>
          <w:sz w:val="17"/>
          <w:szCs w:val="17"/>
          <w:i w:val="1"/>
          <w:iCs w:val="1"/>
          <w:u w:val="single" w:color="auto"/>
          <w:color w:val="auto"/>
        </w:rPr>
        <w:t>Escrow Account</w:t>
      </w:r>
      <w:r>
        <w:rPr>
          <w:rFonts w:ascii="Arial" w:cs="Arial" w:eastAsia="Arial" w:hAnsi="Arial"/>
          <w:sz w:val="17"/>
          <w:szCs w:val="17"/>
          <w:color w:val="auto"/>
        </w:rPr>
        <w:t>. At Closing, the Company shall establish an escrow fund in the amount of USD $200,000 in an escrow account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Continental Stock Transfer &amp; Trust Company to be released to the Underwriters in the connection with the payments of Company’s indemnification obligations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The escrow account will remain in place for a period of eighteen (18) months from the date of this Agreement.</w:t>
      </w:r>
    </w:p>
    <w:p>
      <w:pPr>
        <w:spacing w:after="0" w:line="166"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6.1. </w:t>
      </w:r>
      <w:r>
        <w:rPr>
          <w:rFonts w:ascii="Arial" w:cs="Arial" w:eastAsia="Arial" w:hAnsi="Arial"/>
          <w:sz w:val="18"/>
          <w:szCs w:val="18"/>
          <w:i w:val="1"/>
          <w:iCs w:val="1"/>
          <w:u w:val="single" w:color="auto"/>
          <w:color w:val="auto"/>
        </w:rPr>
        <w:t>Default Not Exceeding 10% of Firm Shares or Option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If any Underwriter or Underwriters shall default in its or their obligations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6.2. </w:t>
      </w:r>
      <w:r>
        <w:rPr>
          <w:rFonts w:ascii="Arial" w:cs="Arial" w:eastAsia="Arial" w:hAnsi="Arial"/>
          <w:sz w:val="17"/>
          <w:szCs w:val="17"/>
          <w:i w:val="1"/>
          <w:iCs w:val="1"/>
          <w:u w:val="single" w:color="auto"/>
          <w:color w:val="auto"/>
        </w:rPr>
        <w:t>Default Exceeding 10% of Firm Shares or Option Shares</w:t>
      </w:r>
      <w:r>
        <w:rPr>
          <w:rFonts w:ascii="Arial" w:cs="Arial" w:eastAsia="Arial" w:hAnsi="Arial"/>
          <w:sz w:val="17"/>
          <w:szCs w:val="17"/>
          <w:color w:val="auto"/>
        </w:rPr>
        <w:t>. In the event that the default addressed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w:t>
      </w:r>
      <w:r>
        <w:rPr>
          <w:rFonts w:ascii="Arial" w:cs="Arial" w:eastAsia="Arial" w:hAnsi="Arial"/>
          <w:sz w:val="17"/>
          <w:szCs w:val="17"/>
          <w:i w:val="1"/>
          <w:iCs w:val="1"/>
          <w:color w:val="auto"/>
        </w:rPr>
        <w:t xml:space="preserve"> </w:t>
      </w:r>
      <w:r>
        <w:rPr>
          <w:rFonts w:ascii="Arial" w:cs="Arial" w:eastAsia="Arial" w:hAnsi="Arial"/>
          <w:sz w:val="17"/>
          <w:szCs w:val="17"/>
          <w:color w:val="auto"/>
        </w:rPr>
        <w:t>relates to more than 10%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Firm Shares or Option Shares, you may in your discretion arrange for yourself or for another party or parties to purchase such Firm Shares or Option Shares to which such default relates on the terms contained herein. If, within one (1) Business Day after such default relating to more than 10% of the Firm Shares or Option Shares, you do not arrange for the purchase of such Firm Shares or Option Shares, then the Company shall be entitled to a further period of one (1) Business Day within which to procure another party or parties satisfactory to you to purchase said Firm Shares or Option Shares on such terms. In the event that neither you nor the Company arrange for the purchase of the Firm Shares or Option Shares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will automatically be terminated by you or the Company without liability on the part of the Company (except as provided in Sections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default occurs with respect to the Option Shares, this Agreement will not terminate as to the Firm Shares;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nothing herein shall relieve a defaulting Underwriter of its liability, if any, to the other Underwriters and to the Company for damages occasioned by its default hereunder.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6.3. </w:t>
      </w:r>
      <w:r>
        <w:rPr>
          <w:rFonts w:ascii="Arial" w:cs="Arial" w:eastAsia="Arial" w:hAnsi="Arial"/>
          <w:sz w:val="16"/>
          <w:szCs w:val="16"/>
          <w:i w:val="1"/>
          <w:iCs w:val="1"/>
          <w:u w:val="single" w:color="auto"/>
          <w:color w:val="auto"/>
        </w:rPr>
        <w:t>Postponement of Closing Date</w:t>
      </w:r>
      <w:r>
        <w:rPr>
          <w:rFonts w:ascii="Arial" w:cs="Arial" w:eastAsia="Arial" w:hAnsi="Arial"/>
          <w:sz w:val="16"/>
          <w:szCs w:val="16"/>
          <w:color w:val="auto"/>
        </w:rPr>
        <w:t xml:space="preserve">. In the event that the Firm Shares or Option Shares to which the default relates are to be purchased by the non-defaulting Underwriters, or are to be purchased by another party or parties as aforesaid, you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for the Underwriter may thereby be made necessary. The term “Underwriter” as used in this Agreement shall include any party substituted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with like effect as if it had originally been a party to this Agreement with respect to such Firm Shares or Option Shares.</w:t>
      </w:r>
    </w:p>
    <w:p>
      <w:pPr>
        <w:spacing w:after="0" w:line="16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7.1. </w:t>
      </w:r>
      <w:r>
        <w:rPr>
          <w:rFonts w:ascii="Arial" w:cs="Arial" w:eastAsia="Arial" w:hAnsi="Arial"/>
          <w:sz w:val="17"/>
          <w:szCs w:val="17"/>
          <w:i w:val="1"/>
          <w:iCs w:val="1"/>
          <w:u w:val="single" w:color="auto"/>
          <w:color w:val="auto"/>
        </w:rPr>
        <w:t>Board Composition and Board Designations</w:t>
      </w:r>
      <w:r>
        <w:rPr>
          <w:rFonts w:ascii="Arial" w:cs="Arial" w:eastAsia="Arial" w:hAnsi="Arial"/>
          <w:sz w:val="17"/>
          <w:szCs w:val="17"/>
          <w:color w:val="auto"/>
        </w:rPr>
        <w:t>. The Company shall ensure that: (i) the qualifications of the persons serving as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and the overall composition of the Board comply with the Sarbanes-Oxley Act, with the Exchange Act and with the listing rules of the Exchange or any other national securities exchange, as the case may be, in the event the Company seeks to have its Shares listed on another exchange or quoted on an automated quotation system, and (ii) if applicable, at least one member of the Audit Committee of the Board of Directors qualifies as an “audit committee financial expert,” as such term is defined under Regulation S-K and the listing rules of the Exchange.</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7.2. </w:t>
      </w:r>
      <w:r>
        <w:rPr>
          <w:rFonts w:ascii="Arial" w:cs="Arial" w:eastAsia="Arial" w:hAnsi="Arial"/>
          <w:sz w:val="17"/>
          <w:szCs w:val="17"/>
          <w:i w:val="1"/>
          <w:iCs w:val="1"/>
          <w:u w:val="single" w:color="auto"/>
          <w:color w:val="auto"/>
        </w:rPr>
        <w:t>Right of First Refusal</w:t>
      </w:r>
      <w:r>
        <w:rPr>
          <w:rFonts w:ascii="Arial" w:cs="Arial" w:eastAsia="Arial" w:hAnsi="Arial"/>
          <w:sz w:val="17"/>
          <w:szCs w:val="17"/>
          <w:color w:val="auto"/>
        </w:rPr>
        <w:t>. Provided that the Shares are sold in accordance with the terms of this Agreement, the Representative shall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irrevocable right of first refusal (the “</w:t>
      </w:r>
      <w:r>
        <w:rPr>
          <w:rFonts w:ascii="Arial" w:cs="Arial" w:eastAsia="Arial" w:hAnsi="Arial"/>
          <w:sz w:val="17"/>
          <w:szCs w:val="17"/>
          <w:b w:val="1"/>
          <w:bCs w:val="1"/>
          <w:color w:val="auto"/>
        </w:rPr>
        <w:t>Right of First Refusal</w:t>
      </w:r>
      <w:r>
        <w:rPr>
          <w:rFonts w:ascii="Arial" w:cs="Arial" w:eastAsia="Arial" w:hAnsi="Arial"/>
          <w:sz w:val="17"/>
          <w:szCs w:val="17"/>
          <w:color w:val="auto"/>
        </w:rPr>
        <w:t>”), for a period of ten (10) months after the date the Offering is completed, to act as lead or managing underwriters or exclusive financial advisors for any offering of securities, merger, acquisition or similar transaction (each, a “</w:t>
      </w:r>
      <w:r>
        <w:rPr>
          <w:rFonts w:ascii="Arial" w:cs="Arial" w:eastAsia="Arial" w:hAnsi="Arial"/>
          <w:sz w:val="17"/>
          <w:szCs w:val="17"/>
          <w:b w:val="1"/>
          <w:bCs w:val="1"/>
          <w:color w:val="auto"/>
        </w:rPr>
        <w:t>Subject</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during such ten (10) month period, the Company, or any successor to or subsidiary of the Company, on terms and conditions customary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for such Subject Transactions. For the avoidance of any doubt, the Company shall not retain, engage or solicit any additional lead or managing underwriters or exclusive financial advisors in a Subject Transaction without the express written consent of the Representative.</w:t>
      </w:r>
    </w:p>
    <w:p>
      <w:pPr>
        <w:spacing w:after="0" w:line="178" w:lineRule="exact"/>
        <w:rPr>
          <w:sz w:val="20"/>
          <w:szCs w:val="20"/>
          <w:color w:val="auto"/>
        </w:rPr>
      </w:pPr>
    </w:p>
    <w:p>
      <w:pPr>
        <w:jc w:val="both"/>
        <w:ind w:firstLine="729"/>
        <w:spacing w:after="0" w:line="291" w:lineRule="auto"/>
        <w:rPr>
          <w:sz w:val="20"/>
          <w:szCs w:val="20"/>
          <w:color w:val="auto"/>
        </w:rPr>
      </w:pPr>
      <w:r>
        <w:rPr>
          <w:rFonts w:ascii="Arial" w:cs="Arial" w:eastAsia="Arial" w:hAnsi="Arial"/>
          <w:sz w:val="16"/>
          <w:szCs w:val="16"/>
          <w:color w:val="auto"/>
        </w:rPr>
        <w:t>The Company shall notify the Representative of its intention to pursue a Subject Transaction, including the material terms thereof, by providing written notice thereof by registered mail or overnight courier service addressed to the Representative. If the Representative fails to exercise its Right of First Refusal with respect to any Subject Transaction within ten (10) Business Days after the mailing of such written notice, then the Representative shall have no further claim or right with respect to the Subject Transaction. The Representative may elect, in its sole and absolute discretion, not to exercise its Right of First Refusal with respect to any Subject Transaction; provided that any such election by the Representative shall not adversely affect the Representative’s Right of First Refusal with respect to any other Subject Transaction during the ten (10) month period agreed to above. In the event the Company fails to comply with this provision, damages shall be computed as the maximum allowable amount under applicable FINRA rules and regulations.</w:t>
      </w:r>
    </w:p>
    <w:p>
      <w:pPr>
        <w:spacing w:after="0" w:line="16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8.1. </w:t>
      </w:r>
      <w:r>
        <w:rPr>
          <w:rFonts w:ascii="Arial" w:cs="Arial" w:eastAsia="Arial" w:hAnsi="Arial"/>
          <w:sz w:val="18"/>
          <w:szCs w:val="18"/>
          <w:i w:val="1"/>
          <w:iCs w:val="1"/>
          <w:u w:val="single" w:color="auto"/>
          <w:color w:val="auto"/>
        </w:rPr>
        <w:t>Effective Date</w:t>
      </w:r>
      <w:r>
        <w:rPr>
          <w:rFonts w:ascii="Arial" w:cs="Arial" w:eastAsia="Arial" w:hAnsi="Arial"/>
          <w:sz w:val="18"/>
          <w:szCs w:val="18"/>
          <w:color w:val="auto"/>
        </w:rPr>
        <w:t>. This Agreement shall become effective when both the Company and the Representative have executed the same and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of such signatures to the other party.</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8.2. </w:t>
      </w:r>
      <w:r>
        <w:rPr>
          <w:rFonts w:ascii="Arial" w:cs="Arial" w:eastAsia="Arial" w:hAnsi="Arial"/>
          <w:sz w:val="16"/>
          <w:szCs w:val="16"/>
          <w:i w:val="1"/>
          <w:iCs w:val="1"/>
          <w:u w:val="single" w:color="auto"/>
          <w:color w:val="auto"/>
        </w:rPr>
        <w:t>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 shall have the right to terminate this Agreement at any time prior to any Closing Date, (i) if any domestic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event or act or occurrence has materially disrupted, or in your opinion will in the immediate future materially disrupt, general securities markets in the United States; or (ii) if trading on the New York Share Exchange or the Nasdaq Share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your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such a Material Adverse Change, or such adverse material change in general market conditions as in the Representative’s judgment would make it impracticable to proceed with the offering, sale and/or delivery of the Shares or to enforce contracts made by the Underwriters for the sale of the Shares.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8.3. </w:t>
      </w:r>
      <w:r>
        <w:rPr>
          <w:rFonts w:ascii="Arial" w:cs="Arial" w:eastAsia="Arial" w:hAnsi="Arial"/>
          <w:sz w:val="16"/>
          <w:szCs w:val="16"/>
          <w:i w:val="1"/>
          <w:iCs w:val="1"/>
          <w:u w:val="single" w:color="auto"/>
          <w:color w:val="auto"/>
        </w:rPr>
        <w:t>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anything to the contrary in this Agreement, except in the case of a default by the Underwriters,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above, in the event that this Agreement shall not be carried out for any reason whatsoever, within the time specified herein or any extensions thereof pursuant to the terms herein, the Company shall be obligated to pay to the Underwriters their actual and accountable out-of-pocket expenses related to the transactions contemplated herein then due and payable (including the fees and disbursements of Representative’s Counsel) up to $167,500 and upon demand the Company shall pay the full amount thereof to the Representative on behalf of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expense cap in no way limits or impairs the indemnification and contribution provisions of this Agreement. Notwithstanding the foregoing, any advance received by the Representative will be reimbursed to the Company to the extent not actually incurred in compliance with FINRA Rule 5110(f)(2)(C).</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8.4. </w:t>
      </w:r>
      <w:r>
        <w:rPr>
          <w:rFonts w:ascii="Arial" w:cs="Arial" w:eastAsia="Arial" w:hAnsi="Arial"/>
          <w:sz w:val="18"/>
          <w:szCs w:val="18"/>
          <w:i w:val="1"/>
          <w:iCs w:val="1"/>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remain in full force and effect and shall not be in any way affected by, such election or termination or failure to carry out the terms of this Agreement or any part hereof.</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8.5. </w:t>
      </w:r>
      <w:r>
        <w:rPr>
          <w:rFonts w:ascii="Arial" w:cs="Arial" w:eastAsia="Arial" w:hAnsi="Arial"/>
          <w:sz w:val="18"/>
          <w:szCs w:val="18"/>
          <w:i w:val="1"/>
          <w:iCs w:val="1"/>
          <w:u w:val="single" w:color="auto"/>
          <w:color w:val="auto"/>
        </w:rPr>
        <w:t>Representations, Warranties, Agreements to Survive</w:t>
      </w:r>
      <w:r>
        <w:rPr>
          <w:rFonts w:ascii="Arial" w:cs="Arial" w:eastAsia="Arial" w:hAnsi="Arial"/>
          <w:sz w:val="18"/>
          <w:szCs w:val="18"/>
          <w:color w:val="auto"/>
        </w:rPr>
        <w:t>. All representations, warranties and agreements contained in this Agreement or in</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Shares.</w:t>
      </w:r>
    </w:p>
    <w:p>
      <w:pPr>
        <w:spacing w:after="0" w:line="18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9.1. </w:t>
      </w:r>
      <w:r>
        <w:rPr>
          <w:rFonts w:ascii="Arial" w:cs="Arial" w:eastAsia="Arial" w:hAnsi="Arial"/>
          <w:sz w:val="18"/>
          <w:szCs w:val="18"/>
          <w:i w:val="1"/>
          <w:iCs w:val="1"/>
          <w:u w:val="single" w:color="auto"/>
          <w:color w:val="auto"/>
        </w:rPr>
        <w:t>Notices</w:t>
      </w:r>
      <w:r>
        <w:rPr>
          <w:rFonts w:ascii="Arial" w:cs="Arial" w:eastAsia="Arial" w:hAnsi="Arial"/>
          <w:sz w:val="18"/>
          <w:szCs w:val="18"/>
          <w:i w:val="1"/>
          <w:iCs w:val="1"/>
          <w:color w:val="auto"/>
        </w:rPr>
        <w:t xml:space="preserve">. </w:t>
      </w:r>
      <w:r>
        <w:rPr>
          <w:rFonts w:ascii="Arial" w:cs="Arial" w:eastAsia="Arial" w:hAnsi="Arial"/>
          <w:sz w:val="18"/>
          <w:szCs w:val="18"/>
          <w:color w:val="auto"/>
        </w:rPr>
        <w:t>All communications hereunder, except as herein otherwise specifically provided, shall be in writing and shall be mailed (registered or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certified mail, return receipt requested), personally delivered or sent by facsimile transmission and confirmed and shall be deemed given when so delivered or faxed and confirmed or if mailed, two (2) days after such mailing.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Benchmark Company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150 E 58th Street, 17th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Richard Messina, President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Hunter Taubman Fischer &amp; Li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1450 Broadway, 26 FL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NY10018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Louis Taubman,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(212) 202-6380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2nd Floor, Building 18, Shanghai Pudong Software Park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498 Guoshoujing Road, Pudong, Shanghai 201203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Schiff Hardin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901 K Street, NW, Suite 700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Ralph V. De. Martino,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Alec Orudjev,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(202) 724-6848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9.2. </w:t>
      </w:r>
      <w:r>
        <w:rPr>
          <w:rFonts w:ascii="Arial" w:cs="Arial" w:eastAsia="Arial" w:hAnsi="Arial"/>
          <w:sz w:val="18"/>
          <w:szCs w:val="18"/>
          <w:i w:val="1"/>
          <w:iCs w:val="1"/>
          <w:u w:val="single" w:color="auto"/>
          <w:color w:val="auto"/>
        </w:rPr>
        <w:t>Headings</w:t>
      </w:r>
      <w:r>
        <w:rPr>
          <w:rFonts w:ascii="Arial" w:cs="Arial" w:eastAsia="Arial" w:hAnsi="Arial"/>
          <w:sz w:val="18"/>
          <w:szCs w:val="18"/>
          <w:i w:val="1"/>
          <w:iCs w:val="1"/>
          <w:color w:val="auto"/>
        </w:rPr>
        <w:t xml:space="preserve">. </w:t>
      </w:r>
      <w:r>
        <w:rPr>
          <w:rFonts w:ascii="Arial" w:cs="Arial" w:eastAsia="Arial" w:hAnsi="Arial"/>
          <w:sz w:val="18"/>
          <w:szCs w:val="18"/>
          <w:color w:val="auto"/>
        </w:rPr>
        <w:t>The headings contained herein are for the sole purpose of convenience of reference, and shall not in any way limit or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any of the terms or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9.3. </w:t>
      </w:r>
      <w:r>
        <w:rPr>
          <w:rFonts w:ascii="Arial" w:cs="Arial" w:eastAsia="Arial" w:hAnsi="Arial"/>
          <w:sz w:val="18"/>
          <w:szCs w:val="18"/>
          <w:i w:val="1"/>
          <w:iCs w:val="1"/>
          <w:u w:val="single" w:color="auto"/>
          <w:color w:val="auto"/>
        </w:rPr>
        <w:t>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may only be amended by a written instrument executed by each of the parties hereto.</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9.4. </w:t>
      </w:r>
      <w:r>
        <w:rPr>
          <w:rFonts w:ascii="Arial" w:cs="Arial" w:eastAsia="Arial" w:hAnsi="Arial"/>
          <w:sz w:val="17"/>
          <w:szCs w:val="17"/>
          <w:i w:val="1"/>
          <w:iCs w:val="1"/>
          <w:u w:val="single" w:color="auto"/>
          <w:color w:val="auto"/>
        </w:rPr>
        <w:t>Entire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(together with the other agreements and documents being delivered pursuant to or in connection with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constitutes the entire agreement of the parties hereto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hereto that all other terms and conditions of that certain engagement letter between the Company and Axiom Capital Management, Inc., dated June 15, 2017, as assigned to Benchmark Capital, LLC, shall remain in full force and effect.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9.5. </w:t>
      </w:r>
      <w:r>
        <w:rPr>
          <w:rFonts w:ascii="Arial" w:cs="Arial" w:eastAsia="Arial" w:hAnsi="Arial"/>
          <w:sz w:val="18"/>
          <w:szCs w:val="18"/>
          <w:i w:val="1"/>
          <w:iCs w:val="1"/>
          <w:u w:val="single" w:color="auto"/>
          <w:color w:val="auto"/>
        </w:rPr>
        <w:t>Binding Effect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shall inure solely to the benefit of and shall be binding upon the Representative, the Underwriters,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9.6. </w:t>
      </w:r>
      <w:r>
        <w:rPr>
          <w:rFonts w:ascii="Arial" w:cs="Arial" w:eastAsia="Arial" w:hAnsi="Arial"/>
          <w:sz w:val="17"/>
          <w:szCs w:val="17"/>
          <w:i w:val="1"/>
          <w:iCs w:val="1"/>
          <w:u w:val="single" w:color="auto"/>
          <w:color w:val="auto"/>
        </w:rPr>
        <w:t>Governing Law; Consent to Jurisdiction; Trial by Jury</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shall be governed by and construed and enforced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laws of the State of New York, without giving effect to conflict of laws principles thereof.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9.7. </w:t>
      </w:r>
      <w:r>
        <w:rPr>
          <w:rFonts w:ascii="Arial" w:cs="Arial" w:eastAsia="Arial" w:hAnsi="Arial"/>
          <w:sz w:val="17"/>
          <w:szCs w:val="17"/>
          <w:i w:val="1"/>
          <w:iCs w:val="1"/>
          <w:u w:val="single" w:color="auto"/>
          <w:color w:val="auto"/>
        </w:rPr>
        <w:t>Execution in Counterparts</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may be executed in one or more counterparts, and by the different parties hereto in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9.8. </w:t>
      </w:r>
      <w:r>
        <w:rPr>
          <w:rFonts w:ascii="Arial" w:cs="Arial" w:eastAsia="Arial" w:hAnsi="Arial"/>
          <w:sz w:val="18"/>
          <w:szCs w:val="18"/>
          <w:i w:val="1"/>
          <w:iCs w:val="1"/>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Confirmed as of the date first written above mentioned, on behalf of itself and as Representative of the several Underwriters named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6280" w:type="dxa"/>
            <w:vAlign w:val="bottom"/>
            <w:gridSpan w:val="6"/>
          </w:tcPr>
          <w:p>
            <w:pPr>
              <w:ind w:left="1260"/>
              <w:spacing w:after="0"/>
              <w:rPr>
                <w:sz w:val="20"/>
                <w:szCs w:val="20"/>
                <w:color w:val="auto"/>
              </w:rPr>
            </w:pPr>
            <w:r>
              <w:rPr>
                <w:rFonts w:ascii="Arial" w:cs="Arial" w:eastAsia="Arial" w:hAnsi="Arial"/>
                <w:sz w:val="18"/>
                <w:szCs w:val="18"/>
                <w:b w:val="1"/>
                <w:bCs w:val="1"/>
                <w:color w:val="auto"/>
              </w:rPr>
              <w:t>SCHEDULE 1</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Option Shares</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if</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the Over-</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Allotment</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Firm Shares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Option is</w:t>
            </w:r>
          </w:p>
        </w:tc>
      </w:tr>
      <w:tr>
        <w:trPr>
          <w:trHeight w:val="216"/>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Fully</w:t>
            </w:r>
          </w:p>
        </w:tc>
      </w:tr>
      <w:tr>
        <w:trPr>
          <w:trHeight w:val="241"/>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Underwriter</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Exercised</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BENCHMARK COMPANY, LLC</w:t>
            </w:r>
          </w:p>
        </w:tc>
        <w:tc>
          <w:tcPr>
            <w:tcW w:w="1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CUTTONE &amp; CO., LLC</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82"/>
        </w:trPr>
        <w:tc>
          <w:tcPr>
            <w:tcW w:w="3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4" w:name="page45"/>
    <w:bookmarkEnd w:id="44"/>
    <w:p>
      <w:pPr>
        <w:jc w:val="center"/>
        <w:ind w:right="-1200"/>
        <w:spacing w:after="0"/>
        <w:rPr>
          <w:sz w:val="20"/>
          <w:szCs w:val="20"/>
          <w:color w:val="auto"/>
        </w:rPr>
      </w:pPr>
      <w:r>
        <w:rPr>
          <w:rFonts w:ascii="Arial" w:cs="Arial" w:eastAsia="Arial" w:hAnsi="Arial"/>
          <w:sz w:val="18"/>
          <w:szCs w:val="18"/>
          <w:b w:val="1"/>
          <w:bCs w:val="1"/>
          <w:u w:val="single" w:color="auto"/>
          <w:color w:val="auto"/>
        </w:rPr>
        <w:t>SCHEDULE 2-A</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Firm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Option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Firm Share: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Option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5" w:name="page46"/>
    <w:bookmarkEnd w:id="45"/>
    <w:p>
      <w:pPr>
        <w:jc w:val="center"/>
        <w:ind w:right="-1200"/>
        <w:spacing w:after="0"/>
        <w:rPr>
          <w:sz w:val="20"/>
          <w:szCs w:val="20"/>
          <w:color w:val="auto"/>
        </w:rPr>
      </w:pPr>
      <w:r>
        <w:rPr>
          <w:rFonts w:ascii="Arial" w:cs="Arial" w:eastAsia="Arial" w:hAnsi="Arial"/>
          <w:sz w:val="18"/>
          <w:szCs w:val="18"/>
          <w:b w:val="1"/>
          <w:bCs w:val="1"/>
          <w:u w:val="single" w:color="auto"/>
          <w:color w:val="auto"/>
        </w:rPr>
        <w:t>SCHEDULE 2-B</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Issuer General Use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Issuer Free Writing Prospectus filed with the SEC pursuant to Rule 433 of the Securities Act of 1933, as amended, on April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6" w:name="page47"/>
    <w:bookmarkEnd w:id="46"/>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3766185</wp:posOffset>
            </wp:positionH>
            <wp:positionV relativeFrom="page">
              <wp:posOffset>560705</wp:posOffset>
            </wp:positionV>
            <wp:extent cx="285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28575" cy="8890"/>
                    </a:xfrm>
                    <a:prstGeom prst="rect">
                      <a:avLst/>
                    </a:prstGeom>
                    <a:noFill/>
                  </pic:spPr>
                </pic:pic>
              </a:graphicData>
            </a:graphic>
          </wp:anchor>
        </w:drawing>
        <w:t>SCHEDULE 2-C</w:t>
      </w:r>
    </w:p>
    <w:p>
      <w:pPr>
        <w:spacing w:after="0" w:line="225"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7" w:name="page48"/>
    <w:bookmarkEnd w:id="47"/>
    <w:p>
      <w:pPr>
        <w:jc w:val="center"/>
        <w:ind w:right="-122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List of Lock-Up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Underwriters’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CLPS Incorporation (the “Company”) announced today that Benchmark Company, LLC, acting as representative for the underwriters in the Company’s recent public offering of _______ common shares of the Company, are [waiving] [releasing] a lock-up restriction with respect to _________ common shares</w:t>
      </w:r>
    </w:p>
    <w:p>
      <w:pPr>
        <w:spacing w:after="0"/>
        <w:rPr>
          <w:sz w:val="20"/>
          <w:szCs w:val="20"/>
          <w:color w:val="auto"/>
        </w:rPr>
      </w:pPr>
      <w:r>
        <w:rPr>
          <w:rFonts w:ascii="Arial" w:cs="Arial" w:eastAsia="Arial" w:hAnsi="Arial"/>
          <w:sz w:val="16"/>
          <w:szCs w:val="16"/>
          <w:color w:val="auto"/>
        </w:rPr>
        <w:t>of the Company held by [certain officers or directors] [an officer or director] of the Company. The [waiver] [release] will take effect on _________, 20___,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common shares may be sold on or after such date.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u w:val="single" w:color="auto"/>
          <w:color w:val="auto"/>
        </w:rPr>
        <w:t>EXHIBIT 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Forms of Opinion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UNDERWRITERS’ WARRANT AGREEMENT</w:t>
      </w: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EFFECTIVE DATE (DEFINED BELOW) TO ANYONE OTHER THAN (I) THE BENCHMARK COMPANY, LLC OR AN UNDERWRITER OR A SELECTED DEALER IN CONNECTION WITH THE OFFERING, OR (II) A BONA FIDE OFFICER OR PARTNER OF THE BENCHMARK COMPANY, LLC OR OF ANY SUCH UNDERWRITER OR SELECTED DEALER.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PURCHASE WARRANT IS NOT EXERCISABLE PRIOR TO [●], 2018. VOID AFTER 5:00 P.M., EASTERN TIME, [●],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 PURCHASE WARRANT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Purchase of [●] Common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07" w:lineRule="exact"/>
        <w:rPr>
          <w:sz w:val="20"/>
          <w:szCs w:val="20"/>
          <w:color w:val="auto"/>
        </w:rPr>
      </w:pPr>
    </w:p>
    <w:p>
      <w:pPr>
        <w:jc w:val="both"/>
        <w:ind w:firstLine="8"/>
        <w:spacing w:after="0" w:line="288" w:lineRule="auto"/>
        <w:tabs>
          <w:tab w:leader="none" w:pos="180" w:val="left"/>
        </w:tabs>
        <w:numPr>
          <w:ilvl w:val="0"/>
          <w:numId w:val="23"/>
        </w:numPr>
        <w:rPr>
          <w:rFonts w:ascii="Arial" w:cs="Arial" w:eastAsia="Arial" w:hAnsi="Arial"/>
          <w:sz w:val="16"/>
          <w:szCs w:val="16"/>
          <w:b w:val="1"/>
          <w:bCs w:val="1"/>
          <w:color w:val="auto"/>
        </w:rPr>
      </w:pPr>
      <w:r>
        <w:rPr>
          <w:rFonts w:ascii="Arial" w:cs="Arial" w:eastAsia="Arial" w:hAnsi="Arial"/>
          <w:sz w:val="16"/>
          <w:szCs w:val="16"/>
          <w:u w:val="single" w:color="auto"/>
          <w:color w:val="auto"/>
        </w:rPr>
        <w:t>Purchase Warrant</w:t>
      </w:r>
      <w:r>
        <w:rPr>
          <w:rFonts w:ascii="Arial" w:cs="Arial" w:eastAsia="Arial" w:hAnsi="Arial"/>
          <w:sz w:val="16"/>
          <w:szCs w:val="16"/>
          <w:color w:val="auto"/>
        </w:rPr>
        <w:t>. THIS CERTIFIES THAT, in consideration of funds duly paid by or on behalf of THE BENCHMARK COMPANY, LLC (“</w:t>
      </w:r>
      <w:r>
        <w:rPr>
          <w:rFonts w:ascii="Arial" w:cs="Arial" w:eastAsia="Arial" w:hAnsi="Arial"/>
          <w:sz w:val="16"/>
          <w:szCs w:val="16"/>
          <w:b w:val="1"/>
          <w:bCs w:val="1"/>
          <w:color w:val="auto"/>
        </w:rPr>
        <w:t>Holder</w:t>
      </w:r>
      <w:r>
        <w:rPr>
          <w:rFonts w:ascii="Arial" w:cs="Arial" w:eastAsia="Arial" w:hAnsi="Arial"/>
          <w:sz w:val="16"/>
          <w:szCs w:val="16"/>
          <w:color w:val="auto"/>
        </w:rPr>
        <w:t>”), as registered owner of this Purchase Warrant, to CLPS INCOPORATION., a corporation governed by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Holder is entitled, at any time or from time to time from [●], 2018 (the “</w:t>
      </w:r>
      <w:r>
        <w:rPr>
          <w:rFonts w:ascii="Arial" w:cs="Arial" w:eastAsia="Arial" w:hAnsi="Arial"/>
          <w:sz w:val="16"/>
          <w:szCs w:val="16"/>
          <w:b w:val="1"/>
          <w:bCs w:val="1"/>
          <w:color w:val="auto"/>
        </w:rPr>
        <w:t>Commencement Date</w:t>
      </w:r>
      <w:r>
        <w:rPr>
          <w:rFonts w:ascii="Arial" w:cs="Arial" w:eastAsia="Arial" w:hAnsi="Arial"/>
          <w:sz w:val="16"/>
          <w:szCs w:val="16"/>
          <w:color w:val="auto"/>
        </w:rPr>
        <w:t>”), and at or before 5:00 p.m., Eastern time, [●], 2023, which will be the five-year anniversary of the effective date of the Company’s Form F-1 registration statement (File No.333-223956) (such date, the “</w:t>
      </w:r>
      <w:r>
        <w:rPr>
          <w:rFonts w:ascii="Arial" w:cs="Arial" w:eastAsia="Arial" w:hAnsi="Arial"/>
          <w:sz w:val="16"/>
          <w:szCs w:val="16"/>
          <w:b w:val="1"/>
          <w:bCs w:val="1"/>
          <w:color w:val="auto"/>
        </w:rPr>
        <w:t>Effective Date</w:t>
      </w:r>
      <w:r>
        <w:rPr>
          <w:rFonts w:ascii="Arial" w:cs="Arial" w:eastAsia="Arial" w:hAnsi="Arial"/>
          <w:sz w:val="16"/>
          <w:szCs w:val="16"/>
          <w:color w:val="auto"/>
        </w:rPr>
        <w:t>”) (the “</w:t>
      </w:r>
      <w:r>
        <w:rPr>
          <w:rFonts w:ascii="Arial" w:cs="Arial" w:eastAsia="Arial" w:hAnsi="Arial"/>
          <w:sz w:val="16"/>
          <w:szCs w:val="16"/>
          <w:b w:val="1"/>
          <w:bCs w:val="1"/>
          <w:color w:val="auto"/>
        </w:rPr>
        <w:t>Expiration Date</w:t>
      </w:r>
      <w:r>
        <w:rPr>
          <w:rFonts w:ascii="Arial" w:cs="Arial" w:eastAsia="Arial" w:hAnsi="Arial"/>
          <w:sz w:val="16"/>
          <w:szCs w:val="16"/>
          <w:color w:val="auto"/>
        </w:rPr>
        <w:t>”), but not thereafter, to subscribe for, purchase and receive, in whole or in part, up to [●] common shares of the Company, par value $0.0001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subject to adjustment as provided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If the Expiration Date is a day on which banking institutions are authorized by law to close, then this Purchase Warrant may be exercised on the next succeeding day which is not such a day in accordance with the terms herein. During the period ending on the Expiration Date, the Company agrees not to take any action that would terminate this Purchase Warrant. This Purchase Warrant is initially exercisable at $[●] per Share;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upon the occurrence of any of the events specified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the rights granted by this Purchase Warrant, including the exercise price per Share and the number of Shares to be received upon such exercise, shall be adjusted as therein specified. The term “</w:t>
      </w:r>
      <w:r>
        <w:rPr>
          <w:rFonts w:ascii="Arial" w:cs="Arial" w:eastAsia="Arial" w:hAnsi="Arial"/>
          <w:sz w:val="16"/>
          <w:szCs w:val="16"/>
          <w:b w:val="1"/>
          <w:bCs w:val="1"/>
          <w:color w:val="auto"/>
        </w:rPr>
        <w:t>Exercise Price</w:t>
      </w:r>
      <w:r>
        <w:rPr>
          <w:rFonts w:ascii="Arial" w:cs="Arial" w:eastAsia="Arial" w:hAnsi="Arial"/>
          <w:sz w:val="16"/>
          <w:szCs w:val="16"/>
          <w:color w:val="auto"/>
        </w:rPr>
        <w:t>” shall mean the initial exercise price or the adjusted exercise price, depending on the context.</w:t>
      </w:r>
    </w:p>
    <w:p>
      <w:pPr>
        <w:spacing w:after="0" w:line="168" w:lineRule="exact"/>
        <w:rPr>
          <w:rFonts w:ascii="Arial" w:cs="Arial" w:eastAsia="Arial" w:hAnsi="Arial"/>
          <w:sz w:val="16"/>
          <w:szCs w:val="16"/>
          <w:b w:val="1"/>
          <w:bCs w:val="1"/>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Exercise Form</w:t>
      </w:r>
      <w:r>
        <w:rPr>
          <w:rFonts w:ascii="Arial" w:cs="Arial" w:eastAsia="Arial" w:hAnsi="Arial"/>
          <w:sz w:val="18"/>
          <w:szCs w:val="18"/>
          <w:color w:val="auto"/>
        </w:rPr>
        <w:t>. In order to exercise this Purchase Warrant, the exercise form attached hereto must be duly executed and completed and delivered to the Company, together with this Purchase Warrant and payment of the Exercise Price for the Shares being purchased payable in cash by wire transfer of immediately available funds to an account designated by the Company or by certified check or official bank check. If the subscription rights represented hereby shall not be exercised at or before 5:00 p.m., Eastern time, on the Expiration Date, this Purchase Warrant shall become and be void without further force or effect, and all rights represented hereby shall cease and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jc w:val="both"/>
        <w:ind w:firstLine="729"/>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In lieu of exercising this Purchase Warrant by payment of cash or check payable to the order of the Company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above, Holder may elect to receive the number of Shares equal to the value of this Purchase Warrant (or the portion thereof being exercised), by surrender of this Purchase Warrant to the Company, together with the exercise form attached hereto, in which event the Company will issue to Holder Shares in accordance with the following formula:</w:t>
      </w:r>
    </w:p>
    <w:p>
      <w:pPr>
        <w:sectPr>
          <w:pgSz w:w="11900" w:h="16838" w:orient="portrait"/>
          <w:cols w:equalWidth="0" w:num="1">
            <w:col w:w="11420"/>
          </w:cols>
          <w:pgMar w:left="240" w:top="909" w:right="239" w:bottom="1440" w:gutter="0" w:footer="0" w:header="0"/>
        </w:sectPr>
      </w:pPr>
    </w:p>
    <w:p>
      <w:pPr>
        <w:spacing w:after="0" w:line="29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Where,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93"/>
        <w:spacing w:after="0"/>
        <w:rPr>
          <w:sz w:val="20"/>
          <w:szCs w:val="20"/>
          <w:color w:val="auto"/>
        </w:rPr>
      </w:pPr>
      <w:r>
        <w:rPr>
          <w:rFonts w:ascii="Arial" w:cs="Arial" w:eastAsia="Arial" w:hAnsi="Arial"/>
          <w:sz w:val="18"/>
          <w:szCs w:val="18"/>
          <w:color w:val="auto"/>
        </w:rPr>
        <w:t>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5226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3" w:lineRule="exact"/>
        <w:rPr>
          <w:sz w:val="20"/>
          <w:szCs w:val="20"/>
          <w:color w:val="auto"/>
        </w:rPr>
      </w:pPr>
    </w:p>
    <w:p>
      <w:pPr>
        <w:ind w:left="293"/>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993" w:hanging="993"/>
        <w:spacing w:after="0"/>
        <w:tabs>
          <w:tab w:leader="none" w:pos="9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number of Shares to be issued to Holder;</w:t>
      </w:r>
    </w:p>
    <w:p>
      <w:pPr>
        <w:spacing w:after="0" w:line="23" w:lineRule="exact"/>
        <w:rPr>
          <w:sz w:val="20"/>
          <w:szCs w:val="20"/>
          <w:color w:val="auto"/>
        </w:rPr>
      </w:pPr>
    </w:p>
    <w:p>
      <w:pPr>
        <w:ind w:left="993" w:hanging="993"/>
        <w:spacing w:after="0"/>
        <w:tabs>
          <w:tab w:leader="none" w:pos="9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number of Shares for which the Purchase Warrant is being exercised;</w:t>
      </w:r>
    </w:p>
    <w:p>
      <w:pPr>
        <w:spacing w:after="0" w:line="9" w:lineRule="exact"/>
        <w:rPr>
          <w:sz w:val="20"/>
          <w:szCs w:val="20"/>
          <w:color w:val="auto"/>
        </w:rPr>
      </w:pPr>
    </w:p>
    <w:p>
      <w:pPr>
        <w:ind w:left="993" w:hanging="993"/>
        <w:spacing w:after="0"/>
        <w:tabs>
          <w:tab w:leader="none" w:pos="9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fair market value of one Share; and</w:t>
      </w:r>
    </w:p>
    <w:p>
      <w:pPr>
        <w:spacing w:after="0" w:line="9" w:lineRule="exact"/>
        <w:rPr>
          <w:sz w:val="20"/>
          <w:szCs w:val="20"/>
          <w:color w:val="auto"/>
        </w:rPr>
      </w:pPr>
    </w:p>
    <w:p>
      <w:pPr>
        <w:ind w:left="993" w:hanging="993"/>
        <w:spacing w:after="0"/>
        <w:tabs>
          <w:tab w:leader="none" w:pos="9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Exercise Price.</w:t>
      </w:r>
    </w:p>
    <w:p>
      <w:pPr>
        <w:spacing w:after="0" w:line="200" w:lineRule="exact"/>
        <w:rPr>
          <w:sz w:val="20"/>
          <w:szCs w:val="20"/>
          <w:color w:val="auto"/>
        </w:rPr>
      </w:pPr>
    </w:p>
    <w:p>
      <w:pPr>
        <w:sectPr>
          <w:pgSz w:w="11900" w:h="16838" w:orient="portrait"/>
          <w:cols w:equalWidth="0" w:num="2">
            <w:col w:w="560" w:space="447"/>
            <w:col w:w="10413"/>
          </w:cols>
          <w:pgMar w:left="240" w:top="909" w:right="239" w:bottom="1440" w:gutter="0" w:footer="0" w:header="0"/>
          <w:type w:val="continuous"/>
        </w:sectPr>
      </w:pPr>
    </w:p>
    <w:p>
      <w:pPr>
        <w:spacing w:after="0" w:line="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the fair market value of a Share is defined as follows:</w:t>
      </w:r>
    </w:p>
    <w:p>
      <w:pPr>
        <w:spacing w:after="0" w:line="225" w:lineRule="exact"/>
        <w:rPr>
          <w:sz w:val="20"/>
          <w:szCs w:val="20"/>
          <w:color w:val="auto"/>
        </w:rPr>
      </w:pPr>
    </w:p>
    <w:p>
      <w:pPr>
        <w:ind w:left="1120" w:hanging="383"/>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Company’s common shares are traded on a securities exchange, the value shall be deemed to be the closing price on such exchange prior to the exercise form being submitted in connection with the exercise of the Purchase Warrant; or</w:t>
      </w:r>
    </w:p>
    <w:p>
      <w:pPr>
        <w:spacing w:after="0" w:line="170" w:lineRule="exact"/>
        <w:rPr>
          <w:rFonts w:ascii="Arial" w:cs="Arial" w:eastAsia="Arial" w:hAnsi="Arial"/>
          <w:sz w:val="18"/>
          <w:szCs w:val="18"/>
          <w:color w:val="auto"/>
        </w:rPr>
      </w:pPr>
    </w:p>
    <w:p>
      <w:pPr>
        <w:jc w:val="both"/>
        <w:ind w:left="1120" w:hanging="383"/>
        <w:spacing w:after="0" w:line="26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Company’s common shares are actively traded over-the-counter, the value shall be deemed to be the closing bid prior to the exercise form being submitted in connection with the exercise of the Purchase Warrant; if there is no active public market, the value shall be the fair market value thereof, as determined in good faith by the Company’s Board of Directors.</w:t>
      </w:r>
    </w:p>
    <w:p>
      <w:pPr>
        <w:spacing w:after="0" w:line="181"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the securities purchased under this Purchase Warrant shall bear a legend as follows unless such securities have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applicable state law. Neither the securities nor any interest therein may be offered for sale, sold or otherwise transferred except pursuant to an effective registration statement under the Act, or pursuant to an exemption from registration under the Act and applicable state law which, in the opinion of counsel to the Company, is available.”</w:t>
      </w:r>
    </w:p>
    <w:p>
      <w:pPr>
        <w:spacing w:after="0" w:line="184"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The Holder is an “accredited investor” as defined in Rule 501(a) under the Act, and is receiving the Purchase Warrant pursuant to an exemption from the prospectus requirements of applicable securities laws.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54" w:name="page55"/>
    <w:bookmarkEnd w:id="54"/>
    <w:p>
      <w:pPr>
        <w:jc w:val="both"/>
        <w:ind w:firstLine="729"/>
        <w:spacing w:after="0" w:line="28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Resale of Shares</w:t>
      </w:r>
      <w:r>
        <w:rPr>
          <w:rFonts w:ascii="Arial" w:cs="Arial" w:eastAsia="Arial" w:hAnsi="Arial"/>
          <w:sz w:val="16"/>
          <w:szCs w:val="16"/>
          <w:color w:val="auto"/>
        </w:rPr>
        <w:t>. Holder and the Company acknowledge that as of the date hereof the Staff of the Division of Corporation Finance of the SEC has published Compliance &amp; Disclosure Interpretation 528.04 in the Securities Act Rules section thereof, stating that the holder of securities issued in connection with a public offering may not rely upon Rule 144 promulgated under the Act to establish an exemption from registration requirements under Section 4(a)(1) under the Act, but may nonetheless apply Rule 144 constructively for the resale of such shares in the following manner: (a) provided that six months has elapsed since the last sale under the registration statement, an underwriter or finder may resell the securities in accordance with the provisions of Rule 144(c), (e), and (f), except for the notice requirement; (b) a purchaser of the shares from an underwriter receives restricted securities unless the sale is made with an appropriate, current prospectus, or unless the sale is made pursuant to the conditions contained in (a) above; (c) a purchaser of the shares from an underwriter who receives restricted securities may include the underwriter’s holding period, provided that the underwriter or finder is not an affiliate of the issuer; and (d) if an underwriter transfers the shares to its employees, the employees may tack the firm’s holding period for purposes of Rule 144(d), but they must aggregate sales of the distributed shares with those of other employees, as well as those of the underwriter or finder, for a six-month period from the date of the transfer to the employees. Holder and the Company also acknowledge that the Staff of the Division of Corporation Finance of the SEC has advised in various no-action letters that the holding period associated with securities issued without registration to a service provider commences upon the completion of the services, which the Company agrees and acknowledges shall be the closing of the Offering, and that Rule 144(d)(3)(ii) provides that securities acquired from the issuer solely in exchange for other securities of the same issuer shall be deemed to have been acquired at the same time as the securities surrendered for conversion (which the Company agrees is the date of the initial issuance of this Purchase Warrant). In the event that following a request by Holder to transfer the Shares in accordance with Compliance &amp; Disclosure Interpretation 528.04 counsel for the Company reasonably concludes that Compliance &amp; Disclosure Interpretation 528.04 no longer may be relied upon as a result of changes in applicable laws, regulations, or interpretations of the SEC Division of Corporation Finance, or as a result of judicial interpretations not known by the Company or its counsel on the date hereof (either, a “</w:t>
      </w:r>
      <w:r>
        <w:rPr>
          <w:rFonts w:ascii="Arial" w:cs="Arial" w:eastAsia="Arial" w:hAnsi="Arial"/>
          <w:sz w:val="16"/>
          <w:szCs w:val="16"/>
          <w:b w:val="1"/>
          <w:bCs w:val="1"/>
          <w:color w:val="auto"/>
        </w:rPr>
        <w:t>Registration Trigger</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then the Company shall promptly, and in any event within five (5) business days following the request, provide written notice to Holder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As a condition to giving such notice, the Company shall offer Holder a single demand registration right pursuant to an agreement in form acceptable to the Holder; provided that notwithstanding anything to the contrary, the obligations of the Company pursuant to this Section 2 shall terminate on the fifth anniversary of the Effective Date. In the absence of such conclusion by counsel for the Company, the Company shall, upon request of Holder given no earlier than six months after the final closing of the Offering, instruct its transfer agent to permit the transfer of such shares in accordance with Compliance</w:t>
      </w:r>
    </w:p>
    <w:p>
      <w:pPr>
        <w:spacing w:after="0" w:line="12" w:lineRule="exact"/>
        <w:rPr>
          <w:sz w:val="20"/>
          <w:szCs w:val="20"/>
          <w:color w:val="auto"/>
        </w:rPr>
      </w:pPr>
    </w:p>
    <w:p>
      <w:pPr>
        <w:ind w:firstLine="8"/>
        <w:spacing w:after="0" w:line="261" w:lineRule="auto"/>
        <w:tabs>
          <w:tab w:leader="none" w:pos="1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Disclosure Interpretation 528.04, provided that Holder has provided such documentation as shall be reasonably be requested by the Company to establish compliance with the conditions of Compliance &amp; Disclosure Interpretation 528.04.</w:t>
      </w:r>
    </w:p>
    <w:p>
      <w:pPr>
        <w:spacing w:after="0" w:line="184"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 Restrictions</w:t>
      </w:r>
      <w:r>
        <w:rPr>
          <w:rFonts w:ascii="Arial" w:cs="Arial" w:eastAsia="Arial" w:hAnsi="Arial"/>
          <w:sz w:val="17"/>
          <w:szCs w:val="17"/>
          <w:color w:val="auto"/>
        </w:rPr>
        <w:t>. The registered Holder of this Purchase Warrant agrees by his, her or its acceptance hereof, that such Holder will not: (a) sell, transfer, assign, pledge or hypothecate this Purchase Warrant for a period of one hundred eighty (180) days following the Effective Date to anyone other than: (i) THE BENCHMARK COMPANY, LLC (“</w:t>
      </w:r>
      <w:r>
        <w:rPr>
          <w:rFonts w:ascii="Arial" w:cs="Arial" w:eastAsia="Arial" w:hAnsi="Arial"/>
          <w:sz w:val="17"/>
          <w:szCs w:val="17"/>
          <w:b w:val="1"/>
          <w:bCs w:val="1"/>
          <w:color w:val="auto"/>
        </w:rPr>
        <w:t>Benchmark</w:t>
      </w:r>
      <w:r>
        <w:rPr>
          <w:rFonts w:ascii="Arial" w:cs="Arial" w:eastAsia="Arial" w:hAnsi="Arial"/>
          <w:sz w:val="17"/>
          <w:szCs w:val="17"/>
          <w:color w:val="auto"/>
        </w:rPr>
        <w:t>”) or an underwriter or a selected dealer participating in the Offering, or (ii) a bona fide officer or partner of Benchmark or of any such underwriter or selected dealer, in each case in accordance with FINRA Conduct Rule 5110(g)(1),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5110(g)(2). After 180 days after the Effective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Warrant and payment of all transfer taxes, if any, payable in connection therewith. Subject to applicable securities laws,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729"/>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Restrictions Imposed by the Act</w:t>
      </w:r>
      <w:r>
        <w:rPr>
          <w:rFonts w:ascii="Arial" w:cs="Arial" w:eastAsia="Arial" w:hAnsi="Arial"/>
          <w:sz w:val="16"/>
          <w:szCs w:val="16"/>
          <w:color w:val="auto"/>
        </w:rPr>
        <w:t>. The securities evidenced by this Purchase Warrant shall not be transferred unless and until: (i) the Company has received the opinion of counsel for the Holder that the securities may be transferred pursuant to an exemption from registration under the Act and applicable state securities laws (the Company hereby agreeing that the opinion of Hunter Taubman Fischer &amp; LI LLC shall be deemed satisfactory evidence of the availability of an exemption under the Act and applicable U.S. state securities laws), or (ii) a registration statement or a post-effective amendment to the Registration Statement relating to the offer and sale of such securities has been filed by the Company and declared effective by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and compliance with applicable state securities law has been established.</w:t>
      </w:r>
    </w:p>
    <w:p>
      <w:pPr>
        <w:spacing w:after="0" w:line="165"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Grant of Right</w:t>
      </w:r>
      <w:r>
        <w:rPr>
          <w:rFonts w:ascii="Arial" w:cs="Arial" w:eastAsia="Arial" w:hAnsi="Arial"/>
          <w:sz w:val="16"/>
          <w:szCs w:val="16"/>
          <w:color w:val="auto"/>
        </w:rPr>
        <w:t>. The Holder shall have the right for a period of no more than two (2) years from the Effective Date to include the Shares underlying the Purchase Warrants (collectively, the “</w:t>
      </w:r>
      <w:r>
        <w:rPr>
          <w:rFonts w:ascii="Arial" w:cs="Arial" w:eastAsia="Arial" w:hAnsi="Arial"/>
          <w:sz w:val="16"/>
          <w:szCs w:val="16"/>
          <w:b w:val="1"/>
          <w:bCs w:val="1"/>
          <w:color w:val="auto"/>
        </w:rPr>
        <w:t>Registrable Securities</w:t>
      </w:r>
      <w:r>
        <w:rPr>
          <w:rFonts w:ascii="Arial" w:cs="Arial" w:eastAsia="Arial" w:hAnsi="Arial"/>
          <w:sz w:val="16"/>
          <w:szCs w:val="16"/>
          <w:color w:val="auto"/>
        </w:rPr>
        <w:t>”) as part of any other registration of securities filed by the Company (other than in connection with a transaction contemplated by Rule 145(a) promulgated under the Securities Act or pursuant to Form S-8 or any equivalent form); provided, however, that if, solely in connection with any primary underwritten public offering for the account of the Company, the managing underwriter(s) thereof shall, in its reasonable discretion, impose a limitation on the number of shares of common stock which may be included in the Registration Statement because, in such underwriter(s)’ judgment, marketing or other factors dictate such limitation is necessary to facilitate public distribution, then the Company shall be obligated to include in such Registration Statement only such limited portion of the Registrable Securities with respect to which the Holder requested inclusion hereunder as the underwriter shall reasonably permit. Any exclusion of Registrable Securities shall be made pro rata among the Holders seeking to include Registrable Securities in proportion to the number of Registrable Securities sought to be included by such Holders; provided, however, that the Company shall not exclude any Registrable Securities unless the Company has first excluded all outstanding securities, the holders of which are not entitled to inclusion of such securities in such Registration Statement or are not entitled to pro rata inclusion with the Registrable Securities.</w:t>
      </w:r>
    </w:p>
    <w:p>
      <w:pPr>
        <w:spacing w:after="0" w:line="173" w:lineRule="exact"/>
        <w:rPr>
          <w:sz w:val="20"/>
          <w:szCs w:val="20"/>
          <w:color w:val="auto"/>
        </w:rPr>
      </w:pPr>
    </w:p>
    <w:p>
      <w:pPr>
        <w:jc w:val="both"/>
        <w:ind w:firstLine="729"/>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Terms</w:t>
      </w:r>
      <w:r>
        <w:rPr>
          <w:rFonts w:ascii="Arial" w:cs="Arial" w:eastAsia="Arial" w:hAnsi="Arial"/>
          <w:sz w:val="16"/>
          <w:szCs w:val="16"/>
          <w:color w:val="auto"/>
        </w:rPr>
        <w:t xml:space="preserve">. The Company shall bear all fees and expenses attendant to registering the Registrable Securities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but the Holders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ten (10) days written notice prior to the proposed date of filing of such registration statement. Such notice to the Holders shall continue to be given for each registration statement filed by the Company until such time as all of the Registrable Securities have been registered for resale under the Act or sold by the Holder. The holders of the Registrable Securities shall exercise the “piggy-back” rights provided for herein by giving written notice within ten (10) days of the receipt of the Company’s notice of its intention to file a registration statement. Except as otherwise provided in this Purchase Warrant, there shall be no limit on the number of times the Holder may request registration under this section; provided, however, that such “piggy-back” registration rights shall terminate on the fifth (5</w:t>
      </w:r>
      <w:r>
        <w:rPr>
          <w:rFonts w:ascii="Arial" w:cs="Arial" w:eastAsia="Arial" w:hAnsi="Arial"/>
          <w:sz w:val="26"/>
          <w:szCs w:val="26"/>
          <w:color w:val="auto"/>
          <w:vertAlign w:val="superscript"/>
        </w:rPr>
        <w:t>th</w:t>
      </w:r>
      <w:r>
        <w:rPr>
          <w:rFonts w:ascii="Arial" w:cs="Arial" w:eastAsia="Arial" w:hAnsi="Arial"/>
          <w:sz w:val="16"/>
          <w:szCs w:val="16"/>
          <w:color w:val="auto"/>
        </w:rPr>
        <w:t>) anniversary of the Effective Date in accordance with FINRA Rule 5110(f)(2)(G)(v).</w:t>
      </w:r>
    </w:p>
    <w:p>
      <w:pPr>
        <w:spacing w:after="0" w:line="39" w:lineRule="exact"/>
        <w:rPr>
          <w:sz w:val="20"/>
          <w:szCs w:val="20"/>
          <w:color w:val="auto"/>
        </w:rPr>
      </w:pPr>
    </w:p>
    <w:p>
      <w:pPr>
        <w:jc w:val="both"/>
        <w:ind w:firstLine="729"/>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indemnify the Holder(s) of the Registrable Securities to be sold pursuant to any registration statement hereunder and each person, if any, who controls such Holders within the meaning of Section 15 of the Act or Section 20(a) of the Securities Exchange Act of 1934, as amended (“</w:t>
      </w:r>
      <w:r>
        <w:rPr>
          <w:rFonts w:ascii="Arial" w:cs="Arial" w:eastAsia="Arial" w:hAnsi="Arial"/>
          <w:sz w:val="17"/>
          <w:szCs w:val="17"/>
          <w:b w:val="1"/>
          <w:bCs w:val="1"/>
          <w:color w:val="auto"/>
        </w:rPr>
        <w:t>Exchange Act</w:t>
      </w:r>
      <w:r>
        <w:rPr>
          <w:rFonts w:ascii="Arial" w:cs="Arial" w:eastAsia="Arial" w:hAnsi="Arial"/>
          <w:sz w:val="17"/>
          <w:szCs w:val="17"/>
          <w:color w:val="auto"/>
        </w:rPr>
        <w:t>”), against all loss, claim, damage, expense or liability (including all reasonable attorneys’ fees and other expenses reasonably incurred in investigating, preparing or defending against any claim whatsoever) to which any of them may become subject under the Act, the Exchange Act or otherwise, arising from such registration statement but only to the same extent and with the same effect as the provisions pursuant to which the Company has agreed to indemnify the Holder(s) pursuant to the underwriting agreement relating to such registration statement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Holder(s) of the Registrable Securities to be sold pursuant to such registration statement, and their successors and assigns, shall severally,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Act, the Exchange Act or otherwise, arising from information furnished by or on behalf of such Holders, or their successors or assigns, in writing, for specific inclusion in such registration statement to the same extent and with the same effect as the provisions contained in the Underwriting Agreement pursuant to which the underwriters have agreed to indemnify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729"/>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Exercise of Purchase Warrants</w:t>
      </w:r>
      <w:r>
        <w:rPr>
          <w:rFonts w:ascii="Arial" w:cs="Arial" w:eastAsia="Arial" w:hAnsi="Arial"/>
          <w:sz w:val="18"/>
          <w:szCs w:val="18"/>
          <w:color w:val="auto"/>
        </w:rPr>
        <w:t>. Nothing contained in this Purchase Warrant shall be construed as requiring the Holder(s) to exercise their Purchase Warrants prior to or after the initial filing of any registration statement or the effectiveness thereof.</w:t>
      </w:r>
    </w:p>
    <w:p>
      <w:pPr>
        <w:spacing w:after="0" w:line="170" w:lineRule="exact"/>
        <w:rPr>
          <w:sz w:val="20"/>
          <w:szCs w:val="20"/>
          <w:color w:val="auto"/>
        </w:rPr>
      </w:pPr>
    </w:p>
    <w:p>
      <w:pPr>
        <w:jc w:val="both"/>
        <w:ind w:firstLine="729"/>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Documents Delivered to Holders</w:t>
      </w:r>
      <w:r>
        <w:rPr>
          <w:rFonts w:ascii="Arial" w:cs="Arial" w:eastAsia="Arial" w:hAnsi="Arial"/>
          <w:sz w:val="16"/>
          <w:szCs w:val="16"/>
          <w:color w:val="auto"/>
        </w:rPr>
        <w:t>. The Company shall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during normal business hours, as any such Holder shall reasonably request.</w:t>
      </w:r>
    </w:p>
    <w:p>
      <w:pPr>
        <w:spacing w:after="0" w:line="167" w:lineRule="exact"/>
        <w:rPr>
          <w:sz w:val="20"/>
          <w:szCs w:val="20"/>
          <w:color w:val="auto"/>
        </w:rPr>
      </w:pPr>
    </w:p>
    <w:p>
      <w:pPr>
        <w:jc w:val="both"/>
        <w:ind w:right="20" w:firstLine="729"/>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If the Company shall enter into an underwriting agreement, pursuant to which Registrable Securities of a Holder are being registered, such Holders shall not be required to make any representations or warranties to or agreements with the Company or the underwriters except as they may relate to such Holders, their Shares and their intended methods of distribution.</w:t>
      </w:r>
    </w:p>
    <w:p>
      <w:pPr>
        <w:spacing w:after="0" w:line="181" w:lineRule="exact"/>
        <w:rPr>
          <w:sz w:val="20"/>
          <w:szCs w:val="20"/>
          <w:color w:val="auto"/>
        </w:rPr>
      </w:pPr>
    </w:p>
    <w:p>
      <w:pPr>
        <w:jc w:val="both"/>
        <w:ind w:firstLine="729"/>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Documents to be Delivered by Holder(s)</w:t>
      </w:r>
      <w:r>
        <w:rPr>
          <w:rFonts w:ascii="Arial" w:cs="Arial" w:eastAsia="Arial" w:hAnsi="Arial"/>
          <w:sz w:val="17"/>
          <w:szCs w:val="17"/>
          <w:color w:val="auto"/>
        </w:rPr>
        <w:t>. Each of the Holder(s) participating in any of the foregoing offerings shall furnish to the Company (i) a completed and executed questionnaire provided by the Company requesting information customarily sought of selling security holders.</w:t>
      </w:r>
    </w:p>
    <w:p>
      <w:pPr>
        <w:spacing w:after="0" w:line="14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New Purchase Warrants to be Issued</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9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Partial Exercise or Transfer</w:t>
      </w:r>
      <w:r>
        <w:rPr>
          <w:rFonts w:ascii="Arial" w:cs="Arial" w:eastAsia="Arial" w:hAnsi="Arial"/>
          <w:sz w:val="16"/>
          <w:szCs w:val="16"/>
          <w:color w:val="auto"/>
        </w:rPr>
        <w:t xml:space="preserve">. Subject to the restrictions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Exercise Price and/or transfer tax if exercised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hereto,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spacing w:after="0" w:line="158" w:lineRule="exact"/>
        <w:rPr>
          <w:sz w:val="20"/>
          <w:szCs w:val="20"/>
          <w:color w:val="auto"/>
        </w:rPr>
      </w:pPr>
    </w:p>
    <w:p>
      <w:pPr>
        <w:jc w:val="both"/>
        <w:ind w:right="20" w:firstLine="72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Lost Certificate</w:t>
      </w:r>
      <w:r>
        <w:rPr>
          <w:rFonts w:ascii="Arial" w:cs="Arial" w:eastAsia="Arial" w:hAnsi="Arial"/>
          <w:sz w:val="18"/>
          <w:szCs w:val="18"/>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Adjustments to Exercise Price and Number of Securities</w:t>
      </w:r>
      <w:r>
        <w:rPr>
          <w:rFonts w:ascii="Arial" w:cs="Arial" w:eastAsia="Arial" w:hAnsi="Arial"/>
          <w:sz w:val="18"/>
          <w:szCs w:val="18"/>
          <w:color w:val="auto"/>
        </w:rPr>
        <w:t>. The Exercise Price and the number of Shares underlying the Purchase Warrant shall be subject to adjustment from time to time as hereinafter set forth:</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Share Dividends; Split Ups.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 the number of outstanding Shares is increased by a share dividend payable in Shares or by a split up of Shares or other similar event, then, on the effective day thereof, the number of Shares purchasable hereunder shall be increased in proportion to such increase in outstanding Shares, and the Exercise Price shall be proportionately decreased.</w:t>
      </w:r>
    </w:p>
    <w:p>
      <w:pPr>
        <w:spacing w:after="0" w:line="18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Aggregation of Shares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 the number of outstanding Shares is decreased by a consolidation, combination or reclassification of Shares or other similar event, then, on the effective date thereof, the number of Shares purchasable hereunder shall be decreased in proportion to such decrease in outstanding Shares, and the Exercise Price shall be proportionately increased.</w:t>
      </w:r>
    </w:p>
    <w:p>
      <w:pPr>
        <w:spacing w:after="0" w:line="14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other than a change covered by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hereof or that solely affects the par value of such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this Purchase Warrant shall, immediately after such reorganization, reclassification, consolidation, merger, sale or similar transaction, remain outstanding and shall thereafter, in lieu of or in addition to (as the case may be) the number of Shares then exercisable under this Purchase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applicable number of Shares then issuable hereunder as a result of such exercise (without taking into account any limitations or restrictions on the exercisability of this Purchase Warrant); and, in such case, appropriate adjustment shall be made with respect to the Holder’s rights under this Purchase Warrant to insure that the provisions of this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hereof shall thereafter be applicable, as nearly as possible, to this Purchase Warrant in relation to any shares of stock, securities or assets thereafter acquirable upon exercise of this Purchase Warrant (including, in the case of any consolidation, merger, sale or similar transaction in which the successor or purchasing person is other than the Company, an immediate adjustment in the Exercise Price to the value per common share reflected by the terms of such consolidation, merger, sale or similar transaction, and a corresponding immediate adjustment to the number of Shares acquirable upon exercise of this Purchase Warrant without regard to any limitations or restrictions on exercise, if the value so reflected is less than the Exercise Price in effect immediately prior to such consolidation, merger, sale or similar transaction). The provisions of this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Purchase Warrant and satisfactory to the Holder, the obligation to deliver to the Holder such shares of stock, securities or assets which, in accordance with the foregoing provisions, such Holder shall be entitled to receive upon exercise of this Warrant.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1297"/>
        <w:spacing w:after="0" w:line="302"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Changes in Form of Purchase Warrant.</w:t>
      </w:r>
      <w:r>
        <w:rPr>
          <w:rFonts w:ascii="Arial" w:cs="Arial" w:eastAsia="Arial" w:hAnsi="Arial"/>
          <w:sz w:val="16"/>
          <w:szCs w:val="16"/>
          <w:color w:val="auto"/>
        </w:rPr>
        <w:t xml:space="preserve"> This form of Purchase Warrant need not be changed because of any change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and Purchase Warrants issued after such change may state the same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Commencement Date or the computation thereof.</w:t>
      </w:r>
    </w:p>
    <w:p>
      <w:pPr>
        <w:spacing w:after="0" w:line="154"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Substitute Purchase Warrant</w:t>
      </w:r>
      <w:r>
        <w:rPr>
          <w:rFonts w:ascii="Arial" w:cs="Arial" w:eastAsia="Arial" w:hAnsi="Arial"/>
          <w:sz w:val="17"/>
          <w:szCs w:val="17"/>
          <w:color w:val="auto"/>
        </w:rPr>
        <w:t xml:space="preserve">. In case of any consolidation of the Company with, or share reconstruction or amalgamation of the Company with or into, another corporation (other than a consolidation or share reconstruction or amalgamation which does not result in any reclassification or change of the outstanding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and other securities and property receivable upon such consolidation or share reconstruction or amalgamation, by a holder of the number of Shares of the Company for which such Purchase Warrant might have been exercised immediately prior to such consolidation, share reconstruction or amalgamation, sale or transfer. Such supplemental Purchase Warrant shall provide for adjustments which shall be identical to the adjustments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The above provision of this Section shall similarly apply to successive consolidations or share reconstructions or amalgamations.</w:t>
      </w:r>
    </w:p>
    <w:p>
      <w:pPr>
        <w:spacing w:after="0" w:line="182"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spacing w:after="0" w:line="187" w:lineRule="exact"/>
        <w:rPr>
          <w:sz w:val="20"/>
          <w:szCs w:val="20"/>
          <w:color w:val="auto"/>
        </w:rPr>
      </w:pPr>
    </w:p>
    <w:p>
      <w:pPr>
        <w:jc w:val="both"/>
        <w:ind w:firstLine="8"/>
        <w:spacing w:after="0" w:line="291" w:lineRule="auto"/>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u w:val="single" w:color="auto"/>
          <w:color w:val="auto"/>
        </w:rPr>
        <w:t>Reservation and Listing</w:t>
      </w:r>
      <w:r>
        <w:rPr>
          <w:rFonts w:ascii="Arial" w:cs="Arial" w:eastAsia="Arial" w:hAnsi="Arial"/>
          <w:sz w:val="16"/>
          <w:szCs w:val="16"/>
          <w:color w:val="auto"/>
        </w:rPr>
        <w:t>. The Company shall at all times reserve and keep available out of its authorized Shares, solely for the purpose of issuance upon exercise of the Purchase Warrants, such number of Shares or other securities, properties or rights as shall be issuable upon the exercise thereof. The Company covenants and agrees that, upon exercise of the Purchase Warrants and payment of the Exercise Price therefor, in accordance with the terms hereby, all Shares and other securities issuable upon such exercise shall be duly and validly issued, fully paid and non-assessable and not subject to preemptive rights of any shareholder. As long as the Purchase Warrants shall be outstanding, the Company shall use its commercially reasonable efforts to cause all Shares issuable upon exercise of the Purchase Warrants to be listed (subject to official notice of issuance) on all national securities exchanges (or, if applicable, quoted on the OTC Bulletin Board or any successor trading market) on which the Company’s common shares may then be listed and/or quoted.</w:t>
      </w:r>
    </w:p>
    <w:p>
      <w:pPr>
        <w:spacing w:after="0" w:line="167" w:lineRule="exact"/>
        <w:rPr>
          <w:rFonts w:ascii="Arial" w:cs="Arial" w:eastAsia="Arial" w:hAnsi="Arial"/>
          <w:sz w:val="16"/>
          <w:szCs w:val="16"/>
          <w:b w:val="1"/>
          <w:bCs w:val="1"/>
          <w:color w:val="auto"/>
        </w:rPr>
      </w:pPr>
    </w:p>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u w:val="single" w:color="auto"/>
          <w:color w:val="auto"/>
        </w:rPr>
        <w:t>Certain Notice Requirements</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7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Holder’s Right to Receive Notice</w:t>
      </w:r>
      <w:r>
        <w:rPr>
          <w:rFonts w:ascii="Arial" w:cs="Arial" w:eastAsia="Arial" w:hAnsi="Arial"/>
          <w:sz w:val="17"/>
          <w:szCs w:val="17"/>
          <w:color w:val="auto"/>
        </w:rPr>
        <w:t xml:space="preserve">.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occur, then, in one or more of said events, the Company shall give written notice of such event at least ten (10) days prior to the date fixed as a record date or the date of closing the transfer books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shareholders of the Company at the same time and in the same manner that such notice is given to the shareholders.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74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Events Requiring Notice</w:t>
      </w:r>
      <w:r>
        <w:rPr>
          <w:rFonts w:ascii="Arial" w:cs="Arial" w:eastAsia="Arial" w:hAnsi="Arial"/>
          <w:sz w:val="17"/>
          <w:szCs w:val="17"/>
          <w:color w:val="auto"/>
        </w:rPr>
        <w:t xml:space="preserve">. The Company shall be required to give the notice described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upon one or more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events: (i) if the Company shall take a record of the holders of its Shares for the purpose of entitling them to receive a dividend or distribution payable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than in cash, or a cash dividend or distribution payable otherwise than out of retained earnings, as indicated by the accounting treatment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or distribution on the books of the Company, (ii) the Company shall offer to all the holders of its Shares any additional shares of capital stock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or securities convertible into or exchangeable for shares of capital stock of the Company, or any option, right or warrant to subscribe therefor, or</w:t>
      </w:r>
    </w:p>
    <w:p>
      <w:pPr>
        <w:spacing w:after="0" w:line="32" w:lineRule="exact"/>
        <w:rPr>
          <w:sz w:val="20"/>
          <w:szCs w:val="20"/>
          <w:color w:val="auto"/>
        </w:rPr>
      </w:pPr>
    </w:p>
    <w:p>
      <w:pPr>
        <w:ind w:right="20" w:firstLine="8"/>
        <w:spacing w:after="0" w:line="261"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dissolution, liquidation or winding up of the Company (other than in connection with a consolidation or share reconstruction or amalgamation) or a sale of all or substantially all of its property, assets and business shall be proposed.</w:t>
      </w:r>
    </w:p>
    <w:p>
      <w:pPr>
        <w:spacing w:after="0" w:line="184" w:lineRule="exact"/>
        <w:rPr>
          <w:sz w:val="20"/>
          <w:szCs w:val="20"/>
          <w:color w:val="auto"/>
        </w:rPr>
      </w:pPr>
    </w:p>
    <w:p>
      <w:pPr>
        <w:jc w:val="both"/>
        <w:ind w:firstLine="729"/>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 of Change in Exercise Price</w:t>
      </w:r>
      <w:r>
        <w:rPr>
          <w:rFonts w:ascii="Arial" w:cs="Arial" w:eastAsia="Arial" w:hAnsi="Arial"/>
          <w:sz w:val="17"/>
          <w:szCs w:val="17"/>
          <w:color w:val="auto"/>
        </w:rPr>
        <w:t xml:space="preserve">. The Company shall, promptly after an event requiring a change in the Exercise Price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send notice to the Holders of such event and change (“</w:t>
      </w:r>
      <w:r>
        <w:rPr>
          <w:rFonts w:ascii="Arial" w:cs="Arial" w:eastAsia="Arial" w:hAnsi="Arial"/>
          <w:sz w:val="17"/>
          <w:szCs w:val="17"/>
          <w:b w:val="1"/>
          <w:bCs w:val="1"/>
          <w:color w:val="auto"/>
        </w:rPr>
        <w:t>Price Notice</w:t>
      </w:r>
      <w:r>
        <w:rPr>
          <w:rFonts w:ascii="Arial" w:cs="Arial" w:eastAsia="Arial" w:hAnsi="Arial"/>
          <w:sz w:val="17"/>
          <w:szCs w:val="17"/>
          <w:color w:val="auto"/>
        </w:rPr>
        <w:t>”). The Price Notice shall describe the event causing the change and the method of calculating same and shall be certified as being true and accurate by the Company’s Chief Financial Officer.</w:t>
      </w:r>
    </w:p>
    <w:p>
      <w:pPr>
        <w:spacing w:after="0" w:line="166"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Transmittal of Notices</w:t>
      </w:r>
      <w:r>
        <w:rPr>
          <w:rFonts w:ascii="Arial" w:cs="Arial" w:eastAsia="Arial" w:hAnsi="Arial"/>
          <w:sz w:val="18"/>
          <w:szCs w:val="18"/>
          <w:color w:val="auto"/>
        </w:rPr>
        <w:t>. All notices, requests, consents and other communications under this Purchase Warrant shall be in writing and shall be deemed to have been duly made when hand delivered, or mailed by express mail or private courier service: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to the Holder:</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Benchmark Company, LLC</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150 East 58th Street, 17th Floor</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York, New York 10155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Richard Messina, President</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 2nd Floor, Building 18, Shanghai Pudong Software Park</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498 Guoshoujing Road, Pudong, Shanghai 201203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729"/>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Amendments</w:t>
      </w:r>
      <w:r>
        <w:rPr>
          <w:rFonts w:ascii="Arial" w:cs="Arial" w:eastAsia="Arial" w:hAnsi="Arial"/>
          <w:sz w:val="17"/>
          <w:szCs w:val="17"/>
          <w:color w:val="auto"/>
        </w:rPr>
        <w:t>. The Company and Benchmark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Benchmark may deem necessary or desirable and that the Company and Benchmark deem shall not adversely affect the interest of the Holders. All other modifications or amendments shall require the written consent of and be signed by the party against whom enforcement of the modification or amendment is sought.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right="20" w:firstLine="729"/>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Purchase Warrant.</w:t>
      </w:r>
    </w:p>
    <w:p>
      <w:pPr>
        <w:spacing w:after="0" w:line="170"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81" w:lineRule="exact"/>
        <w:rPr>
          <w:sz w:val="20"/>
          <w:szCs w:val="20"/>
          <w:color w:val="auto"/>
        </w:rPr>
      </w:pPr>
    </w:p>
    <w:p>
      <w:pPr>
        <w:jc w:val="both"/>
        <w:ind w:firstLine="729"/>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Purchase Warrant shall inure solely to the benefit of and shall be binding upon, the Holder and the Company and their permitted assignees, respective successors, legal representative and assigns, and no other person shall have or be construed to have any legal or equitable right, remedy or claim under or in respect of or by virtue of this Purchase Warrant or any provisions herein contained.</w:t>
      </w:r>
    </w:p>
    <w:p>
      <w:pPr>
        <w:spacing w:after="0" w:line="166" w:lineRule="exact"/>
        <w:rPr>
          <w:sz w:val="20"/>
          <w:szCs w:val="20"/>
          <w:color w:val="auto"/>
        </w:rPr>
      </w:pPr>
    </w:p>
    <w:p>
      <w:pPr>
        <w:jc w:val="both"/>
        <w:ind w:firstLine="729"/>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Governing Law; Submission to Jurisdiction; Trial by Jury</w:t>
      </w:r>
      <w:r>
        <w:rPr>
          <w:rFonts w:ascii="Arial" w:cs="Arial" w:eastAsia="Arial" w:hAnsi="Arial"/>
          <w:sz w:val="16"/>
          <w:szCs w:val="16"/>
          <w:color w:val="auto"/>
        </w:rPr>
        <w:t>. This Purchase Warrant shall be governed by and construed and enforced in accordance with the laws of the State of New York, without giving effect to conflict of laws principles thereof. Each of the Company and the Holder hereby agrees that any action, proceeding or claim against it arising out of, or relating in any way to this Purchase Warrant shall be brought and enforced in the New York Supreme Court, County of New York, or in the United States District Court for the Southern District of New York, and irrevocably submits to such jurisdiction, which jurisdiction shall be exclusive. Each of the Company and the Holder hereby waives any objection to such exclusive jurisdiction and that such courts represent an inconvenient forum. Any process or summons to be served upon the Company or the Holder may be served by transmitting a copy thereof by registered or certified mail, return receipt requested, postage prepaid, addressed to it at the address set forth in Section 8 hereof. Such mailing shall be deemed personal service and shall be legal and binding upon the Company and the Holder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shareholders and affiliates) and the Holder hereby irrevocably waive, to the fullest extent permitted by applicable law, any and all right to trial by jury in any legal proceeding arising out of or relating to this Agreement or the transactions contemplated hereby.</w:t>
      </w:r>
    </w:p>
    <w:p>
      <w:pPr>
        <w:spacing w:after="0" w:line="169" w:lineRule="exact"/>
        <w:rPr>
          <w:sz w:val="20"/>
          <w:szCs w:val="20"/>
          <w:color w:val="auto"/>
        </w:rPr>
      </w:pPr>
    </w:p>
    <w:p>
      <w:pPr>
        <w:jc w:val="both"/>
        <w:ind w:firstLine="729"/>
        <w:spacing w:after="0" w:line="27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Waiver, etc</w:t>
      </w:r>
      <w:r>
        <w:rPr>
          <w:rFonts w:ascii="Arial" w:cs="Arial" w:eastAsia="Arial" w:hAnsi="Arial"/>
          <w:sz w:val="17"/>
          <w:szCs w:val="17"/>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78"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As a condition of the Holder’s receipt and acceptance of this Purchase Warrant, Holder agrees that, at any time prior to the complete exercise of this Purchase Warrant by Holder, if the Company and Benchmark enter into an agreement (“</w:t>
      </w:r>
      <w:r>
        <w:rPr>
          <w:rFonts w:ascii="Arial" w:cs="Arial" w:eastAsia="Arial" w:hAnsi="Arial"/>
          <w:sz w:val="18"/>
          <w:szCs w:val="18"/>
          <w:b w:val="1"/>
          <w:bCs w:val="1"/>
          <w:color w:val="auto"/>
        </w:rPr>
        <w:t>Exchange Agreement</w:t>
      </w:r>
      <w:r>
        <w:rPr>
          <w:rFonts w:ascii="Arial" w:cs="Arial" w:eastAsia="Arial" w:hAnsi="Arial"/>
          <w:sz w:val="18"/>
          <w:szCs w:val="18"/>
          <w:color w:val="auto"/>
        </w:rPr>
        <w:t>”) pursuant to which they agree that all outstanding Purchase Warrants will be exchanged for securities or cash or a combination of both, then Holder shall agree to such exchange and become a party to the Exchange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440"/>
        <w:spacing w:after="0"/>
        <w:rPr>
          <w:sz w:val="20"/>
          <w:szCs w:val="20"/>
          <w:color w:val="auto"/>
        </w:rPr>
      </w:pPr>
      <w:r>
        <w:rPr>
          <w:rFonts w:ascii="Arial" w:cs="Arial" w:eastAsia="Arial" w:hAnsi="Arial"/>
          <w:sz w:val="16"/>
          <w:szCs w:val="16"/>
          <w:color w:val="auto"/>
        </w:rPr>
        <w:t>IN WITNESS WHEREOF, the Company has caused this Purchase Warrant to be signed by its duly authorized officer as of the [●] day of [●],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909" w:right="5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to be used to exercise Purchase Warrant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-10160</wp:posOffset>
            </wp:positionV>
            <wp:extent cx="8858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20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The undersigned hereby elects irrevocably to exercise the Purchase Warrant for [ ● ] common shares, no par value (the “</w:t>
      </w:r>
      <w:r>
        <w:rPr>
          <w:rFonts w:ascii="Arial" w:cs="Arial" w:eastAsia="Arial" w:hAnsi="Arial"/>
          <w:sz w:val="16"/>
          <w:szCs w:val="16"/>
          <w:b w:val="1"/>
          <w:bCs w:val="1"/>
          <w:color w:val="auto"/>
        </w:rPr>
        <w:t>Shares</w:t>
      </w:r>
      <w:r>
        <w:rPr>
          <w:rFonts w:ascii="Arial" w:cs="Arial" w:eastAsia="Arial" w:hAnsi="Arial"/>
          <w:sz w:val="16"/>
          <w:szCs w:val="16"/>
          <w:color w:val="auto"/>
        </w:rPr>
        <w:t>”), of CLPS Incorporation., a corporation governed by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and hereby makes payment of $ (at the rate of $[●] per Share) in payment of the Exercise Price pursuant thereto. Please issue the Shares as to which this Purchase Warrant is exercised in accordance with the instructions given below and, if applicable, a new Purchase Warrant representing the number of Shares for which this Purchase Warrant has not been exercised.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hereby elects irrevocably to convert its right to purchase [●] Shares of the Company under the Purchase Warrant for [●] Shares, as determined in accordance with the following formula:</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10020"/>
        <w:spacing w:after="0"/>
        <w:rPr>
          <w:sz w:val="20"/>
          <w:szCs w:val="20"/>
          <w:color w:val="auto"/>
        </w:rPr>
      </w:pPr>
      <w:r>
        <w:rPr>
          <w:rFonts w:ascii="Arial" w:cs="Arial" w:eastAsia="Arial" w:hAnsi="Arial"/>
          <w:sz w:val="18"/>
          <w:szCs w:val="18"/>
          <w:color w:val="auto"/>
        </w:rPr>
        <w:t>Y(A-B)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-10160</wp:posOffset>
            </wp:positionV>
            <wp:extent cx="579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 w:lineRule="exact"/>
        <w:rPr>
          <w:sz w:val="20"/>
          <w:szCs w:val="20"/>
          <w:color w:val="auto"/>
        </w:rPr>
      </w:pPr>
    </w:p>
    <w:p>
      <w:pPr>
        <w:jc w:val="center"/>
        <w:ind w:right="1002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X</w:t>
            </w:r>
          </w:p>
        </w:tc>
        <w:tc>
          <w:tcPr>
            <w:tcW w:w="14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360" w:type="dxa"/>
            <w:vAlign w:val="bottom"/>
          </w:tcPr>
          <w:p>
            <w:pPr>
              <w:ind w:left="1080"/>
              <w:spacing w:after="0"/>
              <w:rPr>
                <w:sz w:val="20"/>
                <w:szCs w:val="20"/>
                <w:color w:val="auto"/>
              </w:rPr>
            </w:pPr>
            <w:r>
              <w:rPr>
                <w:rFonts w:ascii="Arial" w:cs="Arial" w:eastAsia="Arial" w:hAnsi="Arial"/>
                <w:sz w:val="18"/>
                <w:szCs w:val="18"/>
                <w:color w:val="auto"/>
              </w:rPr>
              <w:t>The number of Shares to be issued to Holder;</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Y</w:t>
            </w:r>
          </w:p>
        </w:tc>
        <w:tc>
          <w:tcPr>
            <w:tcW w:w="14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360" w:type="dxa"/>
            <w:vAlign w:val="bottom"/>
          </w:tcPr>
          <w:p>
            <w:pPr>
              <w:ind w:left="1080"/>
              <w:spacing w:after="0"/>
              <w:rPr>
                <w:sz w:val="20"/>
                <w:szCs w:val="20"/>
                <w:color w:val="auto"/>
              </w:rPr>
            </w:pPr>
            <w:r>
              <w:rPr>
                <w:rFonts w:ascii="Arial" w:cs="Arial" w:eastAsia="Arial" w:hAnsi="Arial"/>
                <w:sz w:val="18"/>
                <w:szCs w:val="18"/>
                <w:color w:val="auto"/>
                <w:w w:val="89"/>
              </w:rPr>
              <w:t>The number of Shares for which the Purchase Warrant is being exercised;</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14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360" w:type="dxa"/>
            <w:vAlign w:val="bottom"/>
          </w:tcPr>
          <w:p>
            <w:pPr>
              <w:ind w:left="1080"/>
              <w:spacing w:after="0"/>
              <w:rPr>
                <w:sz w:val="20"/>
                <w:szCs w:val="20"/>
                <w:color w:val="auto"/>
              </w:rPr>
            </w:pPr>
            <w:r>
              <w:rPr>
                <w:rFonts w:ascii="Arial" w:cs="Arial" w:eastAsia="Arial" w:hAnsi="Arial"/>
                <w:sz w:val="18"/>
                <w:szCs w:val="18"/>
                <w:color w:val="auto"/>
              </w:rPr>
              <w:t>The fair market value of one Share which is equal to $[●]; and</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14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360" w:type="dxa"/>
            <w:vAlign w:val="bottom"/>
          </w:tcPr>
          <w:p>
            <w:pPr>
              <w:ind w:left="1080"/>
              <w:spacing w:after="0"/>
              <w:rPr>
                <w:sz w:val="20"/>
                <w:szCs w:val="20"/>
                <w:color w:val="auto"/>
              </w:rPr>
            </w:pPr>
            <w:r>
              <w:rPr>
                <w:rFonts w:ascii="Arial" w:cs="Arial" w:eastAsia="Arial" w:hAnsi="Arial"/>
                <w:sz w:val="18"/>
                <w:szCs w:val="18"/>
                <w:color w:val="auto"/>
              </w:rPr>
              <w:t>The Exercise Price which is equal to $[●] per share</w:t>
            </w:r>
          </w:p>
        </w:tc>
      </w:tr>
    </w:tbl>
    <w:p>
      <w:pPr>
        <w:spacing w:after="0" w:line="200" w:lineRule="exact"/>
        <w:rPr>
          <w:sz w:val="20"/>
          <w:szCs w:val="20"/>
          <w:color w:val="auto"/>
        </w:rPr>
      </w:pPr>
    </w:p>
    <w:p>
      <w:pPr>
        <w:sectPr>
          <w:pgSz w:w="11900" w:h="16838" w:orient="portrait"/>
          <w:cols w:equalWidth="0" w:num="2">
            <w:col w:w="540" w:space="300"/>
            <w:col w:w="10580"/>
          </w:cols>
          <w:pgMar w:left="240" w:top="908" w:right="239" w:bottom="1440" w:gutter="0" w:footer="0" w:header="0"/>
          <w:type w:val="continuous"/>
        </w:sectPr>
      </w:pP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issue the Shares as to which this Purchase Warrant is exercised in accordance with the instructions given below and, if applicable, a new Purchase Warrant representing the number of Shares for which this Purchase Warrant has not been converted.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REGISTRATION OF SECURITIES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23837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3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(Print in Block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623570</wp:posOffset>
            </wp:positionV>
            <wp:extent cx="23837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238379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323850</wp:posOffset>
            </wp:positionV>
            <wp:extent cx="23837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2383790" cy="171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23495</wp:posOffset>
            </wp:positionV>
            <wp:extent cx="23837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to be used to assign Purchase Warrant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 to effect a transfer of the within Purchase Warrant):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VALUE RECEIVED, [●] does hereby sell, assign and transfer unto the right to purchase common shares, no par value, of CLPS Incorporation., a corporation governed by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Purchase Warrant and does hereby authorize the Company to transfer such right on the books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-10160</wp:posOffset>
            </wp:positionV>
            <wp:extent cx="1228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The signature to this form must correspond with the name as written upon the face of the within Purchase Warrant without alteration or enlargement or any change whatsoever, and must be guaranteed by a bank, other than a savings bank, or by a trust company or by a firm having membership on a registered national securities exchange.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10200"/>
        <w:spacing w:after="0"/>
        <w:rPr>
          <w:sz w:val="20"/>
          <w:szCs w:val="20"/>
          <w:color w:val="auto"/>
        </w:rPr>
      </w:pPr>
      <w:r>
        <w:rPr>
          <w:rFonts w:ascii="Arial" w:cs="Arial" w:eastAsia="Arial" w:hAnsi="Arial"/>
          <w:sz w:val="19"/>
          <w:szCs w:val="19"/>
          <w:b w:val="1"/>
          <w:bCs w:val="1"/>
          <w:color w:val="auto"/>
        </w:rPr>
        <w:t>Exhibit 10.10</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E 58th Street,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undersigned understands that Benchmark Company LLC (the “</w:t>
      </w:r>
      <w:r>
        <w:rPr>
          <w:rFonts w:ascii="Arial" w:cs="Arial" w:eastAsia="Arial" w:hAnsi="Arial"/>
          <w:sz w:val="18"/>
          <w:szCs w:val="18"/>
          <w:b w:val="1"/>
          <w:bCs w:val="1"/>
          <w:color w:val="auto"/>
        </w:rPr>
        <w:t>Representative</w:t>
      </w:r>
      <w:r>
        <w:rPr>
          <w:rFonts w:ascii="Arial" w:cs="Arial" w:eastAsia="Arial" w:hAnsi="Arial"/>
          <w:sz w:val="18"/>
          <w:szCs w:val="18"/>
          <w:color w:val="auto"/>
        </w:rPr>
        <w:t>”) proposes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CLPS Incorporation, a Cayman Islands company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 of the common shares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induce the Representative to continue its efforts in connection with the Public Offering, the undersigned hereby agrees that, without the prior written consent of the Representative, the undersigned will not, during the period commencing on the date hereof and ending 365 days after the date of the final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Lock-Up Period</w:t>
      </w:r>
      <w:r>
        <w:rPr>
          <w:rFonts w:ascii="Arial" w:cs="Arial" w:eastAsia="Arial" w:hAnsi="Arial"/>
          <w:sz w:val="16"/>
          <w:szCs w:val="16"/>
          <w:color w:val="auto"/>
        </w:rPr>
        <w:t>”), (1) offer, pledge, sell, contract to sell, grant, lend, or otherwise transfer or dispose of, directly or indirectly, any Shares, any securities convertible into or exercisable or exchangeable for Shares, whether now owned or hereafter acquired by the undersigned or with respect to which the undersigned has or hereafter acquires the power of disposition (collectively,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(2) enter into any swap or other arrangement that transfers to another, in whole or in part, any of the economic consequences of ownership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Lock-Up Securities, whether any such transaction described in clause (1) or (2) above is to be settled by delivery of Lock-Up Securities, in cash or otherwise;</w:t>
      </w:r>
    </w:p>
    <w:p>
      <w:pPr>
        <w:spacing w:after="0" w:line="3" w:lineRule="exact"/>
        <w:rPr>
          <w:sz w:val="20"/>
          <w:szCs w:val="20"/>
          <w:color w:val="auto"/>
        </w:rPr>
      </w:pPr>
    </w:p>
    <w:p>
      <w:pPr>
        <w:jc w:val="both"/>
        <w:ind w:firstLine="8"/>
        <w:spacing w:after="0" w:line="281" w:lineRule="auto"/>
        <w:tabs>
          <w:tab w:leader="none" w:pos="2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make any demand for or exercise any right with respect to the registration of any Lock-Up Securities; or (4) publicly disclose the intention to make any offer, sale, pledge or disposition, or to enter into any transaction, swap, hedge or other arrangement relating to any Lock-Up Securities. Notwithstanding the foregoing, and subject to the conditions below, the undersigned may transfer Lock-Up Securities without the prior written consent of the Representative in connection with (a) transactions relating to Lock-Up Securities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shall be required or shall be voluntarily made in connection with subsequent sales of Lock-Up Securities acquired in such open market transactions; (b) transfers of Lock-Up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by will or intestacy or to a family member or trust for the benefit of a family member (for purposes of this lock-up agreement, “family member” means any relationship by blood, marriage or adoption, not more remote than first cousin); (c) transfers of Lock-Up Securities to a charity or educational institution; or</w:t>
      </w:r>
    </w:p>
    <w:p>
      <w:pPr>
        <w:spacing w:after="0" w:line="5" w:lineRule="exact"/>
        <w:rPr>
          <w:rFonts w:ascii="Arial" w:cs="Arial" w:eastAsia="Arial" w:hAnsi="Arial"/>
          <w:sz w:val="16"/>
          <w:szCs w:val="16"/>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(d) if the undersigned, directly or indirectly, controls a corporation, partnership, limited liability company or other business entity, any transfers of Lock-Up Securities to any shareholder, partner or member of, or owner of similar equity interests in, the undersigned,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pursuant to the foregoing clauses (b), (c) or (d), (i) any such transfer shall not involve a disposition for value, (ii) each transferee shall sign and deliver to the Representatives a lock-up agreement substantially in the form of this lock-up agreement and (iii) no filing under Section 16(a) of the Exchange Act shall be required or shall be voluntarily made. The undersigned also agrees and consents to the entry of stop transfer instructions with the Company’s transfer agent and registrar against the transfer of the undersigned’s Lock-Up Securities except in compliance with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ind w:firstLine="648"/>
        <w:spacing w:after="0" w:line="291" w:lineRule="auto"/>
        <w:rPr>
          <w:sz w:val="20"/>
          <w:szCs w:val="20"/>
          <w:color w:val="auto"/>
        </w:rPr>
      </w:pPr>
      <w:r>
        <w:rPr>
          <w:rFonts w:ascii="Arial" w:cs="Arial" w:eastAsia="Arial" w:hAnsi="Arial"/>
          <w:sz w:val="16"/>
          <w:szCs w:val="16"/>
          <w:color w:val="auto"/>
        </w:rPr>
        <w:t>If the undersigned is an officer or director of the Company, (i) the undersigned agrees that the foregoing restrictions shall be equally applicable to any issuer-directed or “friends and family” Shares that the undersigned may purchase in the Public Offering; (ii) the Representative agrees that, at least three</w:t>
      </w:r>
    </w:p>
    <w:p>
      <w:pPr>
        <w:jc w:val="both"/>
        <w:ind w:firstLine="8"/>
        <w:spacing w:after="0" w:line="269" w:lineRule="auto"/>
        <w:tabs>
          <w:tab w:leader="none" w:pos="2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business days before the effective date of any release or waiver of the foregoing restrictions in connection with a transfer of Lock-Up Securities, the Representative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Representative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 provision in this agreement shall be deemed to restrict or prohibit the exercise, exchange or conversion by the undersigned of any securities exercisable or exchangeable for or convertible into Shares,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undersigned does not transfer the Shares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the Company and the Representative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if the Underwriting Agreement is not executed by [•], 2018, or if the Underwriting Agreement (other than the provisions thereof which survive termination) shall terminate or be terminated prior to payment for and delivery of the Shares to be sold thereunder, then this lock-up agreement shall be void and of no further force or effect.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Representative.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6" w:name="page67"/>
    <w:bookmarkEnd w:id="66"/>
    <w:p>
      <w:pPr>
        <w:ind w:left="56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289560</wp:posOffset>
            </wp:positionV>
            <wp:extent cx="288988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289560</wp:posOffset>
            </wp:positionV>
            <wp:extent cx="28898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289560</wp:posOffset>
            </wp:positionV>
            <wp:extent cx="28898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289560</wp:posOffset>
            </wp:positionV>
            <wp:extent cx="288988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(Title of Signatory, in the case of entities - Please Print)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323850</wp:posOffset>
            </wp:positionV>
            <wp:extent cx="223837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2238375" cy="1714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169545</wp:posOffset>
            </wp:positionV>
            <wp:extent cx="22383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2238375" cy="1714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14605</wp:posOffset>
            </wp:positionV>
            <wp:extent cx="22383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60"/>
          </w:cols>
          <w:pgMar w:left="1440" w:top="868" w:right="69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ESCROW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this __________________ by and among CLPS Incorporation, a Cayman Islands company (the</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the Underwriter whose name and address appears on the Information Sheet (as defined herein) attached to this Agreement and Continental Stock Transfer &amp; Trust Company, 1 State Street, 30th Floor, New York, New York 10004 (the “</w:t>
      </w:r>
      <w:r>
        <w:rPr>
          <w:rFonts w:ascii="Arial" w:cs="Arial" w:eastAsia="Arial" w:hAnsi="Arial"/>
          <w:sz w:val="18"/>
          <w:szCs w:val="18"/>
          <w:b w:val="1"/>
          <w:bCs w:val="1"/>
          <w:color w:val="auto"/>
        </w:rPr>
        <w:t>Escrow Agent</w:t>
      </w:r>
      <w:r>
        <w:rPr>
          <w:rFonts w:ascii="Arial" w:cs="Arial" w:eastAsia="Arial" w:hAnsi="Arial"/>
          <w:sz w:val="18"/>
          <w:szCs w:val="18"/>
          <w:color w:val="auto"/>
        </w:rPr>
        <w:t>”). Capitalized term used herein and not otherwise defined herein shall have the respective meaning set forth in the Underwriting Agreement (as defined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Issuer has filed with the Securities and Exchange Commission (the “Commission”) a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covering a proposed public offering of its common shares (the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Underwriter proposes, pursuant to the terms of the Registration Statement and that certain Underwriting Agreement, dated as of ____, 2018,</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by and between the Underwriter and the Issuer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to offer the Securities, as agent for the Issuer, for sale in an initial public offering of the Company’s securities to the public on a firm commitment basis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Registration Statement contemplates the execution and delivery of this Agreement and the deposit by Issuer with the Escrow Agent of</w:t>
      </w:r>
      <w:r>
        <w:rPr>
          <w:rFonts w:ascii="Arial" w:cs="Arial" w:eastAsia="Arial" w:hAnsi="Arial"/>
          <w:sz w:val="18"/>
          <w:szCs w:val="18"/>
          <w:b w:val="1"/>
          <w:bCs w:val="1"/>
          <w:color w:val="auto"/>
        </w:rPr>
        <w:t xml:space="preserve"> </w:t>
      </w:r>
      <w:r>
        <w:rPr>
          <w:rFonts w:ascii="Arial" w:cs="Arial" w:eastAsia="Arial" w:hAnsi="Arial"/>
          <w:sz w:val="18"/>
          <w:szCs w:val="18"/>
          <w:color w:val="auto"/>
        </w:rPr>
        <w:t>$200,000.00 (the “</w:t>
      </w:r>
      <w:r>
        <w:rPr>
          <w:rFonts w:ascii="Arial" w:cs="Arial" w:eastAsia="Arial" w:hAnsi="Arial"/>
          <w:sz w:val="18"/>
          <w:szCs w:val="18"/>
          <w:b w:val="1"/>
          <w:bCs w:val="1"/>
          <w:u w:val="single" w:color="auto"/>
          <w:color w:val="auto"/>
        </w:rPr>
        <w:t>Escrow Amount</w:t>
      </w:r>
      <w:r>
        <w:rPr>
          <w:rFonts w:ascii="Arial" w:cs="Arial" w:eastAsia="Arial" w:hAnsi="Arial"/>
          <w:sz w:val="18"/>
          <w:szCs w:val="18"/>
          <w:color w:val="auto"/>
        </w:rPr>
        <w:t>”) in order to provide source of funding for certain indemnification obligations of Issuer as described in the Registration Statement and the Underwriting Agreement, and the parties hereto wish such deposit to be subject to the terms and conditions set forth herein and in the Underwriting Agreement;</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Issuer and the Underwriter propose to establish an Escrow Account (the “</w:t>
      </w:r>
      <w:r>
        <w:rPr>
          <w:rFonts w:ascii="Arial" w:cs="Arial" w:eastAsia="Arial" w:hAnsi="Arial"/>
          <w:sz w:val="17"/>
          <w:szCs w:val="17"/>
          <w:b w:val="1"/>
          <w:bCs w:val="1"/>
          <w:color w:val="auto"/>
        </w:rPr>
        <w:t>Escrow Account</w:t>
      </w:r>
      <w:r>
        <w:rPr>
          <w:rFonts w:ascii="Arial" w:cs="Arial" w:eastAsia="Arial" w:hAnsi="Arial"/>
          <w:sz w:val="17"/>
          <w:szCs w:val="17"/>
          <w:color w:val="auto"/>
        </w:rPr>
        <w:t>”), to which the Escrow Amount is be credited,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Escrow Agent is willing to establish the Escrow Account and the terms thereof are subject to the conditions hereinafter set forth;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mutual covenants herein contained, the parties hereto hereby agree as follows:</w:t>
      </w:r>
    </w:p>
    <w:p>
      <w:pPr>
        <w:spacing w:after="0" w:line="225" w:lineRule="exact"/>
        <w:rPr>
          <w:sz w:val="20"/>
          <w:szCs w:val="20"/>
          <w:color w:val="auto"/>
        </w:rPr>
      </w:pPr>
    </w:p>
    <w:p>
      <w:pPr>
        <w:ind w:left="660" w:hanging="652"/>
        <w:spacing w:after="0" w:line="347" w:lineRule="auto"/>
        <w:tabs>
          <w:tab w:leader="none" w:pos="6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Information Sheet</w:t>
      </w:r>
      <w:r>
        <w:rPr>
          <w:rFonts w:ascii="Arial" w:cs="Arial" w:eastAsia="Arial" w:hAnsi="Arial"/>
          <w:sz w:val="16"/>
          <w:szCs w:val="16"/>
          <w:color w:val="auto"/>
        </w:rPr>
        <w:t>. Each capitalized term not otherwise defined in this Agreement shall have the meaning set forth for such term on the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sheet which is attached to this Agreement and is incorporated by reference herein and made a pact hereof (the “</w:t>
      </w:r>
      <w:r>
        <w:rPr>
          <w:rFonts w:ascii="Arial" w:cs="Arial" w:eastAsia="Arial" w:hAnsi="Arial"/>
          <w:sz w:val="16"/>
          <w:szCs w:val="16"/>
          <w:b w:val="1"/>
          <w:bCs w:val="1"/>
          <w:color w:val="auto"/>
        </w:rPr>
        <w:t>Information Sheet</w:t>
      </w:r>
      <w:r>
        <w:rPr>
          <w:rFonts w:ascii="Arial" w:cs="Arial" w:eastAsia="Arial" w:hAnsi="Arial"/>
          <w:sz w:val="16"/>
          <w:szCs w:val="16"/>
          <w:color w:val="auto"/>
        </w:rPr>
        <w:t>”).</w:t>
      </w:r>
    </w:p>
    <w:p>
      <w:pPr>
        <w:spacing w:after="0" w:line="11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of the Bank Account</w:t>
      </w:r>
      <w:r>
        <w:rPr>
          <w:rFonts w:ascii="Arial" w:cs="Arial" w:eastAsia="Arial" w:hAnsi="Arial"/>
          <w:sz w:val="18"/>
          <w:szCs w:val="18"/>
          <w:color w:val="auto"/>
        </w:rPr>
        <w:t>.</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Escrow Agent shall establish a non-interest bank account at the branch of JP Morgan Chase selected by the Escrow Agent, and bearing the designation set forth on the Information Sheet (heretofore defined as the “</w:t>
      </w:r>
      <w:r>
        <w:rPr>
          <w:rFonts w:ascii="Arial" w:cs="Arial" w:eastAsia="Arial" w:hAnsi="Arial"/>
          <w:sz w:val="18"/>
          <w:szCs w:val="18"/>
          <w:b w:val="1"/>
          <w:bCs w:val="1"/>
          <w:color w:val="auto"/>
        </w:rPr>
        <w:t>Bank Account”</w:t>
      </w:r>
      <w:r>
        <w:rPr>
          <w:rFonts w:ascii="Arial" w:cs="Arial" w:eastAsia="Arial" w:hAnsi="Arial"/>
          <w:sz w:val="18"/>
          <w:szCs w:val="18"/>
          <w:color w:val="auto"/>
        </w:rPr>
        <w:t>). The purpose of the Bank Account is for (a) the deposit of the Escrow Amount by the Issuer to the Escrow Agent, (b) the holding of the Escrow Amount and (c) the disbursement of the Escrow Amount, all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ind w:left="652" w:hanging="652"/>
        <w:spacing w:after="0"/>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Deposits to the Bank Account</w:t>
      </w:r>
      <w:r>
        <w:rPr>
          <w:rFonts w:ascii="Arial" w:cs="Arial" w:eastAsia="Arial" w:hAnsi="Arial"/>
          <w:sz w:val="18"/>
          <w:szCs w:val="18"/>
          <w:color w:val="auto"/>
        </w:rPr>
        <w:t>.</w:t>
      </w:r>
    </w:p>
    <w:p>
      <w:pPr>
        <w:spacing w:after="0" w:line="229"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Issuer shall upon execution of this Agreement deliver to the Escrow Agent, by wire transfer in accordance with the wire transfer instructions set forth on the Information Sheet, the Escrow Amount. Upon the Escrow Agent’s receipt of the Escrow Amount, it shall be credited to the Escrow Account.</w:t>
      </w:r>
    </w:p>
    <w:p>
      <w:pPr>
        <w:spacing w:after="0" w:line="181"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Promptly after receiving the Escrow Amount as described in Section 3.1, the Escrow Agent shall deposit the same into the Bank Account. The Escrow Agent shall cause the Bank to process the Escrow Amount for collection through the banking system.</w:t>
      </w:r>
    </w:p>
    <w:p>
      <w:pPr>
        <w:spacing w:after="0" w:line="166" w:lineRule="exact"/>
        <w:rPr>
          <w:sz w:val="20"/>
          <w:szCs w:val="20"/>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Disbursement from the Bank Account</w:t>
      </w:r>
      <w:r>
        <w:rPr>
          <w:rFonts w:ascii="Arial" w:cs="Arial" w:eastAsia="Arial" w:hAnsi="Arial"/>
          <w:sz w:val="18"/>
          <w:szCs w:val="18"/>
          <w:color w:val="auto"/>
        </w:rPr>
        <w:t>.</w:t>
      </w:r>
    </w:p>
    <w:p>
      <w:pPr>
        <w:spacing w:after="0" w:line="229"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Promptly following the date that is eighteen (18) months after the closing of the Offering, the Escrow Agent shall retain in the Escrow Account such amount that is the subject of all claim notices delivered by the Underwriter to the Issuer in accordance with Section 5 of the Underwriting Agreement, and shall pay the remaining balance of the Escrow Account, if any, to the Issuer (subject to withholding as applicable) based on a Joint Release Instruction.</w:t>
      </w:r>
    </w:p>
    <w:p>
      <w:pPr>
        <w:spacing w:after="0" w:line="187" w:lineRule="exact"/>
        <w:rPr>
          <w:sz w:val="20"/>
          <w:szCs w:val="20"/>
          <w:color w:val="auto"/>
        </w:rPr>
      </w:pPr>
    </w:p>
    <w:p>
      <w:pPr>
        <w:jc w:val="both"/>
        <w:ind w:left="652" w:hanging="647"/>
        <w:spacing w:after="0" w:line="269" w:lineRule="auto"/>
        <w:tabs>
          <w:tab w:leader="none" w:pos="6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In the event that the Underwriter delivers a claim notice in accordance with Section 5 of the Underwriting Agreement on or prior to the day that is that is eighteen (18) months after the closing of the Offering, as applicable, the Escrow Agent shall continue to hold in escrow and shall not release, an amount of funds then held in escrow equal to the lesser of: (i) the amount claimed by the Underwriter which is payable to the Underwriter in accordance with the terms of Section 5 of the Underwriting Agreement (but not in any event in excess of the Escrow Amount); or (ii) the balance of the Escrow Account which is available for release and distribution to the Issuer. The portion of the Escrow Account in excess of the amount specified in clause (i) of the preceding sentence (as may be the subject of one or more timely delivered claim notices) shall be released by the Escrow Agent as specified in Section 4.1 (as may be applicable). With respect to the amounts specified in any such timely delivered claim notices, the Escrow Agent shall promptly disburse funds from the Escrow Account within three (3) Business Days after delivery to the Escrow Agent of: (i) a Joint Release Instruction, as may be directed in such Joint Release Instruction; or (ii) if the Underwriter and the Issuer are unable for any reason to issue a Joint Release Instruction (including in any case in which the Underwriter and the Issuer are unable to agree on the terms of a Joint Release Instructions), within ten (10) Business Days following the request of a party to issue such Joint Release Instruction, as specified in the terms of a Final Determination.</w:t>
      </w:r>
    </w:p>
    <w:p>
      <w:pPr>
        <w:spacing w:after="0" w:line="180" w:lineRule="exact"/>
        <w:rPr>
          <w:sz w:val="20"/>
          <w:szCs w:val="20"/>
          <w:color w:val="auto"/>
        </w:rPr>
      </w:pPr>
    </w:p>
    <w:p>
      <w:pPr>
        <w:jc w:val="both"/>
        <w:ind w:left="652" w:hanging="647"/>
        <w:spacing w:after="0" w:line="255" w:lineRule="auto"/>
        <w:tabs>
          <w:tab w:leader="none" w:pos="6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 purposes of this Agreement: (a)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commercial banks located in New York, New York, are obligated or authorized by applicable law to remain closed for business; (b) “</w:t>
      </w:r>
      <w:r>
        <w:rPr>
          <w:rFonts w:ascii="Arial" w:cs="Arial" w:eastAsia="Arial" w:hAnsi="Arial"/>
          <w:sz w:val="18"/>
          <w:szCs w:val="18"/>
          <w:u w:val="single" w:color="auto"/>
          <w:color w:val="auto"/>
        </w:rPr>
        <w:t>Final Determination</w:t>
      </w:r>
      <w:r>
        <w:rPr>
          <w:rFonts w:ascii="Arial" w:cs="Arial" w:eastAsia="Arial" w:hAnsi="Arial"/>
          <w:sz w:val="18"/>
          <w:szCs w:val="18"/>
          <w:color w:val="auto"/>
        </w:rPr>
        <w:t>” means a final non-appealable order of any court of competent jurisdiction which may be issued, together with (A) a certificate of the prevailing party to the effect that such judgment is final and non-appealable and from a court of competent jurisdiction having proper authority and (B) the written payment instructions of the prevailing party; and (c) “</w:t>
      </w:r>
      <w:r>
        <w:rPr>
          <w:rFonts w:ascii="Arial" w:cs="Arial" w:eastAsia="Arial" w:hAnsi="Arial"/>
          <w:sz w:val="18"/>
          <w:szCs w:val="18"/>
          <w:u w:val="single" w:color="auto"/>
          <w:color w:val="auto"/>
        </w:rPr>
        <w:t>Joint Release Instruction</w:t>
      </w:r>
      <w:r>
        <w:rPr>
          <w:rFonts w:ascii="Arial" w:cs="Arial" w:eastAsia="Arial" w:hAnsi="Arial"/>
          <w:sz w:val="18"/>
          <w:szCs w:val="18"/>
          <w:color w:val="auto"/>
        </w:rPr>
        <w:t>” means a joint written instruction of the Underwriter and the Issuer which is executed by the Underwriter and the Issuer, to the Escrow Agent directing the Escrow Agent to disburse all or a portion of the Escrow Fund, as applicable.</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64" w:right="239" w:bottom="1440" w:gutter="0" w:footer="0" w:header="0"/>
        </w:sectPr>
      </w:pPr>
    </w:p>
    <w:bookmarkStart w:id="69" w:name="page70"/>
    <w:bookmarkEnd w:id="69"/>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Upon disbursement of the Escrow Amount pursuant to the terms of this Article 4, the Escrow Agent shall be relieved of all further obligations and released from all liability under this Agreement. It is expressly agreed and understood that in no event shall the aggregate amount of payments made by the Escrow Agent exceed the amount of the Escrow Amount.</w:t>
      </w:r>
    </w:p>
    <w:p>
      <w:pPr>
        <w:spacing w:after="0" w:line="177" w:lineRule="exact"/>
        <w:rPr>
          <w:sz w:val="20"/>
          <w:szCs w:val="20"/>
          <w:color w:val="auto"/>
        </w:rPr>
      </w:pPr>
    </w:p>
    <w:p>
      <w:pPr>
        <w:ind w:left="660" w:hanging="652"/>
        <w:spacing w:after="0" w:line="282" w:lineRule="auto"/>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Duties and Responsibilities of Escrow Agent</w:t>
      </w:r>
      <w:r>
        <w:rPr>
          <w:rFonts w:ascii="Arial" w:cs="Arial" w:eastAsia="Arial" w:hAnsi="Arial"/>
          <w:sz w:val="18"/>
          <w:szCs w:val="18"/>
          <w:color w:val="auto"/>
        </w:rPr>
        <w:t>. It is understood and agreed that the duties of the Escrow Agent are purely ministerial in</w:t>
      </w:r>
      <w:r>
        <w:rPr>
          <w:rFonts w:ascii="Arial" w:cs="Arial" w:eastAsia="Arial" w:hAnsi="Arial"/>
          <w:sz w:val="18"/>
          <w:szCs w:val="18"/>
          <w:b w:val="1"/>
          <w:bCs w:val="1"/>
          <w:color w:val="auto"/>
        </w:rPr>
        <w:t xml:space="preserve"> </w:t>
      </w:r>
      <w:r>
        <w:rPr>
          <w:rFonts w:ascii="Arial" w:cs="Arial" w:eastAsia="Arial" w:hAnsi="Arial"/>
          <w:sz w:val="18"/>
          <w:szCs w:val="18"/>
          <w:color w:val="auto"/>
        </w:rPr>
        <w:t>nature, and that:</w:t>
      </w:r>
    </w:p>
    <w:p>
      <w:pPr>
        <w:spacing w:after="0" w:line="16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Escrow Agent shall not be responsible for or be required to enforce any of the terms or conditions of the Underwriting Agreement or any other agreement between the Underwriter and the Issuer nor shall the Escrow Agent be responsible for the performance by the Underwriter or the Issuer of their respective obligations under this Agreement.</w:t>
      </w:r>
    </w:p>
    <w:p>
      <w:pPr>
        <w:spacing w:after="0" w:line="18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Escrow Agent shall be entitled to rely upon the accuracy, act in reliance upon the contents, and assume the genuineness of any notice, instruction, certificate</w:t>
      </w:r>
      <w:r>
        <w:rPr>
          <w:rFonts w:ascii="Arial" w:cs="Arial" w:eastAsia="Arial" w:hAnsi="Arial"/>
          <w:sz w:val="18"/>
          <w:szCs w:val="18"/>
          <w:b w:val="1"/>
          <w:bCs w:val="1"/>
          <w:color w:val="auto"/>
        </w:rPr>
        <w:t>,</w:t>
      </w:r>
      <w:r>
        <w:rPr>
          <w:rFonts w:ascii="Arial" w:cs="Arial" w:eastAsia="Arial" w:hAnsi="Arial"/>
          <w:sz w:val="18"/>
          <w:szCs w:val="18"/>
          <w:color w:val="auto"/>
        </w:rPr>
        <w:t xml:space="preserve"> signature, instrument or other document which is given to the Escrow Agent pursuant to this Agreement without the necessity of the Escrow Agent verifying the truth or accuracy thereof. The Escrow Agent shall not be obligated to make any inquiry as to the authority, capacity, existence or identity or any person purporting to give any such notice or instructions or to execute any such certificate, instrument or other document.</w:t>
      </w:r>
    </w:p>
    <w:p>
      <w:pPr>
        <w:spacing w:after="0" w:line="18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Escrow Agent is uncertain as to its duties or rights hereunder or shall receive instructions with respect to the Bank Account, the Escrow Amount which, in its sole determination, are in conflict either with other, instructions received by it or with any provision of this Agreement, it shall be entitled to hold the Escrow Amount or a portion thereof, in the Bank Account pending the resolution of such uncertainty to the Escrow Agent’s sole satisfaction, by final judgment of a court or courts of competent jurisdiction or otherwise; or the Escrow Agent, at its sole option, may deposit the Escrow Amount with the Clerk of a court of competent jurisdiction in a proceeding to which all parties in interest are joined. Upon the deposit by the Escrow Agent of the Escrow Amount with the Clerk of any court, the Escrow Agent shall be relieved of all further obligations and released from all liability hereunder.</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Escrow Agent shall not be liable for any action taken or omitted hereunder, or for the misconduct of any employee, agent or attorney appointed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it, except in the case of willful misconduct or negligence. The Escrow Agent shall be entitled to consult with counsel of its own choosing.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0" w:name="page71"/>
    <w:bookmarkEnd w:id="70"/>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Escrow Agent shall have no responsibility at any time to ascertain whether or not any security interest exists in the Escrow Amount or any part thereof or to file any statement under the Uniform Commercial Code with respect to the Escrow Amount or any part thereof.</w:t>
      </w:r>
    </w:p>
    <w:p>
      <w:pPr>
        <w:spacing w:after="0" w:line="166" w:lineRule="exact"/>
        <w:rPr>
          <w:sz w:val="20"/>
          <w:szCs w:val="20"/>
          <w:color w:val="auto"/>
        </w:rPr>
      </w:pPr>
    </w:p>
    <w:p>
      <w:pPr>
        <w:ind w:left="660" w:hanging="652"/>
        <w:spacing w:after="0" w:line="282"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Resignation</w:t>
      </w:r>
      <w:r>
        <w:rPr>
          <w:rFonts w:ascii="Arial" w:cs="Arial" w:eastAsia="Arial" w:hAnsi="Arial"/>
          <w:sz w:val="18"/>
          <w:szCs w:val="18"/>
          <w:color w:val="auto"/>
        </w:rPr>
        <w:t>. This Agreement may be altered or amended only with the written consent of the Issuer, the Underwriter and the Escrow</w:t>
      </w:r>
      <w:r>
        <w:rPr>
          <w:rFonts w:ascii="Arial" w:cs="Arial" w:eastAsia="Arial" w:hAnsi="Arial"/>
          <w:sz w:val="18"/>
          <w:szCs w:val="18"/>
          <w:b w:val="1"/>
          <w:bCs w:val="1"/>
          <w:color w:val="auto"/>
        </w:rPr>
        <w:t xml:space="preserve"> </w:t>
      </w:r>
      <w:r>
        <w:rPr>
          <w:rFonts w:ascii="Arial" w:cs="Arial" w:eastAsia="Arial" w:hAnsi="Arial"/>
          <w:sz w:val="18"/>
          <w:szCs w:val="18"/>
          <w:color w:val="auto"/>
        </w:rPr>
        <w:t>Agent.</w:t>
      </w:r>
    </w:p>
    <w:p>
      <w:pPr>
        <w:spacing w:after="0" w:line="16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Escrow Agent may resign for any reason upon thirty (30) business days’ written notice to the Issuer and the Underwriter. Should the Escrow Agent resign as herein provided</w:t>
      </w:r>
      <w:r>
        <w:rPr>
          <w:rFonts w:ascii="Arial" w:cs="Arial" w:eastAsia="Arial" w:hAnsi="Arial"/>
          <w:sz w:val="17"/>
          <w:szCs w:val="17"/>
          <w:b w:val="1"/>
          <w:bCs w:val="1"/>
          <w:color w:val="auto"/>
        </w:rPr>
        <w:t>,</w:t>
      </w:r>
      <w:r>
        <w:rPr>
          <w:rFonts w:ascii="Arial" w:cs="Arial" w:eastAsia="Arial" w:hAnsi="Arial"/>
          <w:sz w:val="17"/>
          <w:szCs w:val="17"/>
          <w:color w:val="auto"/>
        </w:rPr>
        <w:t xml:space="preserve"> it shall not be required to make any disbursement or otherwise dispose of the Escrow Amount, but its only duty shall be to hold the Escrow Amount until they clear the banking system for a period of not more than five (5) business days following the effective date of such resignation, at which time (a) if a successor escrow agent shall have been appointed and written notice thereof (including the name and address of such successor escrow agent) shall have been given to the resigning Escrow Agent by the Issuer, the Underwriter and such successor escrow agent, then the resigning Escrow Agent shall pay over to the successor escrow agent the Escrow Amount, less any portion thereof previously paid out in accordance with this Agreement; or (b) if the resigning Escrow Agent shall not have received written notice signed by the Issuer, the Underwriter and a successor escrow agent, then the resigning Escrow Agent shall promptly deposit the Escrow Amount with the Clerk of a court of competent jurisdiction in a proceeding to which all parties in interest are joined. Upon the deposit by the Escrow Agent of the Escrow Amount with the Clerk of any court, the Escrow Agent shall be relieved of all further obligations and released from all liability hereunder. Without limiting the provisions of Section 8 hereof, the resigning Escrow Agent shall be entitled to be reimbursed by the Issuer and the Underwriter for any actual and reasonable expenses incurred in connection with its resignation, transfer of the Escrow Amount to a successor escrow agent or distribution of the Escrow Amount pursuant to this Section 6.</w:t>
      </w:r>
    </w:p>
    <w:p>
      <w:pPr>
        <w:spacing w:after="0" w:line="18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The Issuer and the Underwriter hereby jointly and severally represent and warrant to the Escrow Agent that: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No party other than the parties hereto have, or shall have, any lien, claim or security interest in the Escrow Amounts or the Fund or any part thereof.</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No financing statement under the Uniform Commercial Code is on file in any jurisdiction claiming a security interest in or describing (whether specifically or generally) the Escrow Amount or any part thereof.</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Reasonable controls have been established and required due diligence performed to comply with “Know Your Customer” regulations, USA Patriot Act, Office of the Foreign Asset Control (OFAC) regulations and the Bank Secrecy Act.</w:t>
      </w:r>
    </w:p>
    <w:p>
      <w:pPr>
        <w:spacing w:after="0" w:line="166" w:lineRule="exact"/>
        <w:rPr>
          <w:sz w:val="20"/>
          <w:szCs w:val="20"/>
          <w:color w:val="auto"/>
        </w:rPr>
      </w:pPr>
    </w:p>
    <w:p>
      <w:pPr>
        <w:jc w:val="both"/>
        <w:ind w:left="660" w:hanging="652"/>
        <w:spacing w:after="0" w:line="261" w:lineRule="auto"/>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The Escrow Agent shall be entitled to the Escrow Agent Fees set forth on the Information Sheet, payable as and when stated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In addition, the Issuer and the Underwriter jointly and severally agree to reimburse the Escrow Agent for any reasonable expenses incurred in connection with this Agreement, including, but not limited to, reasonable counsel fees. Upon receipt of the Escrow Amount, the Escrow Agent shall have a lien thereupon to the extent of its fees for services as Escrow Agent.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1" w:name="page72"/>
    <w:bookmarkEnd w:id="71"/>
    <w:p>
      <w:pPr>
        <w:ind w:left="652" w:hanging="652"/>
        <w:spacing w:after="0"/>
        <w:tabs>
          <w:tab w:leader="none" w:pos="6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Issuer and the Underwriter (collectively referred to as the “</w:t>
      </w:r>
      <w:r>
        <w:rPr>
          <w:rFonts w:ascii="Arial" w:cs="Arial" w:eastAsia="Arial" w:hAnsi="Arial"/>
          <w:sz w:val="18"/>
          <w:szCs w:val="18"/>
          <w:b w:val="1"/>
          <w:bCs w:val="1"/>
          <w:color w:val="auto"/>
        </w:rPr>
        <w:t>Indemnitors</w:t>
      </w:r>
      <w:r>
        <w:rPr>
          <w:rFonts w:ascii="Arial" w:cs="Arial" w:eastAsia="Arial" w:hAnsi="Arial"/>
          <w:sz w:val="18"/>
          <w:szCs w:val="18"/>
          <w:color w:val="auto"/>
        </w:rPr>
        <w:t xml:space="preserve">”) jointly and severally agree to indemnify the Escrow Agent and its officers, directors, employees, agents and shareholders (collectively referred to as the “ </w:t>
      </w:r>
      <w:r>
        <w:rPr>
          <w:rFonts w:ascii="Arial" w:cs="Arial" w:eastAsia="Arial" w:hAnsi="Arial"/>
          <w:sz w:val="18"/>
          <w:szCs w:val="18"/>
          <w:b w:val="1"/>
          <w:bCs w:val="1"/>
          <w:color w:val="auto"/>
        </w:rPr>
        <w:t>Indemnitees</w:t>
      </w:r>
      <w:r>
        <w:rPr>
          <w:rFonts w:ascii="Arial" w:cs="Arial" w:eastAsia="Arial" w:hAnsi="Arial"/>
          <w:sz w:val="18"/>
          <w:szCs w:val="18"/>
          <w:color w:val="auto"/>
        </w:rPr>
        <w:t>”) against, and hold them harmless of and from, any and all loss, liability, cost, damage and expense, including without limitation, reasonable counsel fees, which the Indemnitees may suffer or incur by reason of any action, claim or proceeding brought by a third party against the Indemnitees arising out of or relating in any way to this Agreement or any transaction to which this Agreement relates, unless such action, claim or proceeding is the result of the willful misconduct or gross negligence of the Indemnitees.</w:t>
      </w:r>
    </w:p>
    <w:p>
      <w:pPr>
        <w:spacing w:after="0" w:line="192"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If the indemnification provided for in Section 9.1 is applicable, but for any reason is held to be unavailable, the Indemnitors shall contribute such amounts as are just and equitable to pay, or to reimburse the Indemnitees for, the aggregate of any and all losses, liabilities, costs, damages and expenses, including counsel fees, actually incurred by the Indemnitees as a result of or in connection with, and any amount paid in settlement of, any action, claim or proceeding arising out of or relating in any way to any actions or omissions of the Indemnitors.</w:t>
      </w:r>
    </w:p>
    <w:p>
      <w:pPr>
        <w:spacing w:after="0" w:line="171"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provisions of this Article 9 shall survive any termination of this Agreement, whether by disbursement of the Escrow Amount, resignation of the Escrow Agent or otherwise.</w:t>
      </w:r>
    </w:p>
    <w:p>
      <w:pPr>
        <w:spacing w:after="0" w:line="166" w:lineRule="exact"/>
        <w:rPr>
          <w:sz w:val="20"/>
          <w:szCs w:val="20"/>
          <w:color w:val="auto"/>
        </w:rPr>
      </w:pPr>
    </w:p>
    <w:p>
      <w:pPr>
        <w:jc w:val="both"/>
        <w:ind w:left="652" w:hanging="652"/>
        <w:spacing w:after="0" w:line="303" w:lineRule="auto"/>
        <w:tabs>
          <w:tab w:leader="none" w:pos="65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Assignment</w:t>
      </w:r>
      <w:r>
        <w:rPr>
          <w:rFonts w:ascii="Arial" w:cs="Arial" w:eastAsia="Arial" w:hAnsi="Arial"/>
          <w:sz w:val="16"/>
          <w:szCs w:val="16"/>
          <w:color w:val="auto"/>
        </w:rPr>
        <w:t>. This Agreement shall be construed in accordance with and governed by the laws of the State of New York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binding upon the parties hereto and their respective successors and assigns; provided, however, that any assignment or transfer by any party of its rights under this Agreement or with respect to the Escrow Amounts shall be void as against the Escrow Agent unless (a) written notice thereof shall be given to the Escrow Agent; and (b) the Escrow Agent shall have consented in writing to such assignment or transfer.</w:t>
      </w:r>
    </w:p>
    <w:p>
      <w:pPr>
        <w:spacing w:after="0" w:line="151" w:lineRule="exact"/>
        <w:rPr>
          <w:rFonts w:ascii="Arial" w:cs="Arial" w:eastAsia="Arial" w:hAnsi="Arial"/>
          <w:sz w:val="16"/>
          <w:szCs w:val="16"/>
          <w:b w:val="1"/>
          <w:bCs w:val="1"/>
          <w:color w:val="auto"/>
        </w:rPr>
      </w:pPr>
    </w:p>
    <w:p>
      <w:pPr>
        <w:jc w:val="both"/>
        <w:ind w:left="652" w:hanging="652"/>
        <w:spacing w:after="0" w:line="261" w:lineRule="auto"/>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required to be given in connection with this Agreement shall be sent by registered or certified mail, return receipt requested, or</w:t>
      </w:r>
      <w:r>
        <w:rPr>
          <w:rFonts w:ascii="Arial" w:cs="Arial" w:eastAsia="Arial" w:hAnsi="Arial"/>
          <w:sz w:val="18"/>
          <w:szCs w:val="18"/>
          <w:b w:val="1"/>
          <w:bCs w:val="1"/>
          <w:color w:val="auto"/>
        </w:rPr>
        <w:t xml:space="preserve"> </w:t>
      </w:r>
      <w:r>
        <w:rPr>
          <w:rFonts w:ascii="Arial" w:cs="Arial" w:eastAsia="Arial" w:hAnsi="Arial"/>
          <w:sz w:val="18"/>
          <w:szCs w:val="18"/>
          <w:color w:val="auto"/>
        </w:rPr>
        <w:t>by hand delivery with receipt acknowledged, or by the Express Mail service offered by the United States Post Office, and addressed, if to the Issuer or the Underwriter, at their respective addresses set forth on the Information Sheet, and if to the Escrow Agent, at its address set forth above, to the attention of the Trust Department.</w:t>
      </w:r>
    </w:p>
    <w:p>
      <w:pPr>
        <w:spacing w:after="0" w:line="180" w:lineRule="exact"/>
        <w:rPr>
          <w:rFonts w:ascii="Arial" w:cs="Arial" w:eastAsia="Arial" w:hAnsi="Arial"/>
          <w:sz w:val="18"/>
          <w:szCs w:val="18"/>
          <w:b w:val="1"/>
          <w:bCs w:val="1"/>
          <w:color w:val="auto"/>
        </w:rPr>
      </w:pPr>
    </w:p>
    <w:p>
      <w:pPr>
        <w:jc w:val="both"/>
        <w:ind w:left="652" w:hanging="652"/>
        <w:spacing w:after="0" w:line="289" w:lineRule="auto"/>
        <w:tabs>
          <w:tab w:leader="none" w:pos="65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thereof to any person or circumstance shall be determined to be invalid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the remaining provisions of this Agreement or the application of such provision to persons or circumstances other than those to which it is held invalid or unenforceable shall not be affected thereby and shall be valid and enforceable to the fullest extent permitted by law.</w:t>
      </w:r>
    </w:p>
    <w:p>
      <w:pPr>
        <w:spacing w:after="0" w:line="158" w:lineRule="exact"/>
        <w:rPr>
          <w:rFonts w:ascii="Arial" w:cs="Arial" w:eastAsia="Arial" w:hAnsi="Arial"/>
          <w:sz w:val="17"/>
          <w:szCs w:val="17"/>
          <w:b w:val="1"/>
          <w:bCs w:val="1"/>
          <w:color w:val="auto"/>
        </w:rPr>
      </w:pPr>
    </w:p>
    <w:p>
      <w:pPr>
        <w:ind w:left="652" w:hanging="652"/>
        <w:spacing w:after="0" w:line="282" w:lineRule="auto"/>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 in Several Counterparts</w:t>
      </w:r>
      <w:r>
        <w:rPr>
          <w:rFonts w:ascii="Arial" w:cs="Arial" w:eastAsia="Arial" w:hAnsi="Arial"/>
          <w:sz w:val="18"/>
          <w:szCs w:val="18"/>
          <w:color w:val="auto"/>
        </w:rPr>
        <w:t>. This Agreement may be executed in several counterparts or by separate instruments, and all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and instruments shall constitute one agreement, binding on all of the parties hereto.</w:t>
      </w:r>
    </w:p>
    <w:p>
      <w:pPr>
        <w:spacing w:after="0" w:line="161" w:lineRule="exact"/>
        <w:rPr>
          <w:rFonts w:ascii="Arial" w:cs="Arial" w:eastAsia="Arial" w:hAnsi="Arial"/>
          <w:sz w:val="18"/>
          <w:szCs w:val="18"/>
          <w:b w:val="1"/>
          <w:bCs w:val="1"/>
          <w:color w:val="auto"/>
        </w:rPr>
      </w:pPr>
    </w:p>
    <w:p>
      <w:pPr>
        <w:ind w:left="652" w:right="20" w:hanging="652"/>
        <w:spacing w:after="0" w:line="282" w:lineRule="auto"/>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between the parties hereto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agreements and understandings (written or oral) of the parties in connection therewith.</w:t>
      </w: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IN WITNESS WHEREOF, the undersigned have executed this Agreement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THE ISSUER</w:t>
            </w:r>
          </w:p>
        </w:tc>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CONTINENTAL STOCK TRANSFER &amp; TRUST</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w:t>
            </w:r>
          </w:p>
        </w:tc>
      </w:tr>
      <w:tr>
        <w:trPr>
          <w:trHeight w:val="439"/>
        </w:trPr>
        <w:tc>
          <w:tcPr>
            <w:tcW w:w="4560" w:type="dxa"/>
            <w:vAlign w:val="bottom"/>
            <w:gridSpan w:val="2"/>
          </w:tcPr>
          <w:p>
            <w:pPr>
              <w:spacing w:after="0"/>
              <w:rPr>
                <w:sz w:val="20"/>
                <w:szCs w:val="20"/>
                <w:color w:val="auto"/>
              </w:rPr>
            </w:pPr>
            <w:r>
              <w:rPr>
                <w:rFonts w:ascii="Arial" w:cs="Arial" w:eastAsia="Arial" w:hAnsi="Arial"/>
                <w:sz w:val="18"/>
                <w:szCs w:val="18"/>
                <w:color w:val="auto"/>
              </w:rPr>
              <w:t>By:</w:t>
            </w:r>
          </w:p>
        </w:tc>
        <w:tc>
          <w:tcPr>
            <w:tcW w:w="6860" w:type="dxa"/>
            <w:vAlign w:val="bottom"/>
            <w:gridSpan w:val="2"/>
          </w:tcPr>
          <w:p>
            <w:pPr>
              <w:ind w:left="2300"/>
              <w:spacing w:after="0"/>
              <w:rPr>
                <w:sz w:val="20"/>
                <w:szCs w:val="20"/>
                <w:color w:val="auto"/>
              </w:rPr>
            </w:pPr>
            <w:r>
              <w:rPr>
                <w:rFonts w:ascii="Arial" w:cs="Arial" w:eastAsia="Arial" w:hAnsi="Arial"/>
                <w:sz w:val="18"/>
                <w:szCs w:val="18"/>
                <w:color w:val="auto"/>
              </w:rPr>
              <w:t>By:</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spacing w:after="0"/>
              <w:rPr>
                <w:sz w:val="17"/>
                <w:szCs w:val="17"/>
                <w:color w:val="auto"/>
              </w:rPr>
            </w:pPr>
          </w:p>
        </w:tc>
        <w:tc>
          <w:tcPr>
            <w:tcW w:w="2980" w:type="dxa"/>
            <w:vAlign w:val="bottom"/>
          </w:tcPr>
          <w:p>
            <w:pPr>
              <w:ind w:left="2300"/>
              <w:spacing w:after="0" w:line="201"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spacing w:after="0"/>
              <w:rPr>
                <w:sz w:val="17"/>
                <w:szCs w:val="17"/>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6860" w:type="dxa"/>
            <w:vAlign w:val="bottom"/>
            <w:gridSpan w:val="2"/>
          </w:tcPr>
          <w:p>
            <w:pPr>
              <w:ind w:left="2300"/>
              <w:spacing w:after="0"/>
              <w:rPr>
                <w:sz w:val="20"/>
                <w:szCs w:val="20"/>
                <w:color w:val="auto"/>
              </w:rPr>
            </w:pPr>
            <w:r>
              <w:rPr>
                <w:rFonts w:ascii="Arial" w:cs="Arial" w:eastAsia="Arial" w:hAnsi="Arial"/>
                <w:sz w:val="18"/>
                <w:szCs w:val="18"/>
                <w:color w:val="auto"/>
              </w:rPr>
              <w:t>Title:</w:t>
            </w:r>
          </w:p>
        </w:tc>
      </w:tr>
      <w:tr>
        <w:trPr>
          <w:trHeight w:val="418"/>
        </w:trPr>
        <w:tc>
          <w:tcPr>
            <w:tcW w:w="68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THE UNDERWRITER</w:t>
            </w:r>
          </w:p>
        </w:tc>
        <w:tc>
          <w:tcPr>
            <w:tcW w:w="29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7"/>
        </w:trPr>
        <w:tc>
          <w:tcPr>
            <w:tcW w:w="4560" w:type="dxa"/>
            <w:vAlign w:val="bottom"/>
            <w:gridSpan w:val="2"/>
          </w:tcPr>
          <w:p>
            <w:pPr>
              <w:spacing w:after="0"/>
              <w:rPr>
                <w:sz w:val="20"/>
                <w:szCs w:val="20"/>
                <w:color w:val="auto"/>
              </w:rPr>
            </w:pPr>
            <w:r>
              <w:rPr>
                <w:rFonts w:ascii="Arial" w:cs="Arial" w:eastAsia="Arial" w:hAnsi="Arial"/>
                <w:sz w:val="18"/>
                <w:szCs w:val="18"/>
                <w:color w:val="auto"/>
              </w:rPr>
              <w:t>By:</w:t>
            </w:r>
          </w:p>
        </w:tc>
        <w:tc>
          <w:tcPr>
            <w:tcW w:w="29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28"/>
        </w:trPr>
        <w:tc>
          <w:tcPr>
            <w:tcW w:w="6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6</w:t>
            </w: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73" w:name="page74"/>
    <w:bookmarkEnd w:id="73"/>
    <w:p>
      <w:pPr>
        <w:jc w:val="center"/>
        <w:ind w:right="-11"/>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ESCROW AGREEMENT INFORMATION SHEET</w:t>
      </w:r>
    </w:p>
    <w:p>
      <w:pPr>
        <w:spacing w:after="0" w:line="229" w:lineRule="exact"/>
        <w:rPr>
          <w:sz w:val="20"/>
          <w:szCs w:val="20"/>
          <w:color w:val="auto"/>
        </w:rPr>
      </w:pPr>
    </w:p>
    <w:p>
      <w:pPr>
        <w:ind w:left="352" w:hanging="352"/>
        <w:spacing w:after="0"/>
        <w:tabs>
          <w:tab w:leader="none" w:pos="3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The Issuer</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Name: CLPS Incorporation</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6"/>
          <w:szCs w:val="16"/>
          <w:color w:val="auto"/>
        </w:rPr>
        <w:t>Address: c/o 2nd Floor, Building 18, Shanghai Pudong Software Park, 498 Guoshoujing Road, Pudong, Shanghai 201203, People’s Republic of China</w:t>
      </w:r>
    </w:p>
    <w:p>
      <w:pPr>
        <w:spacing w:after="0" w:line="234" w:lineRule="exact"/>
        <w:rPr>
          <w:sz w:val="20"/>
          <w:szCs w:val="20"/>
          <w:color w:val="auto"/>
        </w:rPr>
      </w:pPr>
    </w:p>
    <w:p>
      <w:pPr>
        <w:ind w:left="312" w:hanging="312"/>
        <w:spacing w:after="0"/>
        <w:tabs>
          <w:tab w:leader="none" w:pos="31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The Underwriter</w:t>
      </w:r>
    </w:p>
    <w:p>
      <w:pPr>
        <w:spacing w:after="0" w:line="23"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Name: The Benchmark Company, LLC, as representative of the underwriters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Address: 150 East 58th Street, 17th Floor, New York, New York 10155</w:t>
      </w:r>
    </w:p>
    <w:p>
      <w:pPr>
        <w:spacing w:after="0" w:line="210" w:lineRule="exact"/>
        <w:rPr>
          <w:rFonts w:ascii="Arial" w:cs="Arial" w:eastAsia="Arial" w:hAnsi="Arial"/>
          <w:sz w:val="18"/>
          <w:szCs w:val="18"/>
          <w:color w:val="auto"/>
        </w:rPr>
      </w:pPr>
    </w:p>
    <w:p>
      <w:pPr>
        <w:ind w:left="352" w:hanging="352"/>
        <w:spacing w:after="0"/>
        <w:tabs>
          <w:tab w:leader="none" w:pos="3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Title of Escrow Account</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“CST&amp;T as agent for CLPS Incorporation and The Benchmark Company, LLC”</w:t>
      </w:r>
    </w:p>
    <w:p>
      <w:pPr>
        <w:spacing w:after="0" w:line="211" w:lineRule="exact"/>
        <w:rPr>
          <w:sz w:val="20"/>
          <w:szCs w:val="20"/>
          <w:color w:val="auto"/>
        </w:rPr>
      </w:pPr>
    </w:p>
    <w:p>
      <w:pPr>
        <w:ind w:left="352" w:hanging="352"/>
        <w:spacing w:after="0"/>
        <w:tabs>
          <w:tab w:leader="none" w:pos="35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Escrow Agent Fees and Charges</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$__________________ for the first 6 months: $_____________ payable at signing of the Escrow Agreement, plus $________________ prior to the</w:t>
      </w:r>
    </w:p>
    <w:p>
      <w:pPr>
        <w:spacing w:after="0" w:line="32" w:lineRule="exact"/>
        <w:rPr>
          <w:sz w:val="20"/>
          <w:szCs w:val="20"/>
          <w:color w:val="auto"/>
        </w:rPr>
      </w:pPr>
    </w:p>
    <w:p>
      <w:pPr>
        <w:jc w:val="both"/>
        <w:ind w:left="332"/>
        <w:spacing w:after="0" w:line="255" w:lineRule="auto"/>
        <w:rPr>
          <w:sz w:val="20"/>
          <w:szCs w:val="20"/>
          <w:color w:val="auto"/>
        </w:rPr>
      </w:pPr>
      <w:r>
        <w:rPr>
          <w:rFonts w:ascii="Arial" w:cs="Arial" w:eastAsia="Arial" w:hAnsi="Arial"/>
          <w:sz w:val="18"/>
          <w:szCs w:val="18"/>
          <w:color w:val="auto"/>
        </w:rPr>
        <w:t>Closing. (Note: $250.00 online “view only” access to the bank account is included). A fee of $500 will be payable for document review services related to each amendment/extension to the Escrow Agreement. Should the Escrow Agent continue for more than six months, the Escrow Agent shall receive a fee of $600.00 per month, or any portion thereof, payable in advance or the first business day of the month.</w:t>
      </w:r>
    </w:p>
    <w:p>
      <w:pPr>
        <w:spacing w:after="0" w:line="19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Distribution charges:</w:t>
      </w:r>
    </w:p>
    <w:p>
      <w:pPr>
        <w:spacing w:after="0" w:line="2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$10.00 per check</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$50.00 per wire</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$100.00 per check returned (NSF) check</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$100.00 lost check replacement fee</w:t>
      </w:r>
    </w:p>
    <w:p>
      <w:pPr>
        <w:spacing w:after="0" w:line="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$50.00 per DWAC (share movement to DTC)</w:t>
      </w:r>
    </w:p>
    <w:p>
      <w:pPr>
        <w:spacing w:after="0" w:line="211" w:lineRule="exact"/>
        <w:rPr>
          <w:sz w:val="20"/>
          <w:szCs w:val="20"/>
          <w:color w:val="auto"/>
        </w:rPr>
      </w:pPr>
    </w:p>
    <w:p>
      <w:pPr>
        <w:ind w:left="652" w:right="8100" w:hanging="652"/>
        <w:spacing w:after="0" w:line="277" w:lineRule="auto"/>
        <w:tabs>
          <w:tab w:leader="none" w:pos="36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 xml:space="preserve">Escrow Agent Wire Transfer Instructions </w:t>
      </w:r>
      <w:r>
        <w:rPr>
          <w:rFonts w:ascii="Arial" w:cs="Arial" w:eastAsia="Arial" w:hAnsi="Arial"/>
          <w:sz w:val="18"/>
          <w:szCs w:val="18"/>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6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975610" cy="4546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inclusion in this Registration Statement of CLPS Incorporation on Form F-1 (No. 333-223956) of our report dated December 8, 2017, except for Notes 1, 2, 17 and 18 which are dated March 27, 2018, with respect to our audits of CLPS Incorporation and Subsidiaries as of June 30, 2017 and 2016, and the related consolidated statements of income and comprehensive income, changes in shareholders’ equity and cash flows for the years then ended. We also consent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2018</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lowerLetter"/>
      <w:start w:val="2"/>
    </w:lvl>
  </w:abstractNum>
  <w:abstractNum w:abstractNumId="2">
    <w:nsid w:val="836C40E"/>
    <w:multiLevelType w:val="hybridMultilevel"/>
    <w:lvl w:ilvl="0">
      <w:lvlJc w:val="left"/>
      <w:lvlText w:val="(%1)"/>
      <w:numFmt w:val="lowerRoman"/>
      <w:start w:val="1"/>
    </w:lvl>
  </w:abstractNum>
  <w:abstractNum w:abstractNumId="3">
    <w:nsid w:val="2901D82"/>
    <w:multiLevelType w:val="hybridMultilevel"/>
    <w:lvl w:ilvl="0">
      <w:lvlJc w:val="left"/>
      <w:lvlText w:val="(%1)"/>
      <w:numFmt w:val="lowerRoman"/>
      <w:start w:val="1"/>
    </w:lvl>
  </w:abstractNum>
  <w:abstractNum w:abstractNumId="4">
    <w:nsid w:val="3A95F874"/>
    <w:multiLevelType w:val="hybridMultilevel"/>
    <w:lvl w:ilvl="0">
      <w:lvlJc w:val="left"/>
      <w:lvlText w:val="%1."/>
      <w:numFmt w:val="decimal"/>
      <w:start w:val="1"/>
    </w:lvl>
    <w:lvl w:ilvl="1">
      <w:lvlJc w:val="left"/>
      <w:lvlText w:val="(%2)"/>
      <w:numFmt w:val="lowerRoman"/>
      <w:start w:val="1"/>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1."/>
      <w:numFmt w:val="decimal"/>
      <w:start w:val="2"/>
    </w:lvl>
  </w:abstractNum>
  <w:abstractNum w:abstractNumId="7">
    <w:nsid w:val="7C3DBD3D"/>
    <w:multiLevelType w:val="hybridMultilevel"/>
    <w:lvl w:ilvl="0">
      <w:lvlJc w:val="left"/>
      <w:lvlText w:val="(%1)"/>
      <w:numFmt w:val="lowerRoman"/>
      <w:start w:val="1"/>
    </w:lvl>
  </w:abstractNum>
  <w:abstractNum w:abstractNumId="8">
    <w:nsid w:val="737B8DDC"/>
    <w:multiLevelType w:val="hybridMultilevel"/>
    <w:lvl w:ilvl="0">
      <w:lvlJc w:val="left"/>
      <w:lvlText w:val="(%1)"/>
      <w:numFmt w:val="lowerRoman"/>
      <w:start w:val="2"/>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decimal"/>
      <w:start w:val="3"/>
    </w:lvl>
  </w:abstractNum>
  <w:abstractNum w:abstractNumId="12">
    <w:nsid w:val="3006C83E"/>
    <w:multiLevelType w:val="hybridMultilevel"/>
    <w:lvl w:ilvl="0">
      <w:lvlJc w:val="left"/>
      <w:lvlText w:val="(%1)"/>
      <w:numFmt w:val="decimal"/>
      <w:start w:val="180"/>
    </w:lvl>
  </w:abstractNum>
  <w:abstractNum w:abstractNumId="13">
    <w:nsid w:val="614FD4A1"/>
    <w:multiLevelType w:val="hybridMultilevel"/>
    <w:lvl w:ilvl="0">
      <w:lvlJc w:val="left"/>
      <w:lvlText w:val="(%1)"/>
      <w:numFmt w:val="lowerLetter"/>
      <w:start w:val="4"/>
    </w:lvl>
  </w:abstractNum>
  <w:abstractNum w:abstractNumId="14">
    <w:nsid w:val="419AC241"/>
    <w:multiLevelType w:val="hybridMultilevel"/>
    <w:lvl w:ilvl="0">
      <w:lvlJc w:val="left"/>
      <w:lvlText w:val="(%1)"/>
      <w:numFmt w:val="lowerRoman"/>
      <w:start w:val="3"/>
    </w:lvl>
  </w:abstractNum>
  <w:abstractNum w:abstractNumId="15">
    <w:nsid w:val="5577F8E1"/>
    <w:multiLevelType w:val="hybridMultilevel"/>
    <w:lvl w:ilvl="0">
      <w:lvlJc w:val="left"/>
      <w:lvlText w:val="%1."/>
      <w:numFmt w:val="decimal"/>
      <w:start w:val="4"/>
    </w:lvl>
  </w:abstractNum>
  <w:abstractNum w:abstractNumId="16">
    <w:nsid w:val="440BADFC"/>
    <w:multiLevelType w:val="hybridMultilevel"/>
    <w:lvl w:ilvl="0">
      <w:lvlJc w:val="left"/>
      <w:lvlText w:val="(%1)"/>
      <w:numFmt w:val="lowerRoman"/>
      <w:start w:val="1"/>
    </w:lvl>
  </w:abstractNum>
  <w:abstractNum w:abstractNumId="17">
    <w:nsid w:val="5072367"/>
    <w:multiLevelType w:val="hybridMultilevel"/>
    <w:lvl w:ilvl="0">
      <w:lvlJc w:val="left"/>
      <w:lvlText w:val="%1."/>
      <w:numFmt w:val="decimal"/>
      <w:start w:val="5"/>
    </w:lvl>
  </w:abstractNum>
  <w:abstractNum w:abstractNumId="18">
    <w:nsid w:val="3804823E"/>
    <w:multiLevelType w:val="hybridMultilevel"/>
    <w:lvl w:ilvl="0">
      <w:lvlJc w:val="left"/>
      <w:lvlText w:val="%1."/>
      <w:numFmt w:val="decimal"/>
      <w:start w:val="6"/>
    </w:lvl>
  </w:abstractNum>
  <w:abstractNum w:abstractNumId="19">
    <w:nsid w:val="77465F01"/>
    <w:multiLevelType w:val="hybridMultilevel"/>
    <w:lvl w:ilvl="0">
      <w:lvlJc w:val="left"/>
      <w:lvlText w:val="%1."/>
      <w:numFmt w:val="decimal"/>
      <w:start w:val="7"/>
    </w:lvl>
  </w:abstractNum>
  <w:abstractNum w:abstractNumId="20">
    <w:nsid w:val="7724C67E"/>
    <w:multiLevelType w:val="hybridMultilevel"/>
    <w:lvl w:ilvl="0">
      <w:lvlJc w:val="left"/>
      <w:lvlText w:val="%1."/>
      <w:numFmt w:val="decimal"/>
      <w:start w:val="8"/>
    </w:lvl>
  </w:abstractNum>
  <w:abstractNum w:abstractNumId="21">
    <w:nsid w:val="5C482A97"/>
    <w:multiLevelType w:val="hybridMultilevel"/>
    <w:lvl w:ilvl="0">
      <w:lvlJc w:val="left"/>
      <w:lvlText w:val="%1."/>
      <w:numFmt w:val="decimal"/>
      <w:start w:val="9"/>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X"/>
      <w:numFmt w:val="bullet"/>
      <w:start w:val="1"/>
    </w:lvl>
  </w:abstractNum>
  <w:abstractNum w:abstractNumId="24">
    <w:nsid w:val="51EAD36B"/>
    <w:multiLevelType w:val="hybridMultilevel"/>
    <w:lvl w:ilvl="0">
      <w:lvlJc w:val="left"/>
      <w:lvlText w:val="X"/>
      <w:numFmt w:val="bullet"/>
      <w:start w:val="1"/>
    </w:lvl>
  </w:abstractNum>
  <w:abstractNum w:abstractNumId="25">
    <w:nsid w:val="2D517796"/>
    <w:multiLevelType w:val="hybridMultilevel"/>
    <w:lvl w:ilvl="0">
      <w:lvlJc w:val="left"/>
      <w:lvlText w:val="Y"/>
      <w:numFmt w:val="bullet"/>
      <w:start w:val="1"/>
    </w:lvl>
  </w:abstractNum>
  <w:abstractNum w:abstractNumId="26">
    <w:nsid w:val="580BD78F"/>
    <w:multiLevelType w:val="hybridMultilevel"/>
    <w:lvl w:ilvl="0">
      <w:lvlJc w:val="left"/>
      <w:lvlText w:val="A"/>
      <w:numFmt w:val="bullet"/>
      <w:start w:val="1"/>
    </w:lvl>
  </w:abstractNum>
  <w:abstractNum w:abstractNumId="27">
    <w:nsid w:val="153EA438"/>
    <w:multiLevelType w:val="hybridMultilevel"/>
    <w:lvl w:ilvl="0">
      <w:lvlJc w:val="left"/>
      <w:lvlText w:val="B"/>
      <w:numFmt w:val="bullet"/>
      <w:start w:val="1"/>
    </w:lvl>
  </w:abstractNum>
  <w:abstractNum w:abstractNumId="28">
    <w:nsid w:val="3855585C"/>
    <w:multiLevelType w:val="hybridMultilevel"/>
    <w:lvl w:ilvl="0">
      <w:lvlJc w:val="left"/>
      <w:lvlText w:val="(%1)"/>
      <w:numFmt w:val="lowerRoman"/>
      <w:start w:val="1"/>
    </w:lvl>
  </w:abstractNum>
  <w:abstractNum w:abstractNumId="29">
    <w:nsid w:val="70A64E2A"/>
    <w:multiLevelType w:val="hybridMultilevel"/>
    <w:lvl w:ilvl="0">
      <w:lvlJc w:val="left"/>
      <w:lvlText w:val="&amp;"/>
      <w:numFmt w:val="bullet"/>
      <w:start w:val="1"/>
    </w:lvl>
  </w:abstractNum>
  <w:abstractNum w:abstractNumId="30">
    <w:nsid w:val="6A2342EC"/>
    <w:multiLevelType w:val="hybridMultilevel"/>
    <w:lvl w:ilvl="0">
      <w:lvlJc w:val="left"/>
      <w:lvlText w:val="%1."/>
      <w:numFmt w:val="decimal"/>
      <w:start w:val="3"/>
    </w:lvl>
  </w:abstractNum>
  <w:abstractNum w:abstractNumId="31">
    <w:nsid w:val="2A487CB0"/>
    <w:multiLevelType w:val="hybridMultilevel"/>
    <w:lvl w:ilvl="0">
      <w:lvlJc w:val="left"/>
      <w:lvlText w:val="%1."/>
      <w:numFmt w:val="decimal"/>
      <w:start w:val="4"/>
    </w:lvl>
  </w:abstractNum>
  <w:abstractNum w:abstractNumId="32">
    <w:nsid w:val="1D4ED43B"/>
    <w:multiLevelType w:val="hybridMultilevel"/>
    <w:lvl w:ilvl="0">
      <w:lvlJc w:val="left"/>
      <w:lvlText w:val="%1."/>
      <w:numFmt w:val="decimal"/>
      <w:start w:val="5"/>
    </w:lvl>
  </w:abstractNum>
  <w:abstractNum w:abstractNumId="33">
    <w:nsid w:val="725A06FB"/>
    <w:multiLevelType w:val="hybridMultilevel"/>
    <w:lvl w:ilvl="0">
      <w:lvlJc w:val="left"/>
      <w:lvlText w:val="%1."/>
      <w:numFmt w:val="decimal"/>
      <w:start w:val="6"/>
    </w:lvl>
  </w:abstractNum>
  <w:abstractNum w:abstractNumId="34">
    <w:nsid w:val="2CD89A32"/>
    <w:multiLevelType w:val="hybridMultilevel"/>
    <w:lvl w:ilvl="0">
      <w:lvlJc w:val="left"/>
      <w:lvlText w:val="%1."/>
      <w:numFmt w:val="decimal"/>
      <w:start w:val="7"/>
    </w:lvl>
  </w:abstractNum>
  <w:abstractNum w:abstractNumId="35">
    <w:nsid w:val="57E4CCAF"/>
    <w:multiLevelType w:val="hybridMultilevel"/>
    <w:lvl w:ilvl="0">
      <w:lvlJc w:val="left"/>
      <w:lvlText w:val="(%1)"/>
      <w:numFmt w:val="lowerRoman"/>
      <w:start w:val="3"/>
    </w:lvl>
  </w:abstractNum>
  <w:abstractNum w:abstractNumId="36">
    <w:nsid w:val="7A6D8D3C"/>
    <w:multiLevelType w:val="hybridMultilevel"/>
    <w:lvl w:ilvl="0">
      <w:lvlJc w:val="left"/>
      <w:lvlText w:val="%1."/>
      <w:numFmt w:val="decimal"/>
      <w:start w:val="9"/>
    </w:lvl>
  </w:abstractNum>
  <w:abstractNum w:abstractNumId="37">
    <w:nsid w:val="4B588F54"/>
    <w:multiLevelType w:val="hybridMultilevel"/>
    <w:lvl w:ilvl="0">
      <w:lvlJc w:val="left"/>
      <w:lvlText w:val="X"/>
      <w:numFmt w:val="bullet"/>
      <w:start w:val="1"/>
    </w:lvl>
  </w:abstractNum>
  <w:abstractNum w:abstractNumId="38">
    <w:nsid w:val="542289EC"/>
    <w:multiLevelType w:val="hybridMultilevel"/>
    <w:lvl w:ilvl="0">
      <w:lvlJc w:val="left"/>
      <w:lvlText w:val="(%1)"/>
      <w:numFmt w:val="decimal"/>
      <w:start w:val="3"/>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bullet"/>
      <w:start w:val="1"/>
    </w:lvl>
  </w:abstractNum>
  <w:abstractNum w:abstractNumId="41">
    <w:nsid w:val="7644A45C"/>
    <w:multiLevelType w:val="hybridMultilevel"/>
    <w:lvl w:ilvl="0">
      <w:lvlJc w:val="left"/>
      <w:lvlText w:val="2"/>
      <w:numFmt w:val="bullet"/>
      <w:start w:val="1"/>
    </w:lvl>
  </w:abstractNum>
  <w:abstractNum w:abstractNumId="42">
    <w:nsid w:val="32FFF902"/>
    <w:multiLevelType w:val="hybridMultilevel"/>
    <w:lvl w:ilvl="0">
      <w:lvlJc w:val="left"/>
      <w:lvlText w:val="3"/>
      <w:numFmt w:val="bullet"/>
      <w:start w:val="1"/>
    </w:lvl>
  </w:abstractNum>
  <w:abstractNum w:abstractNumId="43">
    <w:nsid w:val="684A481A"/>
    <w:multiLevelType w:val="hybridMultilevel"/>
    <w:lvl w:ilvl="0">
      <w:lvlJc w:val="left"/>
      <w:lvlText w:val="4"/>
      <w:numFmt w:val="bullet"/>
      <w:start w:val="1"/>
    </w:lvl>
  </w:abstractNum>
  <w:abstractNum w:abstractNumId="44">
    <w:nsid w:val="579478FE"/>
    <w:multiLevelType w:val="hybridMultilevel"/>
    <w:lvl w:ilvl="0">
      <w:lvlJc w:val="left"/>
      <w:lvlText w:val="5"/>
      <w:numFmt w:val="bullet"/>
      <w:start w:val="1"/>
    </w:lvl>
  </w:abstractNum>
  <w:abstractNum w:abstractNumId="45">
    <w:nsid w:val="749ABB43"/>
    <w:multiLevelType w:val="hybridMultilevel"/>
    <w:lvl w:ilvl="0">
      <w:lvlJc w:val="left"/>
      <w:lvlText w:val="6"/>
      <w:numFmt w:val="bullet"/>
      <w:start w:val="1"/>
    </w:lvl>
  </w:abstractNum>
  <w:abstractNum w:abstractNumId="46">
    <w:nsid w:val="3DC240FB"/>
    <w:multiLevelType w:val="hybridMultilevel"/>
    <w:lvl w:ilvl="0">
      <w:lvlJc w:val="left"/>
      <w:lvlText w:val="7"/>
      <w:numFmt w:val="bullet"/>
      <w:start w:val="1"/>
    </w:lvl>
  </w:abstractNum>
  <w:abstractNum w:abstractNumId="47">
    <w:nsid w:val="1BA026FA"/>
    <w:multiLevelType w:val="hybridMultilevel"/>
    <w:lvl w:ilvl="0">
      <w:lvlJc w:val="left"/>
      <w:lvlText w:val="8"/>
      <w:numFmt w:val="bullet"/>
      <w:start w:val="1"/>
    </w:lvl>
  </w:abstractNum>
  <w:abstractNum w:abstractNumId="48">
    <w:nsid w:val="79A1DEAA"/>
    <w:multiLevelType w:val="hybridMultilevel"/>
    <w:lvl w:ilvl="0">
      <w:lvlJc w:val="left"/>
      <w:lvlText w:val="9"/>
      <w:numFmt w:val="bullet"/>
      <w:start w:val="1"/>
    </w:lvl>
  </w:abstractNum>
  <w:abstractNum w:abstractNumId="49">
    <w:nsid w:val="75C6C33A"/>
    <w:multiLevelType w:val="hybridMultilevel"/>
    <w:lvl w:ilvl="0">
      <w:lvlJc w:val="left"/>
      <w:lvlText w:val="%1"/>
      <w:numFmt w:val="decimal"/>
      <w:start w:val="10"/>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2"/>
    </w:lvl>
  </w:abstractNum>
  <w:abstractNum w:abstractNumId="52">
    <w:nsid w:val="520EEDD1"/>
    <w:multiLevelType w:val="hybridMultilevel"/>
    <w:lvl w:ilvl="0">
      <w:lvlJc w:val="left"/>
      <w:lvlText w:val="%1."/>
      <w:numFmt w:val="decimal"/>
      <w:start w:val="4"/>
    </w:lvl>
  </w:abstractNum>
  <w:abstractNum w:abstractNumId="53">
    <w:nsid w:val="374A3FE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jpeg"/><Relationship Id="rId18" Type="http://schemas.openxmlformats.org/officeDocument/2006/relationships/hyperlink" Target="http://www.sec.gov/Archives/edgar/data/1724542/000121390018003524/ff12018ex3-1_clpsincorp.htm" TargetMode="External"/><Relationship Id="rId19" Type="http://schemas.openxmlformats.org/officeDocument/2006/relationships/hyperlink" Target="http://www.sec.gov/Archives/edgar/data/1724542/000121390018003524/ff12018ex4-1_clpsincorp.htm" TargetMode="External"/><Relationship Id="rId20" Type="http://schemas.openxmlformats.org/officeDocument/2006/relationships/hyperlink" Target="http://www.sec.gov/Archives/edgar/data/1724542/000121390018004899/ff12018a1ex5-1_clpsincorp.htm" TargetMode="External"/><Relationship Id="rId21" Type="http://schemas.openxmlformats.org/officeDocument/2006/relationships/hyperlink" Target="http://www.sec.gov/Archives/edgar/data/1724542/000121390018004899/ff12018a1ex8-1_clpsincorp.htm" TargetMode="External"/><Relationship Id="rId22" Type="http://schemas.openxmlformats.org/officeDocument/2006/relationships/hyperlink" Target="http://www.sec.gov/Archives/edgar/data/1724542/000121390018004899/ff12018a1ex8-2_clpsincorp.htm" TargetMode="External"/><Relationship Id="rId23" Type="http://schemas.openxmlformats.org/officeDocument/2006/relationships/hyperlink" Target="http://www.sec.gov/Archives/edgar/data/1724542/000121390018003524/ff12018ex10-1_clpsincorp.htm" TargetMode="External"/><Relationship Id="rId24" Type="http://schemas.openxmlformats.org/officeDocument/2006/relationships/hyperlink" Target="http://www.sec.gov/Archives/edgar/data/1724542/000121390018003524/ff12018ex10-2_clpsincorp.htm" TargetMode="External"/><Relationship Id="rId25" Type="http://schemas.openxmlformats.org/officeDocument/2006/relationships/hyperlink" Target="http://www.sec.gov/Archives/edgar/data/1724542/000121390018003524/ff12018ex10-3_clpsincorp.htm" TargetMode="External"/><Relationship Id="rId26" Type="http://schemas.openxmlformats.org/officeDocument/2006/relationships/hyperlink" Target="http://www.sec.gov/Archives/edgar/data/1724542/000121390018003524/ff12018ex10-4_clpsincorp.htm" TargetMode="External"/><Relationship Id="rId27" Type="http://schemas.openxmlformats.org/officeDocument/2006/relationships/hyperlink" Target="http://www.sec.gov/Archives/edgar/data/1724542/000121390018003524/ff12018ex10-5_clpsincorp.htm" TargetMode="External"/><Relationship Id="rId28" Type="http://schemas.openxmlformats.org/officeDocument/2006/relationships/hyperlink" Target="http://www.sec.gov/Archives/edgar/data/1724542/000121390018003524/ff12018ex10-6_clpsincorp.htm" TargetMode="External"/><Relationship Id="rId29" Type="http://schemas.openxmlformats.org/officeDocument/2006/relationships/hyperlink" Target="http://www.sec.gov/Archives/edgar/data/1724542/000121390018003524/ff12018ex10-7_clpsincorp.htm" TargetMode="External"/><Relationship Id="rId30" Type="http://schemas.openxmlformats.org/officeDocument/2006/relationships/hyperlink" Target="http://www.sec.gov/Archives/edgar/data/1724542/000121390018003524/ff12018ex10-8_clpsincorp.htm" TargetMode="External"/><Relationship Id="rId31" Type="http://schemas.openxmlformats.org/officeDocument/2006/relationships/hyperlink" Target="http://www.sec.gov/Archives/edgar/data/1724542/000121390018003524/ff12018ex14-1_clpsincorp.htm" TargetMode="External"/><Relationship Id="rId32" Type="http://schemas.openxmlformats.org/officeDocument/2006/relationships/hyperlink" Target="http://www.sec.gov/Archives/edgar/data/1724542/000121390018003524/ff12018ex21-1_clpsincorp.htm" TargetMode="External"/><Relationship Id="rId33" Type="http://schemas.openxmlformats.org/officeDocument/2006/relationships/hyperlink" Target="http://www.sec.gov/Archives/edgar/data/1724542/000121390018003524/ff12018ex99-1_clpsincorp.htm" TargetMode="External"/><Relationship Id="rId34" Type="http://schemas.openxmlformats.org/officeDocument/2006/relationships/hyperlink" Target="http://www.sec.gov/Archives/edgar/data/1724542/000121390018003524/ff12018ex99-2_clpsincorp.htm" TargetMode="External"/><Relationship Id="rId35"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2019-12-08T16:45:10Z</dcterms:created>
  <dcterms:modified xsi:type="dcterms:W3CDTF">2019-12-08T16:45:10Z</dcterms:modified>
</cp:coreProperties>
</file>