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This amended Draft Registration Statement has not been filed publicly with the Securities and Exchange Commission and all information contained</w:t>
      </w:r>
    </w:p>
    <w:p>
      <w:pPr>
        <w:spacing w:after="0" w:line="50" w:lineRule="exact"/>
        <w:rPr>
          <w:sz w:val="24"/>
          <w:szCs w:val="24"/>
          <w:color w:val="auto"/>
        </w:rPr>
      </w:pPr>
    </w:p>
    <w:p>
      <w:pPr>
        <w:ind w:left="9420" w:right="360" w:hanging="8405"/>
        <w:spacing w:after="0" w:line="447" w:lineRule="auto"/>
        <w:rPr>
          <w:sz w:val="20"/>
          <w:szCs w:val="20"/>
          <w:color w:val="auto"/>
        </w:rPr>
      </w:pPr>
      <w:r>
        <w:rPr>
          <w:rFonts w:ascii="Arial" w:cs="Arial" w:eastAsia="Arial" w:hAnsi="Arial"/>
          <w:sz w:val="16"/>
          <w:szCs w:val="16"/>
          <w:b w:val="1"/>
          <w:bCs w:val="1"/>
          <w:color w:val="auto"/>
        </w:rPr>
        <w:t>herein remains confidential. As confidentially submitted to the Securities and Exchange Commission on February 23, 2018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F-1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CLPS Incorporation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Cayman Islands</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0001724542</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Incorporation or Organization)</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Classification Code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principal executive offices)</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VCorp Services,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Robert Pitt Drive, Suite 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Monsey, NY 10952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(888) 528-2677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areas code, of agent for service)</w:t>
      </w:r>
    </w:p>
    <w:p>
      <w:pPr>
        <w:spacing w:after="0" w:line="89" w:lineRule="exact"/>
        <w:rPr>
          <w:sz w:val="24"/>
          <w:szCs w:val="24"/>
          <w:color w:val="auto"/>
        </w:rPr>
      </w:pPr>
    </w:p>
    <w:tbl>
      <w:tblPr>
        <w:tblLayout w:type="fixed"/>
        <w:tblInd w:w="174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5420" w:type="dxa"/>
            <w:vAlign w:val="bottom"/>
          </w:tcPr>
          <w:p>
            <w:pPr>
              <w:ind w:left="740"/>
              <w:spacing w:after="0"/>
              <w:rPr>
                <w:sz w:val="20"/>
                <w:szCs w:val="20"/>
                <w:color w:val="auto"/>
              </w:rPr>
            </w:pPr>
            <w:r>
              <w:rPr>
                <w:rFonts w:ascii="Arial" w:cs="Arial" w:eastAsia="Arial" w:hAnsi="Arial"/>
                <w:sz w:val="18"/>
                <w:szCs w:val="18"/>
                <w:b w:val="1"/>
                <w:bCs w:val="1"/>
                <w:i w:val="1"/>
                <w:iCs w:val="1"/>
                <w:color w:val="auto"/>
              </w:rPr>
              <w:t>Copies to:</w:t>
            </w:r>
          </w:p>
        </w:tc>
      </w:tr>
      <w:tr>
        <w:trPr>
          <w:trHeight w:val="292"/>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Ralph V. De Martino, Esq.</w:t>
            </w:r>
          </w:p>
        </w:tc>
        <w:tc>
          <w:tcPr>
            <w:tcW w:w="5420" w:type="dxa"/>
            <w:vAlign w:val="bottom"/>
          </w:tcPr>
          <w:p>
            <w:pPr>
              <w:jc w:val="center"/>
              <w:ind w:left="2532"/>
              <w:spacing w:after="0"/>
              <w:rPr>
                <w:sz w:val="20"/>
                <w:szCs w:val="20"/>
                <w:color w:val="auto"/>
              </w:rPr>
            </w:pPr>
            <w:r>
              <w:rPr>
                <w:rFonts w:ascii="Arial" w:cs="Arial" w:eastAsia="Arial" w:hAnsi="Arial"/>
                <w:sz w:val="18"/>
                <w:szCs w:val="18"/>
                <w:b w:val="1"/>
                <w:bCs w:val="1"/>
                <w:color w:val="auto"/>
                <w:w w:val="90"/>
              </w:rPr>
              <w:t>Louis Taubman, Esq.</w:t>
            </w:r>
          </w:p>
        </w:tc>
      </w:tr>
      <w:tr>
        <w:trPr>
          <w:trHeight w:val="216"/>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F. Alec Orudjev, Esq.</w:t>
            </w:r>
          </w:p>
        </w:tc>
        <w:tc>
          <w:tcPr>
            <w:tcW w:w="5420" w:type="dxa"/>
            <w:vAlign w:val="bottom"/>
          </w:tcPr>
          <w:p>
            <w:pPr>
              <w:jc w:val="center"/>
              <w:ind w:left="2552"/>
              <w:spacing w:after="0"/>
              <w:rPr>
                <w:sz w:val="20"/>
                <w:szCs w:val="20"/>
                <w:color w:val="auto"/>
              </w:rPr>
            </w:pPr>
            <w:r>
              <w:rPr>
                <w:rFonts w:ascii="Arial" w:cs="Arial" w:eastAsia="Arial" w:hAnsi="Arial"/>
                <w:sz w:val="18"/>
                <w:szCs w:val="18"/>
                <w:b w:val="1"/>
                <w:bCs w:val="1"/>
                <w:color w:val="auto"/>
                <w:w w:val="95"/>
              </w:rPr>
              <w:t>Hunter Taubman Fischer &amp; Li LLC</w:t>
            </w:r>
          </w:p>
        </w:tc>
      </w:tr>
      <w:tr>
        <w:trPr>
          <w:trHeight w:val="221"/>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6"/>
              </w:rPr>
              <w:t>Schiff Hardin LLP</w:t>
            </w:r>
          </w:p>
        </w:tc>
        <w:tc>
          <w:tcPr>
            <w:tcW w:w="5420" w:type="dxa"/>
            <w:vAlign w:val="bottom"/>
          </w:tcPr>
          <w:p>
            <w:pPr>
              <w:jc w:val="center"/>
              <w:ind w:left="2532"/>
              <w:spacing w:after="0" w:line="221" w:lineRule="exact"/>
              <w:rPr>
                <w:sz w:val="20"/>
                <w:szCs w:val="20"/>
                <w:color w:val="auto"/>
              </w:rPr>
            </w:pPr>
            <w:r>
              <w:rPr>
                <w:rFonts w:ascii="Arial" w:cs="Arial" w:eastAsia="Arial" w:hAnsi="Arial"/>
                <w:sz w:val="16"/>
                <w:szCs w:val="16"/>
                <w:b w:val="1"/>
                <w:bCs w:val="1"/>
                <w:color w:val="auto"/>
              </w:rPr>
              <w:t>1450 Broadway, 26</w:t>
            </w:r>
            <w:r>
              <w:rPr>
                <w:rFonts w:ascii="Arial" w:cs="Arial" w:eastAsia="Arial" w:hAnsi="Arial"/>
                <w:sz w:val="25"/>
                <w:szCs w:val="25"/>
                <w:b w:val="1"/>
                <w:bCs w:val="1"/>
                <w:color w:val="auto"/>
                <w:vertAlign w:val="superscript"/>
              </w:rPr>
              <w:t>th</w:t>
            </w:r>
            <w:r>
              <w:rPr>
                <w:rFonts w:ascii="Arial" w:cs="Arial" w:eastAsia="Arial" w:hAnsi="Arial"/>
                <w:sz w:val="16"/>
                <w:szCs w:val="16"/>
                <w:b w:val="1"/>
                <w:bCs w:val="1"/>
                <w:color w:val="auto"/>
              </w:rPr>
              <w:t xml:space="preserve"> Floor</w:t>
            </w:r>
          </w:p>
        </w:tc>
      </w:tr>
      <w:tr>
        <w:trPr>
          <w:trHeight w:val="216"/>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901 K Street, NW, Suite 700</w:t>
            </w:r>
          </w:p>
        </w:tc>
        <w:tc>
          <w:tcPr>
            <w:tcW w:w="5420" w:type="dxa"/>
            <w:vAlign w:val="bottom"/>
          </w:tcPr>
          <w:p>
            <w:pPr>
              <w:jc w:val="center"/>
              <w:ind w:left="2532"/>
              <w:spacing w:after="0"/>
              <w:rPr>
                <w:sz w:val="20"/>
                <w:szCs w:val="20"/>
                <w:color w:val="auto"/>
              </w:rPr>
            </w:pPr>
            <w:r>
              <w:rPr>
                <w:rFonts w:ascii="Arial" w:cs="Arial" w:eastAsia="Arial" w:hAnsi="Arial"/>
                <w:sz w:val="18"/>
                <w:szCs w:val="18"/>
                <w:b w:val="1"/>
                <w:bCs w:val="1"/>
                <w:color w:val="auto"/>
                <w:w w:val="92"/>
              </w:rPr>
              <w:t>New York, NY 10018</w:t>
            </w:r>
          </w:p>
        </w:tc>
      </w:tr>
      <w:tr>
        <w:trPr>
          <w:trHeight w:val="216"/>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Washington, DC 20001</w:t>
            </w:r>
          </w:p>
        </w:tc>
        <w:tc>
          <w:tcPr>
            <w:tcW w:w="5420" w:type="dxa"/>
            <w:vAlign w:val="bottom"/>
          </w:tcPr>
          <w:p>
            <w:pPr>
              <w:jc w:val="center"/>
              <w:ind w:left="2532"/>
              <w:spacing w:after="0"/>
              <w:rPr>
                <w:sz w:val="20"/>
                <w:szCs w:val="20"/>
                <w:color w:val="auto"/>
              </w:rPr>
            </w:pPr>
            <w:r>
              <w:rPr>
                <w:rFonts w:ascii="Arial" w:cs="Arial" w:eastAsia="Arial" w:hAnsi="Arial"/>
                <w:sz w:val="18"/>
                <w:szCs w:val="18"/>
                <w:b w:val="1"/>
                <w:bCs w:val="1"/>
                <w:color w:val="auto"/>
                <w:w w:val="91"/>
              </w:rPr>
              <w:t>Tel: 917-512-0827</w:t>
            </w:r>
          </w:p>
        </w:tc>
      </w:tr>
      <w:tr>
        <w:trPr>
          <w:trHeight w:val="234"/>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Tel: 202-724-6848</w:t>
            </w:r>
          </w:p>
        </w:tc>
        <w:tc>
          <w:tcPr>
            <w:tcW w:w="5420" w:type="dxa"/>
            <w:vAlign w:val="bottom"/>
          </w:tcPr>
          <w:p>
            <w:pPr>
              <w:spacing w:after="0"/>
              <w:rPr>
                <w:sz w:val="20"/>
                <w:szCs w:val="20"/>
                <w:color w:val="auto"/>
              </w:rPr>
            </w:pP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 As soon as practicable after this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becomes effective.</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as soon as practicable after this Registration Statement becomes effective.</w:t>
      </w:r>
    </w:p>
    <w:p>
      <w:pPr>
        <w:spacing w:after="0" w:line="104"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61" w:lineRule="exact"/>
        <w:rPr>
          <w:sz w:val="24"/>
          <w:szCs w:val="24"/>
          <w:color w:val="auto"/>
        </w:rPr>
      </w:pPr>
    </w:p>
    <w:p>
      <w:pPr>
        <w:ind w:right="46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7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400"/>
        <w:spacing w:after="0" w:line="32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spacing w:after="0"/>
              <w:rPr>
                <w:sz w:val="18"/>
                <w:szCs w:val="18"/>
                <w:color w:val="auto"/>
              </w:rPr>
            </w:pPr>
          </w:p>
        </w:tc>
        <w:tc>
          <w:tcPr>
            <w:tcW w:w="310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9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100"/>
              <w:spacing w:after="0"/>
              <w:rPr>
                <w:sz w:val="20"/>
                <w:szCs w:val="20"/>
                <w:color w:val="auto"/>
              </w:rPr>
            </w:pPr>
            <w:r>
              <w:rPr>
                <w:rFonts w:ascii="Arial" w:cs="Arial" w:eastAsia="Arial" w:hAnsi="Arial"/>
                <w:sz w:val="18"/>
                <w:szCs w:val="18"/>
                <w:color w:val="auto"/>
              </w:rPr>
              <w:t>(Do not check if a smaller reporting company)</w:t>
            </w:r>
          </w:p>
        </w:tc>
        <w:tc>
          <w:tcPr>
            <w:tcW w:w="310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0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58"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460" w:type="dxa"/>
            <w:vAlign w:val="bottom"/>
            <w:gridSpan w:val="6"/>
          </w:tcPr>
          <w:p>
            <w:pPr>
              <w:ind w:left="3980"/>
              <w:spacing w:after="0"/>
              <w:rPr>
                <w:sz w:val="20"/>
                <w:szCs w:val="20"/>
                <w:color w:val="auto"/>
              </w:rPr>
            </w:pPr>
            <w:r>
              <w:rPr>
                <w:rFonts w:ascii="Arial" w:cs="Arial" w:eastAsia="Arial" w:hAnsi="Arial"/>
                <w:sz w:val="18"/>
                <w:szCs w:val="18"/>
                <w:b w:val="1"/>
                <w:bCs w:val="1"/>
                <w:color w:val="auto"/>
              </w:rPr>
              <w:t>CALCULATION OF REGISTRATION FEE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398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6"/>
              </w:rPr>
              <w:t>Proposed</w:t>
            </w:r>
          </w:p>
        </w:tc>
        <w:tc>
          <w:tcPr>
            <w:tcW w:w="160" w:type="dxa"/>
            <w:vAlign w:val="bottom"/>
          </w:tcPr>
          <w:p>
            <w:pPr>
              <w:spacing w:after="0"/>
              <w:rPr>
                <w:sz w:val="24"/>
                <w:szCs w:val="24"/>
                <w:color w:val="auto"/>
              </w:rPr>
            </w:pPr>
          </w:p>
        </w:tc>
        <w:tc>
          <w:tcPr>
            <w:tcW w:w="12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6"/>
              </w:rPr>
              <w:t>Proposed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2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6"/>
              </w:rPr>
              <w:t>Maximum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Aggregate</w:t>
            </w:r>
          </w:p>
        </w:tc>
        <w:tc>
          <w:tcPr>
            <w:tcW w:w="160" w:type="dxa"/>
            <w:vAlign w:val="bottom"/>
          </w:tcPr>
          <w:p>
            <w:pPr>
              <w:spacing w:after="0"/>
              <w:rPr>
                <w:sz w:val="18"/>
                <w:szCs w:val="18"/>
                <w:color w:val="auto"/>
              </w:rPr>
            </w:pPr>
          </w:p>
        </w:tc>
        <w:tc>
          <w:tcPr>
            <w:tcW w:w="12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Aggregate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Amount of</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 to be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2"/>
              </w:rPr>
              <w:t>Price Per</w:t>
            </w:r>
          </w:p>
        </w:tc>
        <w:tc>
          <w:tcPr>
            <w:tcW w:w="160" w:type="dxa"/>
            <w:vAlign w:val="bottom"/>
          </w:tcPr>
          <w:p>
            <w:pPr>
              <w:spacing w:after="0"/>
              <w:rPr>
                <w:sz w:val="18"/>
                <w:szCs w:val="18"/>
                <w:color w:val="auto"/>
              </w:rPr>
            </w:pPr>
          </w:p>
        </w:tc>
        <w:tc>
          <w:tcPr>
            <w:tcW w:w="12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4"/>
              </w:rPr>
              <w:t>Offering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41"/>
        </w:trPr>
        <w:tc>
          <w:tcPr>
            <w:tcW w:w="6200" w:type="dxa"/>
            <w:vAlign w:val="bottom"/>
            <w:gridSpan w:val="3"/>
          </w:tcPr>
          <w:p>
            <w:pPr>
              <w:ind w:left="1120"/>
              <w:spacing w:after="0"/>
              <w:rPr>
                <w:sz w:val="20"/>
                <w:szCs w:val="20"/>
                <w:color w:val="auto"/>
              </w:rPr>
            </w:pPr>
            <w:r>
              <w:rPr>
                <w:rFonts w:ascii="Arial" w:cs="Arial" w:eastAsia="Arial" w:hAnsi="Arial"/>
                <w:sz w:val="18"/>
                <w:szCs w:val="18"/>
                <w:b w:val="1"/>
                <w:bCs w:val="1"/>
                <w:color w:val="auto"/>
              </w:rPr>
              <w:t>Title of Each Class of Securities to be Registered</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Registered(2)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20"/>
                <w:szCs w:val="20"/>
                <w:color w:val="auto"/>
              </w:rPr>
            </w:pPr>
          </w:p>
        </w:tc>
        <w:tc>
          <w:tcPr>
            <w:tcW w:w="12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3"/>
              </w:rPr>
              <w:t>Price(1)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Fee</w:t>
            </w:r>
          </w:p>
        </w:tc>
        <w:tc>
          <w:tcPr>
            <w:tcW w:w="0" w:type="dxa"/>
            <w:vAlign w:val="bottom"/>
          </w:tcPr>
          <w:p>
            <w:pPr>
              <w:spacing w:after="0"/>
              <w:rPr>
                <w:sz w:val="1"/>
                <w:szCs w:val="1"/>
                <w:color w:val="auto"/>
              </w:rPr>
            </w:pPr>
          </w:p>
        </w:tc>
      </w:tr>
      <w:tr>
        <w:trPr>
          <w:trHeight w:val="216"/>
        </w:trPr>
        <w:tc>
          <w:tcPr>
            <w:tcW w:w="5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Shares, $0.0001 par value per share to be sold by Registrant</w:t>
            </w: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1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8"/>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8"/>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8"/>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6200" w:type="dxa"/>
            <w:vAlign w:val="bottom"/>
            <w:gridSpan w:val="3"/>
          </w:tcPr>
          <w:p>
            <w:pPr>
              <w:spacing w:after="0"/>
              <w:rPr>
                <w:sz w:val="20"/>
                <w:szCs w:val="20"/>
                <w:color w:val="auto"/>
              </w:rPr>
            </w:pPr>
            <w:r>
              <w:rPr>
                <w:rFonts w:ascii="Arial" w:cs="Arial" w:eastAsia="Arial" w:hAnsi="Arial"/>
                <w:sz w:val="18"/>
                <w:szCs w:val="18"/>
                <w:color w:val="auto"/>
              </w:rPr>
              <w:t>Underwriter’s share purchase warrants (3)</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underlying underwriter’s warrants (3)(4)</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[_]</w:t>
            </w: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[_]</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[_]</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78"/>
              </w:rPr>
              <w:t>]</w:t>
            </w:r>
          </w:p>
        </w:tc>
        <w:tc>
          <w:tcPr>
            <w:tcW w:w="20" w:type="dxa"/>
            <w:vAlign w:val="bottom"/>
            <w:tcBorders>
              <w:top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w w:val="78"/>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w w:val="78"/>
              </w:rPr>
              <w:t>]</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line="20" w:lineRule="exact"/>
              <w:rPr>
                <w:sz w:val="1"/>
                <w:szCs w:val="1"/>
                <w:color w:val="auto"/>
              </w:rPr>
            </w:pPr>
          </w:p>
        </w:tc>
      </w:tr>
      <w:tr>
        <w:trPr>
          <w:trHeight w:val="237"/>
        </w:trPr>
        <w:tc>
          <w:tcPr>
            <w:tcW w:w="6200" w:type="dxa"/>
            <w:vAlign w:val="bottom"/>
            <w:gridSpan w:val="3"/>
            <w:vMerge w:val="continue"/>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[_</w:t>
            </w:r>
          </w:p>
        </w:tc>
        <w:tc>
          <w:tcPr>
            <w:tcW w:w="1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[_</w:t>
            </w:r>
          </w:p>
        </w:tc>
        <w:tc>
          <w:tcPr>
            <w:tcW w:w="2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[_</w:t>
            </w:r>
          </w:p>
        </w:tc>
        <w:tc>
          <w:tcPr>
            <w:tcW w:w="220" w:type="dxa"/>
            <w:vAlign w:val="bottom"/>
            <w:vMerge w:val="continue"/>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[_</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460" w:right="24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in accordance with Rule 457(a) under the Securities Act of 1933, as amended.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[_] common shares which may be issued on exercise of a 45-day option granted to the underwriters to cover over-allotments, if any.</w:t>
      </w:r>
    </w:p>
    <w:p>
      <w:pPr>
        <w:spacing w:after="0" w:line="20" w:lineRule="exact"/>
        <w:rPr>
          <w:rFonts w:ascii="Arial" w:cs="Arial" w:eastAsia="Arial" w:hAnsi="Arial"/>
          <w:sz w:val="17"/>
          <w:szCs w:val="17"/>
          <w:color w:val="auto"/>
        </w:rPr>
      </w:pPr>
    </w:p>
    <w:p>
      <w:pPr>
        <w:jc w:val="both"/>
        <w:ind w:left="460" w:right="1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issue to the underwriter, upon closing of this offering, warrants exercisable for a period of five years from the effective date of this registration statement representing [_]% of the aggregate number of common shares issued in this offering. In accordance with Rule 457(g) under the Securities Act, because the Company’s shares underlying the warrants are registered hereby, no separate registration fee is required with respect to the warrants registered hereby.</w:t>
      </w:r>
    </w:p>
    <w:p>
      <w:pPr>
        <w:spacing w:after="0" w:line="1" w:lineRule="exact"/>
        <w:rPr>
          <w:rFonts w:ascii="Arial" w:cs="Arial" w:eastAsia="Arial" w:hAnsi="Arial"/>
          <w:sz w:val="18"/>
          <w:szCs w:val="18"/>
          <w:color w:val="auto"/>
        </w:rPr>
      </w:pPr>
    </w:p>
    <w:p>
      <w:pPr>
        <w:ind w:left="460" w:right="14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purposes of calculating the registration fee pursuant to Rule 457(g) under the Securities Act. We have calculated the proposed maximum aggregate offering price of the common shares underlying the underwriter’s warrants by assuming that such warrants are exercisable at a price per share equal to 120% of the price per share sold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601345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 w:name="page3"/>
    <w:bookmarkEnd w:id="2"/>
    <w:p>
      <w:pPr>
        <w:jc w:val="both"/>
        <w:ind w:right="80"/>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is filed with the Securities and Exchange Commission is effective. This prospectus is not an offer to sell these securities and is not soliciting an offer to buy these securities in any state or other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154940</wp:posOffset>
            </wp:positionV>
            <wp:extent cx="2358390" cy="1174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839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common shares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This is the initial public offering of CLPS Incorporation. We are offering [●] common shares. We expect that the initial public offering price will be between $[_] and $[_] per common share.</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No public market currently exists for our common shares. We have applied for approval for quotation on the NASDAQ Capital Market under the symbol “CLPS” for the common shares we are offering. We believe that upon the completion of the offering contemplated by this prospectus, we will meet the standards for listing on the NASDAQ Capital Market.</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Act of 2012, as amended, and, as such, will be subject to reduced public company reporting requirements.</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anticipate that following the completion of this initial public offering of our securities our Chairman, Xiao Feng Yang, and our Chief Executive Officer, Raymond Ming Hui Lin, each will beneficially own approximately 33.89% of the Company’s then outstanding securities. While under NASDAQ Marketplace Rules 5615(c), it may be deemed a “controlled company,” the Company does not intend to avail itself of the corporate governance exemptions afforded to a “controlled company” under the NASDAQ Marketplace Rules.</w:t>
      </w:r>
    </w:p>
    <w:p>
      <w:pPr>
        <w:spacing w:after="0" w:line="18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An investment in our securities is highly speculative, involves a high degree of risk and should be considered only by persons who can afford the loss of their entire investment. See “Risk Factors” beginning on page 12 of this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6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Underwriting discounts and commissions (1)(2)</w:t>
            </w:r>
          </w:p>
        </w:tc>
        <w:tc>
          <w:tcPr>
            <w:tcW w:w="3580" w:type="dxa"/>
            <w:vAlign w:val="bottom"/>
            <w:gridSpan w:val="2"/>
          </w:tcPr>
          <w:p>
            <w:pPr>
              <w:jc w:val="right"/>
              <w:ind w:right="737"/>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580" w:type="dxa"/>
            <w:vAlign w:val="bottom"/>
            <w:gridSpan w:val="2"/>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60" w:right="40" w:hanging="352"/>
        <w:spacing w:after="0" w:line="256"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underwriting discount and commissions equal to (i) 6.5% per share (or $[●] per share), which is the underwriting discount we have agreed to pay on all investors in this Offering introduced by the underwriters; and (ii) 4% per share (or $[●] per share), which is the underwriting discount we have agreed to pay on all investors in this Offering introduced by us.</w:t>
      </w:r>
    </w:p>
    <w:p>
      <w:pPr>
        <w:ind w:left="360" w:hanging="352"/>
        <w:spacing w:after="0" w:line="255"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Does not include a non-accountable expense allowance equal to 0.5% of the gross proceeds of this offering, payable the underwriters, or the reimbursement of certain expenses of the underwriters. See “Underwriting” beginning on page [●] of this prospectus for additional information regarding total underwriter compensation.</w:t>
      </w:r>
    </w:p>
    <w:p>
      <w:pPr>
        <w:spacing w:after="0" w:line="19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addition to the underwriting discounts listed above and the non-accountable expense allowance described in the footnote, we have agreed to issue upon the closing of this offering, compensation warrants to The Benchmark Company, LLC and Cuttone &amp; Co., LLC, as representatives of the underwriters, entitling them to purchase: (i) up to 5% of the number of common shares sold to investors introduced by the underwriters in this offering; and (ii) up to 3% of the number of common shares issued to investors identified by the Company in this offering. The registration statement of which this prospectus is a part also covers the underwriters’ warrants and the common shares issuable upon the exercise thereof. For additional information regarding our arrangement with the underwriters, please see “Underwriting” beginning on page [●].</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have granted the representatives an option, exercisable for 45 days from the date of this prospectus, to purchase up to an additional [●] common shares on the same terms as the other shares being purchased by the underwriters from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underwriters expect to deliver the common shares against payment in U.S. dollars on or about [_], 2018.</w:t>
      </w:r>
    </w:p>
    <w:p>
      <w:pPr>
        <w:spacing w:after="0" w:line="2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ectPr>
          <w:pgSz w:w="11900" w:h="16838" w:orient="portrait"/>
          <w:cols w:equalWidth="0" w:num="1">
            <w:col w:w="11420"/>
          </w:cols>
          <w:pgMar w:left="240" w:top="904" w:right="239" w:bottom="165" w:gutter="0" w:footer="0" w:header="0"/>
        </w:sectPr>
      </w:pPr>
    </w:p>
    <w:p>
      <w:pPr>
        <w:spacing w:after="0" w:line="175" w:lineRule="exact"/>
        <w:rPr>
          <w:sz w:val="20"/>
          <w:szCs w:val="20"/>
          <w:color w:val="auto"/>
        </w:rPr>
      </w:pPr>
    </w:p>
    <w:p>
      <w:pPr>
        <w:ind w:left="2240"/>
        <w:spacing w:after="0"/>
        <w:rPr>
          <w:sz w:val="20"/>
          <w:szCs w:val="20"/>
          <w:color w:val="auto"/>
        </w:rPr>
      </w:pPr>
      <w:r>
        <w:rPr>
          <w:rFonts w:ascii="Arial" w:cs="Arial" w:eastAsia="Arial" w:hAnsi="Arial"/>
          <w:sz w:val="23"/>
          <w:szCs w:val="23"/>
          <w:b w:val="1"/>
          <w:bCs w:val="1"/>
          <w:color w:val="auto"/>
        </w:rPr>
        <w:t>Benchmark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Cuttone &amp; Co., LLC</w:t>
      </w:r>
    </w:p>
    <w:p>
      <w:pPr>
        <w:spacing w:after="0" w:line="200" w:lineRule="exact"/>
        <w:rPr>
          <w:sz w:val="20"/>
          <w:szCs w:val="20"/>
          <w:color w:val="auto"/>
        </w:rPr>
      </w:pPr>
    </w:p>
    <w:p>
      <w:pPr>
        <w:sectPr>
          <w:pgSz w:w="11900" w:h="16838" w:orient="portrait"/>
          <w:cols w:equalWidth="0" w:num="2">
            <w:col w:w="6740" w:space="720"/>
            <w:col w:w="3960"/>
          </w:cols>
          <w:pgMar w:left="240" w:top="904" w:right="239" w:bottom="165" w:gutter="0" w:footer="0" w:header="0"/>
          <w:type w:val="continuous"/>
        </w:sectPr>
      </w:pPr>
    </w:p>
    <w:p>
      <w:pPr>
        <w:spacing w:after="0" w:line="42" w:lineRule="exact"/>
        <w:rPr>
          <w:sz w:val="20"/>
          <w:szCs w:val="20"/>
          <w:color w:val="auto"/>
        </w:rPr>
      </w:pPr>
    </w:p>
    <w:p>
      <w:pPr>
        <w:ind w:left="408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2018</w:t>
      </w:r>
    </w:p>
    <w:p>
      <w:pPr>
        <w:sectPr>
          <w:pgSz w:w="11900" w:h="16838" w:orient="portrait"/>
          <w:cols w:equalWidth="0" w:num="2">
            <w:col w:w="6320" w:space="580"/>
            <w:col w:w="4520"/>
          </w:cols>
          <w:pgMar w:left="240" w:top="904" w:right="239" w:bottom="165"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40" w:type="dxa"/>
            <w:vAlign w:val="bottom"/>
            <w:gridSpan w:val="2"/>
          </w:tcPr>
          <w:p>
            <w:pPr>
              <w:ind w:left="840"/>
              <w:spacing w:after="0"/>
              <w:rPr>
                <w:sz w:val="20"/>
                <w:szCs w:val="20"/>
                <w:color w:val="auto"/>
              </w:rPr>
            </w:pPr>
            <w:r>
              <w:rPr>
                <w:rFonts w:ascii="Arial" w:cs="Arial" w:eastAsia="Arial" w:hAnsi="Arial"/>
                <w:sz w:val="18"/>
                <w:szCs w:val="18"/>
                <w:b w:val="1"/>
                <w:bCs w:val="1"/>
                <w:color w:val="auto"/>
              </w:rPr>
              <w:t>TABLE OF CONTENTS</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7220" w:type="dxa"/>
            <w:vAlign w:val="bottom"/>
            <w:tcBorders>
              <w:bottom w:val="single" w:sz="8" w:color="CCEEFF"/>
            </w:tcBorders>
            <w:gridSpan w:val="13"/>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Forward-Looking Statements</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6640" w:type="dxa"/>
            <w:vAlign w:val="bottom"/>
            <w:tcBorders>
              <w:top w:val="single" w:sz="8" w:color="CCEEFF"/>
            </w:tcBorders>
            <w:gridSpan w:val="8"/>
          </w:tcPr>
          <w:p>
            <w:pPr>
              <w:spacing w:after="0"/>
              <w:rPr>
                <w:sz w:val="15"/>
                <w:szCs w:val="15"/>
                <w:color w:val="auto"/>
              </w:rPr>
            </w:pPr>
          </w:p>
        </w:tc>
        <w:tc>
          <w:tcPr>
            <w:tcW w:w="2660" w:type="dxa"/>
            <w:vAlign w:val="bottom"/>
            <w:tcBorders>
              <w:top w:val="single" w:sz="8" w:color="CCEEFF"/>
            </w:tcBorders>
          </w:tcPr>
          <w:p>
            <w:pPr>
              <w:jc w:val="center"/>
              <w:ind w:left="167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Dividend Policy</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Exchange Rate Information</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Capitalization</w:t>
              </w:r>
            </w:hyperlink>
          </w:p>
        </w:tc>
        <w:tc>
          <w:tcPr>
            <w:tcW w:w="7740" w:type="dxa"/>
            <w:vAlign w:val="bottom"/>
            <w:tcBorders>
              <w:bottom w:val="single" w:sz="8" w:color="CCEEFF"/>
            </w:tcBorders>
            <w:gridSpan w:val="16"/>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Dilution</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Selected Historical Financial and Operating Data</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Post-Offering Ownership</w:t>
              </w:r>
            </w:hyperlink>
          </w:p>
        </w:tc>
        <w:tc>
          <w:tcPr>
            <w:tcW w:w="5220" w:type="dxa"/>
            <w:vAlign w:val="bottom"/>
            <w:tcBorders>
              <w:top w:val="single" w:sz="8" w:color="CCEEFF"/>
            </w:tcBorders>
            <w:gridSpan w:val="3"/>
          </w:tcPr>
          <w:p>
            <w:pPr>
              <w:spacing w:after="0"/>
              <w:rPr>
                <w:sz w:val="15"/>
                <w:szCs w:val="15"/>
                <w:color w:val="auto"/>
              </w:rPr>
            </w:pPr>
          </w:p>
        </w:tc>
        <w:tc>
          <w:tcPr>
            <w:tcW w:w="2660" w:type="dxa"/>
            <w:vAlign w:val="bottom"/>
            <w:tcBorders>
              <w:top w:val="single" w:sz="8" w:color="CCEEFF"/>
            </w:tcBorders>
          </w:tcPr>
          <w:p>
            <w:pPr>
              <w:jc w:val="center"/>
              <w:ind w:left="1670"/>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Our Business</w:t>
              </w:r>
            </w:hyperlink>
          </w:p>
        </w:tc>
        <w:tc>
          <w:tcPr>
            <w:tcW w:w="230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jc w:val="center"/>
              <w:ind w:left="1670"/>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Directors and Executive Officers</w:t>
              </w:r>
            </w:hyperlink>
          </w:p>
        </w:tc>
        <w:tc>
          <w:tcPr>
            <w:tcW w:w="6380" w:type="dxa"/>
            <w:vAlign w:val="bottom"/>
            <w:tcBorders>
              <w:bottom w:val="single" w:sz="8" w:color="CCEEFF"/>
            </w:tcBorders>
            <w:gridSpan w:val="6"/>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Related Party Transactions</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82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2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Description of Share Capital</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84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Shares Eligible for Future Sale</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Tax Matters Applicable to U.S. Holders of Our Shares</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Enforceability of Civil Liabilities</w:t>
              </w:r>
            </w:hyperlink>
          </w:p>
        </w:tc>
        <w:tc>
          <w:tcPr>
            <w:tcW w:w="6340" w:type="dxa"/>
            <w:vAlign w:val="bottom"/>
            <w:tcBorders>
              <w:bottom w:val="single" w:sz="8" w:color="CCEEFF"/>
            </w:tcBorders>
            <w:gridSpan w:val="5"/>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1"/>
          </w:tcPr>
          <w:p>
            <w:pPr>
              <w:spacing w:after="0"/>
              <w:rPr>
                <w:sz w:val="20"/>
                <w:szCs w:val="20"/>
                <w:color w:val="auto"/>
              </w:rPr>
            </w:pPr>
            <w:r>
              <w:rPr>
                <w:rFonts w:ascii="Arial" w:cs="Arial" w:eastAsia="Arial" w:hAnsi="Arial"/>
                <w:sz w:val="18"/>
                <w:szCs w:val="18"/>
                <w:color w:val="auto"/>
              </w:rPr>
              <w:t>Determination of Offering Price</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Underwriting</w:t>
              </w:r>
            </w:hyperlink>
          </w:p>
        </w:tc>
        <w:tc>
          <w:tcPr>
            <w:tcW w:w="7780" w:type="dxa"/>
            <w:vAlign w:val="bottom"/>
            <w:tcBorders>
              <w:bottom w:val="single" w:sz="8" w:color="CCEEFF"/>
            </w:tcBorders>
            <w:gridSpan w:val="17"/>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Legal Matters</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105">
              <w:r>
                <w:rPr>
                  <w:rFonts w:ascii="Arial" w:cs="Arial" w:eastAsia="Arial" w:hAnsi="Arial"/>
                  <w:sz w:val="18"/>
                  <w:szCs w:val="18"/>
                  <w:color w:val="0000EE"/>
                  <w:w w:val="85"/>
                </w:rPr>
                <w:t>Experts</w:t>
              </w:r>
            </w:hyperlink>
          </w:p>
        </w:tc>
        <w:tc>
          <w:tcPr>
            <w:tcW w:w="8200" w:type="dxa"/>
            <w:vAlign w:val="bottom"/>
            <w:tcBorders>
              <w:bottom w:val="single" w:sz="8" w:color="CCEEFF"/>
            </w:tcBorders>
            <w:gridSpan w:val="20"/>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Where You Can Find More Information</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Financial Statements</w:t>
              </w:r>
            </w:hyperlink>
          </w:p>
        </w:tc>
        <w:tc>
          <w:tcPr>
            <w:tcW w:w="2660" w:type="dxa"/>
            <w:vAlign w:val="bottom"/>
            <w:shd w:val="clear" w:color="auto" w:fill="CCEEFF"/>
          </w:tcPr>
          <w:p>
            <w:pPr>
              <w:ind w:left="2080"/>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40" w:firstLine="648"/>
        <w:spacing w:after="0" w:line="261" w:lineRule="auto"/>
        <w:rPr>
          <w:sz w:val="20"/>
          <w:szCs w:val="20"/>
          <w:color w:val="auto"/>
        </w:rPr>
      </w:pPr>
      <w:r>
        <w:rPr>
          <w:rFonts w:ascii="Arial" w:cs="Arial" w:eastAsia="Arial" w:hAnsi="Arial"/>
          <w:sz w:val="18"/>
          <w:szCs w:val="18"/>
          <w:b w:val="1"/>
          <w:bCs w:val="1"/>
          <w:color w:val="auto"/>
        </w:rPr>
        <w:t>You should rely only on the information contained in this prospectus or in any free writing prospectus we may authorize to be delivered or made available to you. Neither we, nor the underwriters have authorized anyone to provide you with different information. The information in this prospectus is accurate only as of the date of this prospectus, regardless of the time of delivery of this prospectus, or any free writing prospectus, as the case may be, or any sale of shares in the Company.</w:t>
      </w:r>
    </w:p>
    <w:p>
      <w:pPr>
        <w:spacing w:after="0" w:line="180"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 xml:space="preserve">For investors outside the United States: </w:t>
      </w:r>
      <w:r>
        <w:rPr>
          <w:rFonts w:ascii="Arial" w:cs="Arial" w:eastAsia="Arial" w:hAnsi="Arial"/>
          <w:sz w:val="18"/>
          <w:szCs w:val="18"/>
          <w:color w:val="auto"/>
        </w:rPr>
        <w:t>Neither we, nor the underwriters have done anything that would permit this offering or possession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shares and the distribution of this prospectus outside the United States.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283845</wp:posOffset>
            </wp:positionV>
            <wp:extent cx="7216140" cy="5741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140" cy="574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00" w:right="60" w:firstLine="648"/>
        <w:spacing w:after="0" w:line="271" w:lineRule="auto"/>
        <w:rPr>
          <w:sz w:val="20"/>
          <w:szCs w:val="20"/>
          <w:color w:val="auto"/>
        </w:rPr>
      </w:pPr>
      <w:r>
        <w:rPr>
          <w:rFonts w:ascii="Arial" w:cs="Arial" w:eastAsia="Arial" w:hAnsi="Arial"/>
          <w:sz w:val="17"/>
          <w:szCs w:val="17"/>
          <w:i w:val="1"/>
          <w:iCs w:val="1"/>
          <w:color w:val="auto"/>
        </w:rPr>
        <w:t>This summary highlights information that we present more fully in the rest of this prospectus. This summary does not contain all of the information you should consider before buying common shares in this offering. This summary contains forward-looking statements that involve risks and uncertainties, such as statements about our plans, objectives, expectations, assumptions or future events. In some cases, you can identify forward-looking statements by terminology such as “anticipate,” “estimate,” “plan,” “project,” “continuing,” “ongoing,” “expect,” “we believe,” “we intend,” “may,” “should,” “will,” “could,” and similar expressions denoting uncertainty or an action that may, will or is expected to occur in the future. These statements involve estimates, assumptions, known and unknown risks, uncertainties and other factors that could cause actual results to differ materially from any future results, performances or achievements expressed or implied by the forward-looking statements. You should read the entire prospectus carefully, including the “Risk Factors” section and the financial statements and the notes to those statements.</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100" w:firstLine="648"/>
        <w:spacing w:after="0" w:line="286" w:lineRule="auto"/>
        <w:rPr>
          <w:sz w:val="20"/>
          <w:szCs w:val="20"/>
          <w:color w:val="auto"/>
        </w:rPr>
      </w:pPr>
      <w:r>
        <w:rPr>
          <w:rFonts w:ascii="Arial" w:cs="Arial" w:eastAsia="Arial" w:hAnsi="Arial"/>
          <w:sz w:val="16"/>
          <w:szCs w:val="16"/>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and Hong Kong and their PRC-based IT centers. We have created and developed a particular market niche by providing turn-key financial solutions. Since our inception, we have aimed to build one of the largest sales and service delivery platforms for IT services and solutions in China. The nature of the Company’s services is such that it provides a majority of services to its banking and credit card clients in order to build new or modify existing clients’ own proprietary systems. On a very limited basis, the Company implements its own software systems, such as CLPS Virtual Banking Platform. We maintain eleven delivery and or research &amp; 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clients include large corporations headquartered in China and globally which include, among others:</w:t>
      </w:r>
    </w:p>
    <w:p>
      <w:pPr>
        <w:spacing w:after="0" w:line="225" w:lineRule="exact"/>
        <w:rPr>
          <w:sz w:val="20"/>
          <w:szCs w:val="20"/>
          <w:color w:val="auto"/>
        </w:rPr>
      </w:pPr>
    </w:p>
    <w:p>
      <w:pPr>
        <w:ind w:left="1080" w:hanging="329"/>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Banking or their China-based IT centers – </w:t>
      </w:r>
      <w:r>
        <w:rPr>
          <w:rFonts w:ascii="Arial" w:cs="Arial" w:eastAsia="Arial" w:hAnsi="Arial"/>
          <w:sz w:val="18"/>
          <w:szCs w:val="18"/>
          <w:color w:val="auto"/>
        </w:rPr>
        <w:t>Citibank, ANZ Bank, Commonwealth Bank of Australia, Bank of Communications.</w:t>
      </w:r>
    </w:p>
    <w:p>
      <w:pPr>
        <w:spacing w:after="0" w:line="225" w:lineRule="exact"/>
        <w:rPr>
          <w:rFonts w:ascii="Arial" w:cs="Arial" w:eastAsia="Arial" w:hAnsi="Arial"/>
          <w:sz w:val="18"/>
          <w:szCs w:val="18"/>
          <w:i w:val="1"/>
          <w:iCs w:val="1"/>
          <w:color w:val="auto"/>
        </w:rPr>
      </w:pPr>
    </w:p>
    <w:p>
      <w:pPr>
        <w:ind w:left="1080" w:right="300" w:hanging="329"/>
        <w:spacing w:after="0" w:line="277" w:lineRule="auto"/>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Industry – </w:t>
      </w:r>
      <w:r>
        <w:rPr>
          <w:rFonts w:ascii="Arial" w:cs="Arial" w:eastAsia="Arial" w:hAnsi="Arial"/>
          <w:sz w:val="18"/>
          <w:szCs w:val="18"/>
          <w:color w:val="auto"/>
        </w:rPr>
        <w:t>AIA, China Life Insurance, FirstData, Haitong Securities, Orient Securities and China Universal Asset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70" w:lineRule="exact"/>
        <w:rPr>
          <w:rFonts w:ascii="Arial" w:cs="Arial" w:eastAsia="Arial" w:hAnsi="Arial"/>
          <w:sz w:val="18"/>
          <w:szCs w:val="18"/>
          <w:i w:val="1"/>
          <w:iCs w:val="1"/>
          <w:color w:val="auto"/>
        </w:rPr>
      </w:pPr>
    </w:p>
    <w:p>
      <w:pPr>
        <w:ind w:left="1080" w:hanging="329"/>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 </w:t>
      </w:r>
      <w:r>
        <w:rPr>
          <w:rFonts w:ascii="Arial" w:cs="Arial" w:eastAsia="Arial" w:hAnsi="Arial"/>
          <w:sz w:val="18"/>
          <w:szCs w:val="18"/>
          <w:color w:val="auto"/>
        </w:rPr>
        <w:t>eBay, CRIF Information Technology, Experian, AGFA Healthcare and Neusoft.</w:t>
      </w:r>
    </w:p>
    <w:p>
      <w:pPr>
        <w:spacing w:after="0" w:line="225" w:lineRule="exact"/>
        <w:rPr>
          <w:sz w:val="20"/>
          <w:szCs w:val="20"/>
          <w:color w:val="auto"/>
        </w:rPr>
      </w:pPr>
    </w:p>
    <w:p>
      <w:pPr>
        <w:ind w:left="100" w:right="120" w:firstLine="648"/>
        <w:spacing w:after="0" w:line="277"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technological know-how to attract new business and remain cost competitive.</w:t>
      </w: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8348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140" cy="83483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Credit Card services</w:t>
      </w:r>
    </w:p>
    <w:p>
      <w:pPr>
        <w:spacing w:after="0" w:line="225" w:lineRule="exact"/>
        <w:rPr>
          <w:sz w:val="20"/>
          <w:szCs w:val="20"/>
          <w:color w:val="auto"/>
        </w:rPr>
      </w:pPr>
    </w:p>
    <w:p>
      <w:pPr>
        <w:ind w:left="100" w:right="160" w:firstLine="648"/>
        <w:spacing w:after="0" w:line="259" w:lineRule="auto"/>
        <w:rPr>
          <w:sz w:val="20"/>
          <w:szCs w:val="20"/>
          <w:color w:val="auto"/>
        </w:rPr>
      </w:pPr>
      <w:r>
        <w:rPr>
          <w:rFonts w:ascii="Arial" w:cs="Arial" w:eastAsia="Arial" w:hAnsi="Arial"/>
          <w:sz w:val="18"/>
          <w:szCs w:val="18"/>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w:t>
      </w:r>
    </w:p>
    <w:p>
      <w:pPr>
        <w:spacing w:after="0" w:line="187" w:lineRule="exact"/>
        <w:rPr>
          <w:sz w:val="20"/>
          <w:szCs w:val="20"/>
          <w:color w:val="auto"/>
        </w:rPr>
      </w:pPr>
    </w:p>
    <w:p>
      <w:pPr>
        <w:ind w:left="100" w:right="200" w:firstLine="648"/>
        <w:spacing w:after="0" w:line="302" w:lineRule="auto"/>
        <w:rPr>
          <w:sz w:val="20"/>
          <w:szCs w:val="20"/>
          <w:color w:val="auto"/>
        </w:rPr>
      </w:pPr>
      <w:r>
        <w:rPr>
          <w:rFonts w:ascii="Arial" w:cs="Arial" w:eastAsia="Arial" w:hAnsi="Arial"/>
          <w:sz w:val="16"/>
          <w:szCs w:val="16"/>
          <w:color w:val="auto"/>
        </w:rPr>
        <w:t>We offer more than ten years of experience in IT consulting services across key credit card business areas, including credit card applications, account setup, authorization and activation, settlement, collecting, promotion, point system, anti-fraud, statement, reporting and risk management. In the past years, we have successfully helped our China and global clients manage their credit card IT systems such as VisionPLUS, a credit card processing solution. We offer expertise in customizing these credit card tools and platforms to suit a variety of business models.</w:t>
      </w:r>
    </w:p>
    <w:p>
      <w:pPr>
        <w:spacing w:after="0" w:line="154" w:lineRule="exact"/>
        <w:rPr>
          <w:sz w:val="20"/>
          <w:szCs w:val="20"/>
          <w:color w:val="auto"/>
        </w:rPr>
      </w:pPr>
    </w:p>
    <w:p>
      <w:pPr>
        <w:ind w:left="100" w:firstLine="648"/>
        <w:spacing w:after="0" w:line="259" w:lineRule="auto"/>
        <w:rPr>
          <w:sz w:val="20"/>
          <w:szCs w:val="20"/>
          <w:color w:val="auto"/>
        </w:rPr>
      </w:pPr>
      <w:r>
        <w:rPr>
          <w:rFonts w:ascii="Arial" w:cs="Arial" w:eastAsia="Arial" w:hAnsi="Arial"/>
          <w:sz w:val="18"/>
          <w:szCs w:val="18"/>
          <w:color w:val="auto"/>
        </w:rPr>
        <w:t>Our highly experienced team possesses the requisite expertise in providing these comprehensive credit card services. The IT consulting professional teams provide credit card services from Shanghai, Dalian and Hong Kong. We offer this experience and expertise in various currencies, across different geographical regions, including, but not limited to China, Singapore, UK, Philippine, Indonesia, and Latin America. In addition, we have developed a series of credit card solutions in order to better meet the needs of our clients.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Core Banking services</w:t>
      </w:r>
    </w:p>
    <w:p>
      <w:pPr>
        <w:spacing w:after="0" w:line="225" w:lineRule="exact"/>
        <w:rPr>
          <w:sz w:val="20"/>
          <w:szCs w:val="20"/>
          <w:color w:val="auto"/>
        </w:rPr>
      </w:pPr>
    </w:p>
    <w:p>
      <w:pPr>
        <w:ind w:left="100" w:right="40" w:firstLine="648"/>
        <w:spacing w:after="0" w:line="289" w:lineRule="auto"/>
        <w:rPr>
          <w:sz w:val="20"/>
          <w:szCs w:val="20"/>
          <w:color w:val="auto"/>
        </w:rPr>
      </w:pPr>
      <w:r>
        <w:rPr>
          <w:rFonts w:ascii="Arial" w:cs="Arial" w:eastAsia="Arial" w:hAnsi="Arial"/>
          <w:sz w:val="16"/>
          <w:szCs w:val="16"/>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developing,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were recently engaged by a US-based clients to transform its centralized core banking system to a service-oriented architecture and integrate it into a global unified version, which successfully satisfied its business needs in various markets. In addition, we engage the cloud-native solution of core banking system with micro services architecture, which can service both Chinese and global banks meet the ever-changing demands of the market with high flexibility, high scalability, high reliability and multichannel connectivity.</w:t>
      </w:r>
    </w:p>
    <w:p>
      <w:pPr>
        <w:spacing w:after="0" w:line="167" w:lineRule="exact"/>
        <w:rPr>
          <w:sz w:val="20"/>
          <w:szCs w:val="20"/>
          <w:color w:val="auto"/>
        </w:rPr>
      </w:pPr>
    </w:p>
    <w:p>
      <w:pPr>
        <w:ind w:left="100" w:right="60" w:firstLine="648"/>
        <w:spacing w:after="0" w:line="342" w:lineRule="auto"/>
        <w:rPr>
          <w:sz w:val="20"/>
          <w:szCs w:val="20"/>
          <w:color w:val="auto"/>
        </w:rPr>
      </w:pPr>
      <w:r>
        <w:rPr>
          <w:rFonts w:ascii="Arial" w:cs="Arial" w:eastAsia="Arial" w:hAnsi="Arial"/>
          <w:sz w:val="16"/>
          <w:szCs w:val="16"/>
          <w:color w:val="auto"/>
        </w:rPr>
        <w:t>For the years ended June 30, 2017 and 2016, revenues from our IT consulting service were approximately USD$29.1 million and USD$28.0 million, respectively. Revenues from our IT consulting service accounted for 92.9% and 96.5% of our total revenues in fiscal 2017 and 2016, respectively.</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225" w:lineRule="exact"/>
        <w:rPr>
          <w:sz w:val="20"/>
          <w:szCs w:val="20"/>
          <w:color w:val="auto"/>
        </w:rPr>
      </w:pPr>
    </w:p>
    <w:p>
      <w:pPr>
        <w:ind w:left="100" w:right="100" w:firstLine="648"/>
        <w:spacing w:after="0" w:line="302" w:lineRule="auto"/>
        <w:rPr>
          <w:sz w:val="20"/>
          <w:szCs w:val="20"/>
          <w:color w:val="auto"/>
        </w:rPr>
      </w:pPr>
      <w:r>
        <w:rPr>
          <w:rFonts w:ascii="Arial" w:cs="Arial" w:eastAsia="Arial" w:hAnsi="Arial"/>
          <w:sz w:val="16"/>
          <w:szCs w:val="16"/>
          <w:color w:val="auto"/>
        </w:rPr>
        <w:t>We are also an IT solution services provider for China and global financial institutions. We offer our clients over a decade of experience proving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our ability to offer our clients creative solution design, especially in the areas of new information technology such as block chain.</w:t>
      </w:r>
    </w:p>
    <w:p>
      <w:pPr>
        <w:spacing w:after="0" w:line="154" w:lineRule="exact"/>
        <w:rPr>
          <w:sz w:val="20"/>
          <w:szCs w:val="20"/>
          <w:color w:val="auto"/>
        </w:rPr>
      </w:pPr>
    </w:p>
    <w:p>
      <w:pPr>
        <w:ind w:left="100" w:right="20" w:firstLine="648"/>
        <w:spacing w:after="0" w:line="257" w:lineRule="auto"/>
        <w:rPr>
          <w:sz w:val="20"/>
          <w:szCs w:val="20"/>
          <w:color w:val="auto"/>
        </w:rPr>
      </w:pPr>
      <w:r>
        <w:rPr>
          <w:rFonts w:ascii="Arial" w:cs="Arial" w:eastAsia="Arial" w:hAnsi="Arial"/>
          <w:sz w:val="18"/>
          <w:szCs w:val="18"/>
          <w:color w:val="auto"/>
        </w:rPr>
        <w:t>We offer software project development and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quality and efficiency testing, and (iii) providing onshore and offshore IT solution services to ensure turn-key delivery.</w:t>
      </w:r>
    </w:p>
    <w:p>
      <w:pPr>
        <w:spacing w:after="0" w:line="188" w:lineRule="exact"/>
        <w:rPr>
          <w:sz w:val="20"/>
          <w:szCs w:val="20"/>
          <w:color w:val="auto"/>
        </w:rPr>
      </w:pPr>
    </w:p>
    <w:p>
      <w:pPr>
        <w:ind w:left="100" w:right="60" w:firstLine="648"/>
        <w:spacing w:after="0" w:line="257" w:lineRule="auto"/>
        <w:rPr>
          <w:sz w:val="20"/>
          <w:szCs w:val="20"/>
          <w:color w:val="auto"/>
        </w:rPr>
      </w:pPr>
      <w:r>
        <w:rPr>
          <w:rFonts w:ascii="Arial" w:cs="Arial" w:eastAsia="Arial" w:hAnsi="Arial"/>
          <w:sz w:val="18"/>
          <w:szCs w:val="18"/>
          <w:color w:val="auto"/>
        </w:rPr>
        <w:t>We have been working with multiple Chinese domestic banks to assist them to leverage block chain technology. We have developed a loyalty reward solution built on block chain technology, which allows domestic banks to track and trace transactions in real-time. Through the use of this technology, the banks offer their consumers the ability to combine loyalty points from various promotions and redeem them in spending. We will continue to develop new IT solutions to meet the evolving needs of our Chinese and global financial institutional clientele, drawing upon the forward-looking research of our R&amp;D center.</w:t>
      </w:r>
    </w:p>
    <w:p>
      <w:pPr>
        <w:spacing w:after="0" w:line="188" w:lineRule="exact"/>
        <w:rPr>
          <w:sz w:val="20"/>
          <w:szCs w:val="20"/>
          <w:color w:val="auto"/>
        </w:rPr>
      </w:pPr>
    </w:p>
    <w:p>
      <w:pPr>
        <w:ind w:left="100" w:right="100" w:firstLine="648"/>
        <w:spacing w:after="0" w:line="264" w:lineRule="auto"/>
        <w:rPr>
          <w:sz w:val="20"/>
          <w:szCs w:val="20"/>
          <w:color w:val="auto"/>
        </w:rPr>
      </w:pPr>
      <w:r>
        <w:rPr>
          <w:rFonts w:ascii="Arial" w:cs="Arial" w:eastAsia="Arial" w:hAnsi="Arial"/>
          <w:sz w:val="18"/>
          <w:szCs w:val="18"/>
          <w:color w:val="auto"/>
        </w:rPr>
        <w:t>For the years ended June 30, 2017 and 2016, revenues from our customized IT solution services were approximately USD$1.8 million and USD$0.9 million, respectively. Revenues from our customized IT solution service accounted for 5.9% and 3.2% of our total revenues in fiscal years 2017 and 2016, respectively.</w:t>
      </w:r>
    </w:p>
    <w:p>
      <w:pPr>
        <w:sectPr>
          <w:pgSz w:w="11900" w:h="16838" w:orient="portrait"/>
          <w:cols w:equalWidth="0" w:num="1">
            <w:col w:w="11280"/>
          </w:cols>
          <w:pgMar w:left="240" w:top="226" w:right="37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9051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140" cy="9051925"/>
                    </a:xfrm>
                    <a:prstGeom prst="rect">
                      <a:avLst/>
                    </a:prstGeom>
                    <a:noFill/>
                  </pic:spPr>
                </pic:pic>
              </a:graphicData>
            </a:graphic>
          </wp:anchor>
        </w:drawing>
      </w:r>
    </w:p>
    <w:p>
      <w:pPr>
        <w:spacing w:after="0" w:line="28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Other Services</w:t>
      </w:r>
    </w:p>
    <w:p>
      <w:pPr>
        <w:spacing w:after="0" w:line="225" w:lineRule="exact"/>
        <w:rPr>
          <w:sz w:val="20"/>
          <w:szCs w:val="20"/>
          <w:color w:val="auto"/>
        </w:rPr>
      </w:pPr>
    </w:p>
    <w:p>
      <w:pPr>
        <w:ind w:left="100" w:right="40" w:firstLine="648"/>
        <w:spacing w:after="0" w:line="297" w:lineRule="auto"/>
        <w:rPr>
          <w:sz w:val="20"/>
          <w:szCs w:val="20"/>
          <w:color w:val="auto"/>
        </w:rPr>
      </w:pPr>
      <w:r>
        <w:rPr>
          <w:rFonts w:ascii="Arial" w:cs="Arial" w:eastAsia="Arial" w:hAnsi="Arial"/>
          <w:sz w:val="16"/>
          <w:szCs w:val="16"/>
          <w:i w:val="1"/>
          <w:iCs w:val="1"/>
          <w:color w:val="auto"/>
        </w:rPr>
        <w:t xml:space="preserve">CLPS Virtual Banking Platform (CLB) – </w:t>
      </w:r>
      <w:r>
        <w:rPr>
          <w:rFonts w:ascii="Arial" w:cs="Arial" w:eastAsia="Arial" w:hAnsi="Arial"/>
          <w:sz w:val="16"/>
          <w:szCs w:val="16"/>
          <w:color w:val="auto"/>
        </w:rPr>
        <w:t>CLB is a unique and successful talent training IT platform owned by CLPS. For the past ten years,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focusing on recruiting, training, developing and retaining human capital and talent. We have been developing and continuously upgrading our CLB to train specialized financial IT personnel in order to differentiate ourselves from general IT developers. CLB is one of the crucial components of our Talent Creation Program (“TCP”). It contains a full set of banking application modules covering areas such as core banking, credit cards, and wealth management and incorporating the cutting-edge technologies, such as JAVA, Android &amp; iOS, HTML, block chain, cloud computing and big data.</w:t>
      </w:r>
    </w:p>
    <w:p>
      <w:pPr>
        <w:spacing w:after="0" w:line="77" w:lineRule="exact"/>
        <w:rPr>
          <w:sz w:val="20"/>
          <w:szCs w:val="20"/>
          <w:color w:val="auto"/>
        </w:rPr>
      </w:pPr>
    </w:p>
    <w:p>
      <w:pPr>
        <w:ind w:left="100" w:right="200" w:firstLine="648"/>
        <w:spacing w:after="0" w:line="308" w:lineRule="auto"/>
        <w:rPr>
          <w:sz w:val="20"/>
          <w:szCs w:val="20"/>
          <w:color w:val="auto"/>
        </w:rPr>
      </w:pPr>
      <w:r>
        <w:rPr>
          <w:rFonts w:ascii="Arial" w:cs="Arial" w:eastAsia="Arial" w:hAnsi="Arial"/>
          <w:sz w:val="17"/>
          <w:szCs w:val="17"/>
          <w:color w:val="auto"/>
        </w:rPr>
        <w:t>In fiscal years 2017 and 2016, revenue from other services was approximately USD$0.4 million and USD$0.08 million, respectively. Revenues from other services accounted for 1.2% and 0.3% of our total revenues in fiscal years 2017 and 2016, respectively.</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left="100" w:right="460" w:firstLine="648"/>
        <w:spacing w:after="0" w:line="277" w:lineRule="auto"/>
        <w:rPr>
          <w:sz w:val="20"/>
          <w:szCs w:val="20"/>
          <w:color w:val="auto"/>
        </w:rPr>
      </w:pPr>
      <w:r>
        <w:rPr>
          <w:rFonts w:ascii="Arial" w:cs="Arial" w:eastAsia="Arial" w:hAnsi="Arial"/>
          <w:sz w:val="18"/>
          <w:szCs w:val="18"/>
          <w:color w:val="auto"/>
        </w:rPr>
        <w:t>R&amp;D is an integral part of our continued growth. In order to better service our Chinese and global clients’ needs, we focus on exploring and researching new and advanced technologies and how to best integrate them into our existing and new solutions.</w:t>
      </w:r>
    </w:p>
    <w:p>
      <w:pPr>
        <w:spacing w:after="0" w:line="89" w:lineRule="exact"/>
        <w:rPr>
          <w:sz w:val="20"/>
          <w:szCs w:val="20"/>
          <w:color w:val="auto"/>
        </w:rPr>
      </w:pPr>
    </w:p>
    <w:p>
      <w:pPr>
        <w:ind w:left="100" w:firstLine="648"/>
        <w:spacing w:after="0" w:line="270" w:lineRule="auto"/>
        <w:rPr>
          <w:sz w:val="20"/>
          <w:szCs w:val="20"/>
          <w:color w:val="auto"/>
        </w:rPr>
      </w:pPr>
      <w:r>
        <w:rPr>
          <w:rFonts w:ascii="Arial" w:cs="Arial" w:eastAsia="Arial" w:hAnsi="Arial"/>
          <w:sz w:val="17"/>
          <w:szCs w:val="17"/>
          <w:color w:val="auto"/>
        </w:rPr>
        <w:t>Currently, we are working on applying new and advanced technologies and tools to enhance our project delivery capability and efficiency. For instance, we applied the DevOps methodology and tools in our project delivery process and platform. This methodology has greatly enhanced the development, operational efficiency and project quality. We focus on block chain, big data and cloud native applications. We have developed a loyalty reward solution based on block 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offerings by improving existing solutions and inventing new solutions, which drive new revenue opportunities and improve our core competency.</w:t>
      </w:r>
    </w:p>
    <w:p>
      <w:pPr>
        <w:spacing w:after="0" w:line="101" w:lineRule="exact"/>
        <w:rPr>
          <w:sz w:val="20"/>
          <w:szCs w:val="20"/>
          <w:color w:val="auto"/>
        </w:rPr>
      </w:pPr>
    </w:p>
    <w:p>
      <w:pPr>
        <w:ind w:left="100" w:right="380" w:firstLine="648"/>
        <w:spacing w:after="0" w:line="277" w:lineRule="auto"/>
        <w:rPr>
          <w:sz w:val="20"/>
          <w:szCs w:val="20"/>
          <w:color w:val="auto"/>
        </w:rPr>
      </w:pPr>
      <w:r>
        <w:rPr>
          <w:rFonts w:ascii="Arial" w:cs="Arial" w:eastAsia="Arial" w:hAnsi="Arial"/>
          <w:sz w:val="18"/>
          <w:szCs w:val="18"/>
          <w:color w:val="auto"/>
        </w:rPr>
        <w:t>During years fiscal 2017 and 2016, our R&amp;D expense were approximately USD$4.2 million and USD$5.6 million, respectively, representing 13.5% and 19.2% of our total revenues for fiscal years 2017 and 2016, respectively.</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Significant Customers</w:t>
      </w:r>
    </w:p>
    <w:p>
      <w:pPr>
        <w:spacing w:after="0" w:line="148" w:lineRule="exact"/>
        <w:rPr>
          <w:sz w:val="20"/>
          <w:szCs w:val="20"/>
          <w:color w:val="auto"/>
        </w:rPr>
      </w:pPr>
    </w:p>
    <w:p>
      <w:pPr>
        <w:ind w:left="100" w:right="60" w:firstLine="648"/>
        <w:spacing w:after="0" w:line="276" w:lineRule="auto"/>
        <w:rPr>
          <w:sz w:val="20"/>
          <w:szCs w:val="20"/>
          <w:color w:val="auto"/>
        </w:rPr>
      </w:pPr>
      <w:r>
        <w:rPr>
          <w:rFonts w:ascii="Arial" w:cs="Arial" w:eastAsia="Arial" w:hAnsi="Arial"/>
          <w:sz w:val="17"/>
          <w:szCs w:val="17"/>
          <w:color w:val="auto"/>
        </w:rPr>
        <w:t>We have derived, and believe that in the foreseeable future we will continue to derive, a significant portion of our revenues from a small number of major clients. For the years ended June 30, 2017 and 2016, Citibank accounted for 38.6% and 59.2% of the Company’s total revenues, respectively. For the same fiscal periods, Citibank and eBay, our top two customers, accounted in the aggregate for 53.9% and 71.6% of the Company’s total revenues, respectively. Substantially all the services provided by the Company to our top customers were IT consulting service and billed through time-and-expense contracts. The Company has not entered into any long term contracts with these customers.</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Industry and Market Background</w:t>
      </w:r>
    </w:p>
    <w:p>
      <w:pPr>
        <w:spacing w:after="0" w:line="148" w:lineRule="exact"/>
        <w:rPr>
          <w:sz w:val="20"/>
          <w:szCs w:val="20"/>
          <w:color w:val="auto"/>
        </w:rPr>
      </w:pPr>
    </w:p>
    <w:p>
      <w:pPr>
        <w:ind w:left="100" w:firstLine="648"/>
        <w:spacing w:after="0" w:line="277" w:lineRule="auto"/>
        <w:rPr>
          <w:sz w:val="20"/>
          <w:szCs w:val="20"/>
          <w:color w:val="auto"/>
        </w:rPr>
      </w:pPr>
      <w:r>
        <w:rPr>
          <w:rFonts w:ascii="Arial" w:cs="Arial" w:eastAsia="Arial" w:hAnsi="Arial"/>
          <w:sz w:val="18"/>
          <w:szCs w:val="18"/>
          <w:color w:val="auto"/>
        </w:rPr>
        <w:t>Businesses, both domestically in China and globally, are outsourcing a growing portion of their IT services and business processes to China-based IT providers.</w:t>
      </w:r>
    </w:p>
    <w:p>
      <w:pPr>
        <w:spacing w:after="0" w:line="89" w:lineRule="exact"/>
        <w:rPr>
          <w:sz w:val="20"/>
          <w:szCs w:val="20"/>
          <w:color w:val="auto"/>
        </w:rPr>
      </w:pPr>
    </w:p>
    <w:p>
      <w:pPr>
        <w:jc w:val="both"/>
        <w:ind w:left="100" w:right="420" w:firstLine="648"/>
        <w:spacing w:after="0" w:line="264" w:lineRule="auto"/>
        <w:rPr>
          <w:sz w:val="20"/>
          <w:szCs w:val="20"/>
          <w:color w:val="auto"/>
        </w:rPr>
      </w:pPr>
      <w:r>
        <w:rPr>
          <w:rFonts w:ascii="Arial" w:cs="Arial" w:eastAsia="Arial" w:hAnsi="Arial"/>
          <w:sz w:val="18"/>
          <w:szCs w:val="18"/>
          <w:color w:val="auto"/>
        </w:rPr>
        <w:t>According to PRC’s Ministry of Industry and Information Technology (MIIT) data, the software industry revenues reached RMB 4.9 trillion (USD$723 billion) in 2016. IT service market has developed and grown rapidly in recent years with the revenue reached RMB 2.5 trillion (USD$369 billion) in 2016, accounting for 51.8% of the whole software industry.</w:t>
      </w:r>
    </w:p>
    <w:p>
      <w:pPr>
        <w:sectPr>
          <w:pgSz w:w="11900" w:h="16838" w:orient="portrait"/>
          <w:cols w:equalWidth="0" w:num="1">
            <w:col w:w="11280"/>
          </w:cols>
          <w:pgMar w:left="240" w:top="226" w:right="379" w:bottom="9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942"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6958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140" cy="69589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Financial institutions/banking IT services market is composed of software and services, which are shown as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Data source: Wind Terminal</w:t>
      </w:r>
    </w:p>
    <w:p>
      <w:pPr>
        <w:spacing w:after="0" w:line="225" w:lineRule="exact"/>
        <w:rPr>
          <w:sz w:val="20"/>
          <w:szCs w:val="20"/>
          <w:color w:val="auto"/>
        </w:rPr>
      </w:pPr>
    </w:p>
    <w:p>
      <w:pPr>
        <w:ind w:left="100" w:firstLine="648"/>
        <w:spacing w:after="0" w:line="270" w:lineRule="auto"/>
        <w:rPr>
          <w:sz w:val="20"/>
          <w:szCs w:val="20"/>
          <w:color w:val="auto"/>
        </w:rPr>
      </w:pPr>
      <w:r>
        <w:rPr>
          <w:rFonts w:ascii="Arial" w:cs="Arial" w:eastAsia="Arial" w:hAnsi="Arial"/>
          <w:sz w:val="17"/>
          <w:szCs w:val="17"/>
          <w:color w:val="auto"/>
        </w:rPr>
        <w:t>In 2015, the overall banking IT services market reached RMB 22.5 billion (USD$3.3 billion). China's banking IT market has distinctive structure feature, with service sub-field occupying half of the market share, and maintains steady growth. According to IDC data, China's integrated banking IT services market increased from RMB 7.1 billion (USD$1.0 billion) to RMB 22.5 billion (USD$3.3 billion) from 2009 to 2015, growing at a compound annual growth rate of 21.2%; the market scale of service sub-field increased from RMB 5.5 billion (USD$811 million) to RMB 18.2 billion (USD$2.7 billion), with compound annual growth rate of 22.1%. According to IDC forecast, China's integrated banking IT services market is expected to increase to RMB 61.2 billion (USD$9.0 billion) in 2020, growing at compound annual growth rate of 22.1% compared with 2015 (IDC China Banking IT Services Market Forecast and Analysis 2016-2020). In 2015, these services still comprised the largest proportion in China's banking IT service market, reaching 81.8%. We believe that the IDC research suggests that the current Chinese banking IT services market is gradually transforming from a “software plus service” delivery model to a service-oriented delivery model. It is expected that services will account for a higher proportion of the entire banking industry's application services in 2020.</w:t>
      </w:r>
    </w:p>
    <w:p>
      <w:pPr>
        <w:spacing w:after="0" w:line="178" w:lineRule="exact"/>
        <w:rPr>
          <w:sz w:val="20"/>
          <w:szCs w:val="20"/>
          <w:color w:val="auto"/>
        </w:rPr>
      </w:pPr>
    </w:p>
    <w:p>
      <w:pPr>
        <w:ind w:left="100" w:right="20" w:firstLine="648"/>
        <w:spacing w:after="0" w:line="273" w:lineRule="auto"/>
        <w:rPr>
          <w:sz w:val="20"/>
          <w:szCs w:val="20"/>
          <w:color w:val="auto"/>
        </w:rPr>
      </w:pPr>
      <w:r>
        <w:rPr>
          <w:rFonts w:ascii="Arial" w:cs="Arial" w:eastAsia="Arial" w:hAnsi="Arial"/>
          <w:sz w:val="17"/>
          <w:szCs w:val="17"/>
          <w:color w:val="auto"/>
        </w:rPr>
        <w:t>There are several factors driving the overall growth of China’s IT services industry, including the rapid growth of China’s economy and domestic demand for IT services, the strategic importance of China as a target market for global clients, strong offshore outsourcing demand, availability of low-cost qualified IT professionals with global and regional language skills, well-developed infrastructure in China and strong government support and spending. We believe that the market development trends include a growing emphasis on big data services, innovation in channel solutions, risk management and prevention, more customer-oriented services, and globalization of the financial services industry. We believe we are well positioned to capture the significant market opportunities in the IT services industry both in China and globally.</w:t>
      </w:r>
    </w:p>
    <w:p>
      <w:pPr>
        <w:spacing w:after="0" w:line="200" w:lineRule="exact"/>
        <w:rPr>
          <w:sz w:val="20"/>
          <w:szCs w:val="20"/>
          <w:color w:val="auto"/>
        </w:rPr>
      </w:pP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226" w:right="4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61531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140" cy="615315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developed and intend to implement the following strategies to expand and grow the size of our Company:</w:t>
      </w:r>
    </w:p>
    <w:p>
      <w:pPr>
        <w:spacing w:after="0" w:line="225" w:lineRule="exact"/>
        <w:rPr>
          <w:sz w:val="20"/>
          <w:szCs w:val="20"/>
          <w:color w:val="auto"/>
        </w:rPr>
      </w:pPr>
    </w:p>
    <w:p>
      <w:pPr>
        <w:ind w:left="100" w:firstLine="651"/>
        <w:spacing w:after="0" w:line="273" w:lineRule="auto"/>
        <w:tabs>
          <w:tab w:leader="none" w:pos="1082"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Grow revenue with existing and new clients </w:t>
      </w:r>
      <w:r>
        <w:rPr>
          <w:rFonts w:ascii="Arial" w:cs="Arial" w:eastAsia="Arial" w:hAnsi="Arial"/>
          <w:sz w:val="17"/>
          <w:szCs w:val="17"/>
          <w:color w:val="auto"/>
        </w:rPr>
        <w:t>- We intend to pursue additional revenue opportunities from existing Chinese and global clients,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Chinese and global markets to benefit both groups of clients.</w:t>
      </w:r>
    </w:p>
    <w:p>
      <w:pPr>
        <w:spacing w:after="0" w:line="178" w:lineRule="exact"/>
        <w:rPr>
          <w:rFonts w:ascii="Arial" w:cs="Arial" w:eastAsia="Arial" w:hAnsi="Arial"/>
          <w:sz w:val="17"/>
          <w:szCs w:val="17"/>
          <w:color w:val="auto"/>
        </w:rPr>
      </w:pPr>
    </w:p>
    <w:p>
      <w:pPr>
        <w:ind w:left="100" w:right="60" w:firstLine="651"/>
        <w:spacing w:after="0" w:line="276" w:lineRule="auto"/>
        <w:tabs>
          <w:tab w:leader="none" w:pos="1082"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research and development, deepen domain expertise and develop specific solutions for target industry verticals </w:t>
      </w:r>
      <w:r>
        <w:rPr>
          <w:rFonts w:ascii="Arial" w:cs="Arial" w:eastAsia="Arial" w:hAnsi="Arial"/>
          <w:sz w:val="17"/>
          <w:szCs w:val="17"/>
          <w:color w:val="auto"/>
        </w:rPr>
        <w:t>- We</w:t>
      </w:r>
      <w:r>
        <w:rPr>
          <w:rFonts w:ascii="Arial" w:cs="Arial" w:eastAsia="Arial" w:hAnsi="Arial"/>
          <w:sz w:val="17"/>
          <w:szCs w:val="17"/>
          <w:i w:val="1"/>
          <w:iCs w:val="1"/>
          <w:color w:val="auto"/>
        </w:rPr>
        <w:t xml:space="preserve"> </w:t>
      </w:r>
      <w:r>
        <w:rPr>
          <w:rFonts w:ascii="Arial" w:cs="Arial" w:eastAsia="Arial" w:hAnsi="Arial"/>
          <w:sz w:val="17"/>
          <w:szCs w:val="17"/>
          <w:color w:val="auto"/>
        </w:rPr>
        <w:t>will 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72" w:lineRule="exact"/>
        <w:rPr>
          <w:rFonts w:ascii="Arial" w:cs="Arial" w:eastAsia="Arial" w:hAnsi="Arial"/>
          <w:sz w:val="17"/>
          <w:szCs w:val="17"/>
          <w:color w:val="auto"/>
        </w:rPr>
      </w:pPr>
    </w:p>
    <w:p>
      <w:pPr>
        <w:ind w:left="100" w:firstLine="651"/>
        <w:spacing w:after="0" w:line="269" w:lineRule="auto"/>
        <w:tabs>
          <w:tab w:leader="none" w:pos="1082"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training and development of our world-class human capital base </w:t>
      </w:r>
      <w:r>
        <w:rPr>
          <w:rFonts w:ascii="Arial" w:cs="Arial" w:eastAsia="Arial" w:hAnsi="Arial"/>
          <w:sz w:val="17"/>
          <w:szCs w:val="17"/>
          <w:color w:val="auto"/>
        </w:rPr>
        <w:t>- We place a high priority on attracting, training,</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and retaining our human capital base to be increasingly competitive. We will continue to build our professional talent pool through our Talent Creation Program (“TCP”) and Talent Development Program (“TDP”) to ensure the sustainable supply of financial IT talent resources. These programs are the results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college,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The strength of our TCP/TDP program adds to our recognition in the industry by competitors and customers alike.</w:t>
      </w:r>
    </w:p>
    <w:p>
      <w:pPr>
        <w:spacing w:after="0" w:line="182" w:lineRule="exact"/>
        <w:rPr>
          <w:rFonts w:ascii="Arial" w:cs="Arial" w:eastAsia="Arial" w:hAnsi="Arial"/>
          <w:sz w:val="17"/>
          <w:szCs w:val="17"/>
          <w:color w:val="auto"/>
        </w:rPr>
      </w:pPr>
    </w:p>
    <w:p>
      <w:pPr>
        <w:ind w:left="100" w:right="60" w:firstLine="651"/>
        <w:spacing w:after="0" w:line="255" w:lineRule="auto"/>
        <w:tabs>
          <w:tab w:leader="none" w:pos="108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Drive efficiencies through ongoing improvements in operational excellence </w:t>
      </w:r>
      <w:r>
        <w:rPr>
          <w:rFonts w:ascii="Arial" w:cs="Arial" w:eastAsia="Arial" w:hAnsi="Arial"/>
          <w:sz w:val="18"/>
          <w:szCs w:val="18"/>
          <w:color w:val="auto"/>
        </w:rPr>
        <w:t>- We strive to gain significant operating efficiencies by</w:t>
      </w:r>
      <w:r>
        <w:rPr>
          <w:rFonts w:ascii="Arial" w:cs="Arial" w:eastAsia="Arial" w:hAnsi="Arial"/>
          <w:sz w:val="18"/>
          <w:szCs w:val="18"/>
          <w:i w:val="1"/>
          <w:iCs w:val="1"/>
          <w:color w:val="auto"/>
        </w:rPr>
        <w:t xml:space="preserve"> </w:t>
      </w:r>
      <w:r>
        <w:rPr>
          <w:rFonts w:ascii="Arial" w:cs="Arial" w:eastAsia="Arial" w:hAnsi="Arial"/>
          <w:sz w:val="18"/>
          <w:szCs w:val="18"/>
          <w:color w:val="auto"/>
        </w:rPr>
        <w:t>leveraging 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89" w:lineRule="exact"/>
        <w:rPr>
          <w:rFonts w:ascii="Arial" w:cs="Arial" w:eastAsia="Arial" w:hAnsi="Arial"/>
          <w:sz w:val="18"/>
          <w:szCs w:val="18"/>
          <w:color w:val="auto"/>
        </w:rPr>
      </w:pPr>
    </w:p>
    <w:p>
      <w:pPr>
        <w:ind w:left="100" w:right="20" w:firstLine="651"/>
        <w:spacing w:after="0" w:line="257" w:lineRule="auto"/>
        <w:tabs>
          <w:tab w:leader="none" w:pos="108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Capture new growth opportunities through strategic alliances and acquisitions </w:t>
      </w:r>
      <w:r>
        <w:rPr>
          <w:rFonts w:ascii="Arial" w:cs="Arial" w:eastAsia="Arial" w:hAnsi="Arial"/>
          <w:sz w:val="18"/>
          <w:szCs w:val="18"/>
          <w:color w:val="auto"/>
        </w:rPr>
        <w:t>- We will continue to pursue selective alliances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9223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140" cy="922337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100" w:right="480" w:firstLine="648"/>
        <w:spacing w:after="0" w:line="277" w:lineRule="auto"/>
        <w:rPr>
          <w:sz w:val="20"/>
          <w:szCs w:val="20"/>
          <w:color w:val="auto"/>
        </w:rPr>
      </w:pPr>
      <w:r>
        <w:rPr>
          <w:rFonts w:ascii="Arial" w:cs="Arial" w:eastAsia="Arial" w:hAnsi="Arial"/>
          <w:sz w:val="18"/>
          <w:szCs w:val="18"/>
          <w:color w:val="auto"/>
        </w:rPr>
        <w:t>We believe that the principal competitive factors in our markets are industry expertise, breadth and depth of service offerings, quality of the services offered, reputation and track record, marketing and selling skills, scalability of infrastructure and price.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believe that there are several key strengths that differentiate us from our competitors and will continue to contribute to our growth and</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success.</w:t>
      </w:r>
    </w:p>
    <w:p>
      <w:pPr>
        <w:spacing w:after="0" w:line="211" w:lineRule="exact"/>
        <w:rPr>
          <w:sz w:val="20"/>
          <w:szCs w:val="20"/>
          <w:color w:val="auto"/>
        </w:rPr>
      </w:pPr>
    </w:p>
    <w:p>
      <w:pPr>
        <w:ind w:left="100" w:firstLine="648"/>
        <w:spacing w:after="0" w:line="286" w:lineRule="auto"/>
        <w:rPr>
          <w:sz w:val="20"/>
          <w:szCs w:val="20"/>
          <w:color w:val="auto"/>
        </w:rPr>
      </w:pPr>
      <w:r>
        <w:rPr>
          <w:rFonts w:ascii="Arial" w:cs="Arial" w:eastAsia="Arial" w:hAnsi="Arial"/>
          <w:sz w:val="16"/>
          <w:szCs w:val="16"/>
          <w:color w:val="auto"/>
        </w:rPr>
        <w:t>We have established employee loyalty through the core engine of TCP and TDP programs, integral parts of our supply chain which supports our service lines. Since 2008, our talent training services have offered training courses in five areas, including domain knowledge, technology skills, data security and management compliance training, soft skills for personnel; and all levels of English language skills including verbal and writing, especially for those who need to communicate with global customers directly on daily basis. We believe the depth and comprehensive nature of our talent training services is one of the key features that distinguishes us from our competition. For the past more than ten years, the Company has been recruiting, training, developing and retaining human capital and talent.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wealth management and incorporating the cutting-edge technologies, such as JAVA, Android &amp; iOS, HTML and big data. Under the program, each year we select more than 200 students to participate in our training program. During their Junior or Senior year of university, the students in this program learn to implement the concepts covered by our TCP platform along with their other computer science theory and coursework. Later, the students join us as interns and continue improving their software development skills eventually becoming members of our development teams. As a result, the program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the banking industry.</w:t>
      </w:r>
    </w:p>
    <w:p>
      <w:pPr>
        <w:spacing w:after="0" w:line="172" w:lineRule="exact"/>
        <w:rPr>
          <w:sz w:val="20"/>
          <w:szCs w:val="20"/>
          <w:color w:val="auto"/>
        </w:rPr>
      </w:pPr>
    </w:p>
    <w:p>
      <w:pPr>
        <w:ind w:left="100" w:right="60" w:firstLine="648"/>
        <w:spacing w:after="0" w:line="279" w:lineRule="auto"/>
        <w:rPr>
          <w:sz w:val="20"/>
          <w:szCs w:val="20"/>
          <w:color w:val="auto"/>
        </w:rPr>
      </w:pPr>
      <w:r>
        <w:rPr>
          <w:rFonts w:ascii="Arial" w:cs="Arial" w:eastAsia="Arial" w:hAnsi="Arial"/>
          <w:sz w:val="17"/>
          <w:szCs w:val="17"/>
          <w:color w:val="auto"/>
        </w:rPr>
        <w:t>Our TDP program is a continuous internal training course for skilled-professionals in our company in order to better service our clients. The TDP program increases our professionals’ skillsets and business knowledge in their respective domain and technical fields. We have joined our efforts with Fudan University to support senior staff in completing their master’s degrees in their respective fields. Since 2005, through our TCP and TDP programs, we have trained and retained a large pool of specialized personnel skilled in serving financial-related industry clients.</w:t>
      </w:r>
    </w:p>
    <w:p>
      <w:pPr>
        <w:spacing w:after="0" w:line="171" w:lineRule="exact"/>
        <w:rPr>
          <w:sz w:val="20"/>
          <w:szCs w:val="20"/>
          <w:color w:val="auto"/>
        </w:rPr>
      </w:pPr>
    </w:p>
    <w:p>
      <w:pPr>
        <w:ind w:left="100" w:right="480" w:firstLine="648"/>
        <w:spacing w:after="0" w:line="312" w:lineRule="auto"/>
        <w:rPr>
          <w:sz w:val="20"/>
          <w:szCs w:val="20"/>
          <w:color w:val="auto"/>
        </w:rPr>
      </w:pPr>
      <w:r>
        <w:rPr>
          <w:rFonts w:ascii="Arial" w:cs="Arial" w:eastAsia="Arial" w:hAnsi="Arial"/>
          <w:sz w:val="16"/>
          <w:szCs w:val="16"/>
          <w:color w:val="auto"/>
        </w:rPr>
        <w:t>Benefiting from our employee loyally programs, we have established an eco-system of loyal client relationships. Employee satisfaction and enhanced career development has resulted in better service to our clients. Client satisfaction in turn motivates our employees to continue to provide superior service to our clients. In addition to employee and client satisfaction, our Company’s strengths include the following:</w:t>
      </w:r>
    </w:p>
    <w:p>
      <w:pPr>
        <w:spacing w:after="0" w:line="147" w:lineRule="exact"/>
        <w:rPr>
          <w:sz w:val="20"/>
          <w:szCs w:val="20"/>
          <w:color w:val="auto"/>
        </w:rPr>
      </w:pPr>
    </w:p>
    <w:p>
      <w:pPr>
        <w:ind w:left="760" w:hanging="33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deep sector specialization, particularly, in the banking and insurance industry;</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which have been with us since our inception;</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and Challenges</w:t>
      </w:r>
    </w:p>
    <w:p>
      <w:pPr>
        <w:spacing w:after="0" w:line="229" w:lineRule="exact"/>
        <w:rPr>
          <w:sz w:val="20"/>
          <w:szCs w:val="20"/>
          <w:color w:val="auto"/>
        </w:rPr>
      </w:pPr>
    </w:p>
    <w:p>
      <w:pPr>
        <w:ind w:left="100" w:right="20" w:firstLine="648"/>
        <w:spacing w:after="0" w:line="342" w:lineRule="auto"/>
        <w:rPr>
          <w:sz w:val="20"/>
          <w:szCs w:val="20"/>
          <w:color w:val="auto"/>
        </w:rPr>
      </w:pPr>
      <w:r>
        <w:rPr>
          <w:rFonts w:ascii="Arial" w:cs="Arial" w:eastAsia="Arial" w:hAnsi="Arial"/>
          <w:sz w:val="16"/>
          <w:szCs w:val="16"/>
          <w:color w:val="auto"/>
        </w:rPr>
        <w:t>Our prospects should be considered in light of the risks, uncertainties, expenses and difficulties frequently encountered by similar companies. Our ability to realize our business objectives and execute our strategies is subject to risks and uncertainties, including, among others, the following:</w:t>
      </w:r>
    </w:p>
    <w:p>
      <w:pPr>
        <w:spacing w:after="0" w:line="124" w:lineRule="exact"/>
        <w:rPr>
          <w:sz w:val="20"/>
          <w:szCs w:val="20"/>
          <w:color w:val="auto"/>
        </w:rPr>
      </w:pPr>
    </w:p>
    <w:p>
      <w:pPr>
        <w:ind w:left="760" w:hanging="333"/>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inability to effectively manage our rapid growth, which could place significant strain on our management personnel, systems and resources</w:t>
      </w:r>
    </w:p>
    <w:p>
      <w:pPr>
        <w:spacing w:after="0" w:line="126" w:lineRule="exact"/>
        <w:rPr>
          <w:rFonts w:ascii="Arial" w:cs="Arial" w:eastAsia="Arial" w:hAnsi="Arial"/>
          <w:sz w:val="16"/>
          <w:szCs w:val="16"/>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changes in the economic environment either in China or globally</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intense competition from onshore and offshore IT services companies</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intense competition for highly skilled personnel</w:t>
      </w:r>
    </w:p>
    <w:p>
      <w:pPr>
        <w:spacing w:after="0" w:line="103" w:lineRule="exact"/>
        <w:rPr>
          <w:rFonts w:ascii="Arial" w:cs="Arial" w:eastAsia="Arial" w:hAnsi="Arial"/>
          <w:sz w:val="18"/>
          <w:szCs w:val="18"/>
          <w:color w:val="auto"/>
        </w:rPr>
      </w:pPr>
    </w:p>
    <w:p>
      <w:pPr>
        <w:ind w:left="760" w:right="200" w:hanging="333"/>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a relatively small number of major clients, including that a single customer accounted for 38.6% and 59.2% of our total revenue for fiscal years 2017 and 2016, respectively.</w:t>
      </w:r>
    </w:p>
    <w:p>
      <w:pPr>
        <w:spacing w:after="0" w:line="48"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anticipate and develop new services and enhance existing services to keep pace with rapid changes in technology</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integrate or manage acquired companies efficiently</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new clients for our services and/or growing revenues from existing clients</w:t>
      </w:r>
    </w:p>
    <w:p>
      <w:pPr>
        <w:spacing w:after="0" w:line="103" w:lineRule="exact"/>
        <w:rPr>
          <w:rFonts w:ascii="Arial" w:cs="Arial" w:eastAsia="Arial" w:hAnsi="Arial"/>
          <w:sz w:val="18"/>
          <w:szCs w:val="18"/>
          <w:color w:val="auto"/>
        </w:rPr>
      </w:pPr>
    </w:p>
    <w:p>
      <w:pPr>
        <w:ind w:left="760" w:right="240" w:hanging="333"/>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having a long selling and implementation cycle for our services that require us to make significant resource commitments prior to realizing revenues for those services</w:t>
      </w:r>
    </w:p>
    <w:p>
      <w:pPr>
        <w:spacing w:after="0" w:line="48"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wages for professionals in China</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international nature of our business</w:t>
      </w:r>
    </w:p>
    <w:p>
      <w:pPr>
        <w:sectPr>
          <w:pgSz w:w="11900" w:h="16838" w:orient="portrait"/>
          <w:cols w:equalWidth="0" w:num="1">
            <w:col w:w="11280"/>
          </w:cols>
          <w:pgMar w:left="240" w:top="226" w:right="379" w:bottom="672"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672"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8451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140" cy="8451215"/>
                    </a:xfrm>
                    <a:prstGeom prst="rect">
                      <a:avLst/>
                    </a:prstGeom>
                    <a:noFill/>
                  </pic:spPr>
                </pic:pic>
              </a:graphicData>
            </a:graphic>
          </wp:anchor>
        </w:drawing>
      </w:r>
    </w:p>
    <w:p>
      <w:pPr>
        <w:spacing w:after="0" w:line="288" w:lineRule="exact"/>
        <w:rPr>
          <w:sz w:val="20"/>
          <w:szCs w:val="20"/>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unauthorized disclosure of sensitive and confidential information</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intellectual property infringement claims</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losses resulting from business interruptions resulting from occurrence of natural disasters, health epidemics and other outbreaks or events</w:t>
      </w:r>
    </w:p>
    <w:p>
      <w:pPr>
        <w:spacing w:after="0" w:line="236" w:lineRule="exact"/>
        <w:rPr>
          <w:rFonts w:ascii="Arial" w:cs="Arial" w:eastAsia="Arial" w:hAnsi="Arial"/>
          <w:sz w:val="17"/>
          <w:szCs w:val="17"/>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 in the value of the Renminbi and other currencies</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in telecommunications or significant failure in our IT systems that could harm our service model</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vulnerabilities to security risks that could disrupt our services and adversely affect our results of operations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addition, we face other risks and uncertainties that may materially affect our business prospect, financial condition, and results of operations.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You should consider the risks discussed in “Risk Factors” and elsewhere in this prospectus before investing in our common shares.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left="100" w:firstLine="648"/>
        <w:spacing w:after="0" w:line="264" w:lineRule="auto"/>
        <w:rPr>
          <w:sz w:val="20"/>
          <w:szCs w:val="20"/>
          <w:color w:val="auto"/>
        </w:rPr>
      </w:pPr>
      <w:r>
        <w:rPr>
          <w:rFonts w:ascii="Arial" w:cs="Arial" w:eastAsia="Arial" w:hAnsi="Arial"/>
          <w:sz w:val="18"/>
          <w:szCs w:val="18"/>
          <w:color w:val="auto"/>
        </w:rPr>
        <w:t xml:space="preserve">Our principal executive office is located on the 2nd Floor, Building 18, Shanghai Pudong Software Park, 498 Guoshoujing Road, Pudong, Shanghai 201203, PRC. Our telephone number is (+86)21-31268010. Our websites is as follows www.clpsglobal.com. </w:t>
      </w:r>
      <w:r>
        <w:rPr>
          <w:rFonts w:ascii="Arial" w:cs="Arial" w:eastAsia="Arial" w:hAnsi="Arial"/>
          <w:sz w:val="18"/>
          <w:szCs w:val="18"/>
          <w:b w:val="1"/>
          <w:bCs w:val="1"/>
          <w:color w:val="auto"/>
        </w:rPr>
        <w:t>The information on our websites</w:t>
      </w:r>
      <w:r>
        <w:rPr>
          <w:rFonts w:ascii="Arial" w:cs="Arial" w:eastAsia="Arial" w:hAnsi="Arial"/>
          <w:sz w:val="18"/>
          <w:szCs w:val="18"/>
          <w:color w:val="auto"/>
        </w:rPr>
        <w:t xml:space="preserve"> </w:t>
      </w:r>
      <w:r>
        <w:rPr>
          <w:rFonts w:ascii="Arial" w:cs="Arial" w:eastAsia="Arial" w:hAnsi="Arial"/>
          <w:sz w:val="18"/>
          <w:szCs w:val="18"/>
          <w:b w:val="1"/>
          <w:bCs w:val="1"/>
          <w:color w:val="auto"/>
        </w:rPr>
        <w:t>is not part of this prospectus.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Corporate Structure</w:t>
      </w:r>
    </w:p>
    <w:p>
      <w:pPr>
        <w:spacing w:after="0" w:line="229" w:lineRule="exact"/>
        <w:rPr>
          <w:sz w:val="20"/>
          <w:szCs w:val="20"/>
          <w:color w:val="auto"/>
        </w:rPr>
      </w:pPr>
    </w:p>
    <w:p>
      <w:pPr>
        <w:ind w:left="100" w:right="80" w:firstLine="648"/>
        <w:spacing w:after="0" w:line="277" w:lineRule="auto"/>
        <w:rPr>
          <w:sz w:val="20"/>
          <w:szCs w:val="20"/>
          <w:color w:val="auto"/>
        </w:rPr>
      </w:pPr>
      <w:r>
        <w:rPr>
          <w:rFonts w:ascii="Arial" w:cs="Arial" w:eastAsia="Arial" w:hAnsi="Arial"/>
          <w:sz w:val="18"/>
          <w:szCs w:val="18"/>
          <w:color w:val="auto"/>
        </w:rPr>
        <w:t>The following diagram illustrates our corporate structure as of the date of this prospectus. For more detail on our corporate history please refer to “Corporate History and Background” appearing on p. 53 of this prospectus.</w:t>
      </w:r>
    </w:p>
    <w:p>
      <w:pPr>
        <w:sectPr>
          <w:pgSz w:w="11900" w:h="16838" w:orient="portrait"/>
          <w:cols w:equalWidth="0" w:num="1">
            <w:col w:w="11280"/>
          </w:cols>
          <w:pgMar w:left="240" w:top="2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type w:val="continuous"/>
        </w:sectPr>
      </w:pPr>
    </w:p>
    <w:bookmarkStart w:id="11" w:name="page12"/>
    <w:bookmarkEnd w:id="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6701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140" cy="67017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100" w:right="140" w:firstLine="648"/>
        <w:spacing w:after="0" w:line="264"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or JOBS Act, enacted in April 2012, and may take advantage of reduced reporting requirements that are otherwise applicable to public companies. These provisions include, but are not limited to:</w:t>
      </w:r>
    </w:p>
    <w:p>
      <w:pPr>
        <w:spacing w:after="0" w:line="181" w:lineRule="exact"/>
        <w:rPr>
          <w:sz w:val="20"/>
          <w:szCs w:val="20"/>
          <w:color w:val="auto"/>
        </w:rPr>
      </w:pPr>
    </w:p>
    <w:p>
      <w:pPr>
        <w:ind w:left="760" w:hanging="333"/>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our SEC filings;</w:t>
      </w:r>
    </w:p>
    <w:p>
      <w:pPr>
        <w:spacing w:after="0" w:line="170" w:lineRule="exact"/>
        <w:rPr>
          <w:rFonts w:ascii="Arial" w:cs="Arial" w:eastAsia="Arial" w:hAnsi="Arial"/>
          <w:sz w:val="18"/>
          <w:szCs w:val="18"/>
          <w:color w:val="auto"/>
        </w:rPr>
      </w:pPr>
    </w:p>
    <w:p>
      <w:pPr>
        <w:ind w:left="760" w:hanging="33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periodic reports, proxy statements and registration statements; and</w:t>
      </w:r>
    </w:p>
    <w:p>
      <w:pPr>
        <w:spacing w:after="0" w:line="236" w:lineRule="exact"/>
        <w:rPr>
          <w:rFonts w:ascii="Arial" w:cs="Arial" w:eastAsia="Arial" w:hAnsi="Arial"/>
          <w:sz w:val="17"/>
          <w:szCs w:val="17"/>
          <w:color w:val="auto"/>
        </w:rPr>
      </w:pPr>
    </w:p>
    <w:p>
      <w:pPr>
        <w:ind w:left="760" w:right="320" w:hanging="333"/>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100" w:right="220" w:firstLine="648"/>
        <w:spacing w:after="0" w:line="257"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However, if certain events occur before the end of such five-year period, including if we become a “large accelerated filer,” our annual gross revenues exceed $1.07 billion or we issue more than $1.00 billion of non-convertible debt in any three-year period, we will cease to be an emerging growth company before the end of such five-year period.</w:t>
      </w:r>
    </w:p>
    <w:p>
      <w:pPr>
        <w:spacing w:after="0" w:line="188" w:lineRule="exact"/>
        <w:rPr>
          <w:sz w:val="20"/>
          <w:szCs w:val="20"/>
          <w:color w:val="auto"/>
        </w:rPr>
      </w:pPr>
    </w:p>
    <w:p>
      <w:pPr>
        <w:ind w:left="100" w:right="100" w:firstLine="648"/>
        <w:spacing w:after="0" w:line="259"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Foreign Private Issuer Status</w:t>
      </w:r>
    </w:p>
    <w:p>
      <w:pPr>
        <w:spacing w:after="0" w:line="229" w:lineRule="exact"/>
        <w:rPr>
          <w:sz w:val="20"/>
          <w:szCs w:val="20"/>
          <w:color w:val="auto"/>
        </w:rPr>
      </w:pPr>
    </w:p>
    <w:p>
      <w:pPr>
        <w:ind w:left="100" w:right="60" w:firstLine="648"/>
        <w:spacing w:after="0" w:line="272" w:lineRule="auto"/>
        <w:rPr>
          <w:sz w:val="20"/>
          <w:szCs w:val="20"/>
          <w:color w:val="auto"/>
        </w:rPr>
      </w:pPr>
      <w:r>
        <w:rPr>
          <w:rFonts w:ascii="Arial" w:cs="Arial" w:eastAsia="Arial" w:hAnsi="Arial"/>
          <w:sz w:val="17"/>
          <w:szCs w:val="17"/>
          <w:color w:val="auto"/>
        </w:rPr>
        <w:t>We are incorporated in the Cayman Islands, and more than 50 percent of our outstanding voting securities are not directly or indirectly held by residents of the United States. Therefore, we are a “foreign private issuer,” as defined in Rule 405 under the Securities Act and Rule 3b-4(c) under the Exchange Act.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Notes on Prospectus Presentation</w:t>
      </w:r>
    </w:p>
    <w:p>
      <w:pPr>
        <w:spacing w:after="0" w:line="229" w:lineRule="exact"/>
        <w:rPr>
          <w:sz w:val="20"/>
          <w:szCs w:val="20"/>
          <w:color w:val="auto"/>
        </w:rPr>
      </w:pPr>
    </w:p>
    <w:p>
      <w:pPr>
        <w:ind w:left="100" w:right="40" w:firstLine="648"/>
        <w:spacing w:after="0" w:line="255"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 Certain market data and other statistical information contained in this prospectus is based on information from independent industry organizations, publications, surveys and forecasts. Some market data and statistical information contained in this prospectus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spacing w:after="0" w:line="200" w:lineRule="exact"/>
        <w:rPr>
          <w:sz w:val="20"/>
          <w:szCs w:val="20"/>
          <w:color w:val="auto"/>
        </w:rPr>
      </w:pP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226" w:right="41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9171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140" cy="91719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00" w:right="360" w:firstLine="648"/>
        <w:spacing w:after="0" w:line="277" w:lineRule="auto"/>
        <w:rPr>
          <w:sz w:val="20"/>
          <w:szCs w:val="20"/>
          <w:color w:val="auto"/>
        </w:rPr>
      </w:pPr>
      <w:r>
        <w:rPr>
          <w:rFonts w:ascii="Arial" w:cs="Arial" w:eastAsia="Arial" w:hAnsi="Arial"/>
          <w:sz w:val="18"/>
          <w:szCs w:val="18"/>
          <w:color w:val="auto"/>
        </w:rPr>
        <w:t>For the sake of clarity, this prospectus follows the English naming convention of first name followed by last name, regardless of whether an individual’s name is Chinese or English.</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225" w:lineRule="exact"/>
        <w:rPr>
          <w:sz w:val="20"/>
          <w:szCs w:val="20"/>
          <w:color w:val="auto"/>
        </w:rPr>
      </w:pPr>
    </w:p>
    <w:p>
      <w:pPr>
        <w:ind w:left="760" w:right="320" w:hanging="333"/>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Depending on the context, the terms “we,” “us,” “our company,” and “our” refer to CLPS Incorporation, a Cayman Islands company, and its subsidiary and affiliated companies:</w:t>
      </w:r>
    </w:p>
    <w:p>
      <w:pPr>
        <w:spacing w:after="0" w:line="170"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“Qinheng” refers to Qinheng Co., Limited,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“Qiner” refers to Qiner Co., Limited,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“CLIVST” refers to CLIVST Ltd., a British Virgin Islands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“FDT-CL” refers to FDT-CL Financial Technology Services Limited,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“JQ” refers to JQ Technology Co., Limited,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“JL” refers to JIALIN Technology Limited, a Taiwan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QC (WOFE)” refers to Shanghai Qincheng Information Technology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Shanghai” refers to ChinaLink Professional Services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Dalian” refers to CLPS Dalian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RC” refers to CLPS Ruicheng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Beijing” refers to CLPS Beijing Hengtong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“Judge China” refers to Judge (Shanghai)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“Judge HR” refers to Judge (Shanghai) Human Resource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AU” refers to CLPS Technology (Australia) Pty. Ltd., an Australian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SG” refers to CLPS Technology (Singapore) Pte. Ltd., a Singaporean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Hong Kong” refers to CLPS Technology (HK) Co., Ltd.,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Shenzhen” refers to CLPS Shenzhen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“Huanyu” refers to Tianjin Huanyu Qinshang Network Technology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Guangzhou” refers to CLPS Guangzhou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“shares” and “common shares” refer to our shares, $0.0001 par value per share;</w:t>
      </w:r>
    </w:p>
    <w:p>
      <w:pPr>
        <w:spacing w:after="0" w:line="225" w:lineRule="exact"/>
        <w:rPr>
          <w:rFonts w:ascii="Arial" w:cs="Arial" w:eastAsia="Arial" w:hAnsi="Arial"/>
          <w:sz w:val="18"/>
          <w:szCs w:val="18"/>
          <w:color w:val="auto"/>
        </w:rPr>
      </w:pPr>
    </w:p>
    <w:p>
      <w:pPr>
        <w:ind w:left="1080" w:right="140" w:hanging="329"/>
        <w:spacing w:after="0" w:line="182" w:lineRule="auto"/>
        <w:tabs>
          <w:tab w:leader="none" w:pos="1080" w:val="left"/>
        </w:tabs>
        <w:numPr>
          <w:ilvl w:val="1"/>
          <w:numId w:val="9"/>
        </w:numPr>
        <w:rPr>
          <w:rFonts w:ascii="Arial" w:cs="Arial" w:eastAsia="Arial" w:hAnsi="Arial"/>
          <w:sz w:val="34"/>
          <w:szCs w:val="34"/>
          <w:color w:val="auto"/>
          <w:vertAlign w:val="subscript"/>
        </w:rPr>
      </w:pPr>
      <w:r>
        <w:rPr>
          <w:rFonts w:ascii="Arial" w:cs="Arial" w:eastAsia="Arial" w:hAnsi="Arial"/>
          <w:sz w:val="17"/>
          <w:szCs w:val="17"/>
          <w:color w:val="auto"/>
        </w:rPr>
        <w:t>“China” and “PRC” refer to the People’s Republic of China, excluding, for the purposes of this prospectus only, Macau, Taiwan and Hong Kong; and</w:t>
      </w:r>
    </w:p>
    <w:p>
      <w:pPr>
        <w:spacing w:after="0" w:line="203" w:lineRule="exact"/>
        <w:rPr>
          <w:rFonts w:ascii="Arial" w:cs="Arial" w:eastAsia="Arial" w:hAnsi="Arial"/>
          <w:sz w:val="34"/>
          <w:szCs w:val="34"/>
          <w:color w:val="auto"/>
          <w:vertAlign w:val="subscript"/>
        </w:rPr>
      </w:pPr>
    </w:p>
    <w:p>
      <w:pPr>
        <w:ind w:left="1080" w:right="100" w:hanging="329"/>
        <w:spacing w:after="0" w:line="182" w:lineRule="auto"/>
        <w:tabs>
          <w:tab w:leader="none" w:pos="1080" w:val="left"/>
        </w:tabs>
        <w:numPr>
          <w:ilvl w:val="1"/>
          <w:numId w:val="9"/>
        </w:numPr>
        <w:rPr>
          <w:rFonts w:ascii="Arial" w:cs="Arial" w:eastAsia="Arial" w:hAnsi="Arial"/>
          <w:sz w:val="34"/>
          <w:szCs w:val="34"/>
          <w:color w:val="auto"/>
          <w:vertAlign w:val="subscript"/>
        </w:rPr>
      </w:pPr>
      <w:r>
        <w:rPr>
          <w:rFonts w:ascii="Arial" w:cs="Arial" w:eastAsia="Arial" w:hAnsi="Arial"/>
          <w:sz w:val="17"/>
          <w:szCs w:val="17"/>
          <w:color w:val="auto"/>
        </w:rPr>
        <w:t>all references to “RMB,” “yuan” and “Renminbi” are to the legal currency of China, and all references to “USD,” and “U.S. dollars” are to the legal currency of the United States.</w:t>
      </w:r>
    </w:p>
    <w:p>
      <w:pPr>
        <w:spacing w:after="0" w:line="204" w:lineRule="exact"/>
        <w:rPr>
          <w:sz w:val="20"/>
          <w:szCs w:val="20"/>
          <w:color w:val="auto"/>
        </w:rPr>
      </w:pPr>
    </w:p>
    <w:p>
      <w:pPr>
        <w:ind w:left="100" w:right="200" w:firstLine="648"/>
        <w:spacing w:after="0" w:line="277" w:lineRule="auto"/>
        <w:rPr>
          <w:sz w:val="20"/>
          <w:szCs w:val="20"/>
          <w:color w:val="auto"/>
        </w:rPr>
      </w:pPr>
      <w:r>
        <w:rPr>
          <w:rFonts w:ascii="Arial" w:cs="Arial" w:eastAsia="Arial" w:hAnsi="Arial"/>
          <w:sz w:val="18"/>
          <w:szCs w:val="18"/>
          <w:color w:val="auto"/>
        </w:rPr>
        <w:t>Unless otherwise noted, all currency figures in this filing are in U.S. dollars. Any discrepancies in any table between the amounts identified as total amounts and the sum of the amounts listed therein are due to rounding.</w:t>
      </w:r>
    </w:p>
    <w:p>
      <w:pPr>
        <w:spacing w:after="0" w:line="170" w:lineRule="exact"/>
        <w:rPr>
          <w:sz w:val="20"/>
          <w:szCs w:val="20"/>
          <w:color w:val="auto"/>
        </w:rPr>
      </w:pPr>
    </w:p>
    <w:p>
      <w:pPr>
        <w:ind w:left="100" w:firstLine="648"/>
        <w:spacing w:after="0" w:line="255" w:lineRule="auto"/>
        <w:rPr>
          <w:sz w:val="20"/>
          <w:szCs w:val="20"/>
          <w:color w:val="auto"/>
        </w:rPr>
      </w:pPr>
      <w:r>
        <w:rPr>
          <w:rFonts w:ascii="Arial" w:cs="Arial" w:eastAsia="Arial" w:hAnsi="Arial"/>
          <w:sz w:val="18"/>
          <w:szCs w:val="18"/>
          <w:color w:val="auto"/>
        </w:rPr>
        <w:t>Our reporting currency is U.S. dollar and our functional currency is Renminbi. This prospectus contains translations of certain foreign currency amounts into U.S. dollars for the convenience of the reader. Other than in accordance with relevant accounting rules and as otherwise stated, all translations of Renminbi into U.S. dollars in this prospectus were made at the rate of RMB6.7793 to USD1.00, the noon buying rate on June 30, 2017,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prospectus could have been or could be converted into U.S. dollars or Renminbi, as the case may be, at any particular rate or at all.</w:t>
      </w:r>
    </w:p>
    <w:p>
      <w:pPr>
        <w:sectPr>
          <w:pgSz w:w="11900" w:h="16838" w:orient="portrait"/>
          <w:cols w:equalWidth="0" w:num="1">
            <w:col w:w="11180"/>
          </w:cols>
          <w:pgMar w:left="240" w:top="226" w:right="479" w:bottom="753"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226" w:right="479" w:bottom="753" w:gutter="0" w:footer="0" w:header="0"/>
          <w:type w:val="continuous"/>
        </w:sectPr>
      </w:pPr>
    </w:p>
    <w:bookmarkStart w:id="13" w:name="page14"/>
    <w:bookmarkEnd w:id="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146685</wp:posOffset>
            </wp:positionV>
            <wp:extent cx="7147560" cy="7113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7560" cy="711327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5" w:lineRule="exact"/>
        <w:rPr>
          <w:sz w:val="20"/>
          <w:szCs w:val="20"/>
          <w:color w:val="auto"/>
        </w:r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Shares Offered</w:t>
      </w:r>
      <w:r>
        <w:rPr>
          <w:sz w:val="20"/>
          <w:szCs w:val="20"/>
          <w:color w:val="auto"/>
        </w:rPr>
        <w:tab/>
      </w:r>
      <w:r>
        <w:rPr>
          <w:rFonts w:ascii="Arial" w:cs="Arial" w:eastAsia="Arial" w:hAnsi="Arial"/>
          <w:sz w:val="16"/>
          <w:szCs w:val="16"/>
          <w:color w:val="auto"/>
        </w:rPr>
        <w:t>[_] common shares</w:t>
      </w:r>
    </w:p>
    <w:p>
      <w:pPr>
        <w:spacing w:after="0" w:line="225" w:lineRule="exact"/>
        <w:rPr>
          <w:sz w:val="20"/>
          <w:szCs w:val="20"/>
          <w:color w:val="auto"/>
        </w:r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Over-allotment Option</w:t>
      </w:r>
      <w:r>
        <w:rPr>
          <w:sz w:val="20"/>
          <w:szCs w:val="20"/>
          <w:color w:val="auto"/>
        </w:rPr>
        <w:tab/>
      </w:r>
      <w:r>
        <w:rPr>
          <w:rFonts w:ascii="Arial" w:cs="Arial" w:eastAsia="Arial" w:hAnsi="Arial"/>
          <w:sz w:val="16"/>
          <w:szCs w:val="16"/>
          <w:color w:val="auto"/>
        </w:rPr>
        <w:t>We have granted the underwriters 45 days from the date of this prospectus, to</w:t>
      </w:r>
    </w:p>
    <w:p>
      <w:pPr>
        <w:spacing w:after="0" w:line="27" w:lineRule="exact"/>
        <w:rPr>
          <w:sz w:val="20"/>
          <w:szCs w:val="20"/>
          <w:color w:val="auto"/>
        </w:rPr>
      </w:pPr>
    </w:p>
    <w:p>
      <w:pPr>
        <w:ind w:left="5160" w:right="120"/>
        <w:spacing w:after="0" w:line="261" w:lineRule="auto"/>
        <w:rPr>
          <w:sz w:val="20"/>
          <w:szCs w:val="20"/>
          <w:color w:val="auto"/>
        </w:rPr>
      </w:pPr>
      <w:r>
        <w:rPr>
          <w:rFonts w:ascii="Arial" w:cs="Arial" w:eastAsia="Arial" w:hAnsi="Arial"/>
          <w:sz w:val="18"/>
          <w:szCs w:val="18"/>
          <w:color w:val="auto"/>
        </w:rPr>
        <w:t>purchase up to an additional [_] shares on the same terms as the other shares being purchased by the underwriters from us.</w:t>
      </w:r>
    </w:p>
    <w:p>
      <w:pPr>
        <w:sectPr>
          <w:pgSz w:w="11900" w:h="16838" w:orient="portrait"/>
          <w:cols w:equalWidth="0" w:num="1">
            <w:col w:w="11220"/>
          </w:cols>
          <w:pgMar w:left="240" w:top="226" w:right="439" w:bottom="1440" w:gutter="0" w:footer="0" w:header="0"/>
        </w:sectPr>
      </w:pPr>
    </w:p>
    <w:p>
      <w:pPr>
        <w:spacing w:after="0" w:line="180" w:lineRule="exact"/>
        <w:rPr>
          <w:sz w:val="20"/>
          <w:szCs w:val="20"/>
          <w:color w:val="auto"/>
        </w:rPr>
      </w:pPr>
    </w:p>
    <w:p>
      <w:pPr>
        <w:ind w:left="180" w:right="1280"/>
        <w:spacing w:after="0" w:line="516" w:lineRule="auto"/>
        <w:rPr>
          <w:sz w:val="20"/>
          <w:szCs w:val="20"/>
          <w:color w:val="auto"/>
        </w:rPr>
      </w:pPr>
      <w:r>
        <w:rPr>
          <w:rFonts w:ascii="Arial" w:cs="Arial" w:eastAsia="Arial" w:hAnsi="Arial"/>
          <w:sz w:val="18"/>
          <w:szCs w:val="18"/>
          <w:b w:val="1"/>
          <w:bCs w:val="1"/>
          <w:color w:val="auto"/>
        </w:rPr>
        <w:t>Shares outstanding before this offering Shares outstanding after this offering Use of Proceeds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[_]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 shares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estimate that our net proceeds from this offering will be approximately $[_] million, based on an assumed initial public offering price of $[_] per share, which is the midpoint of the range set forth on the cover page of this prospectus, and after deducting estimated underwriting discounts and commissions and estimated offering expenses and assuming no exercise of the over-allotment option granted to the underwriters. We intend to use the net proceeds from this offering for global expansion, R&amp;D, talent development and working capital and general corporate purposes. See “Use of Proceeds” for more information.</w:t>
      </w:r>
    </w:p>
    <w:p>
      <w:pPr>
        <w:spacing w:after="0" w:line="175" w:lineRule="exact"/>
        <w:rPr>
          <w:sz w:val="20"/>
          <w:szCs w:val="20"/>
          <w:color w:val="auto"/>
        </w:rPr>
      </w:pPr>
    </w:p>
    <w:p>
      <w:pPr>
        <w:sectPr>
          <w:pgSz w:w="11900" w:h="16838" w:orient="portrait"/>
          <w:cols w:equalWidth="0" w:num="2">
            <w:col w:w="4440" w:space="720"/>
            <w:col w:w="6060"/>
          </w:cols>
          <w:pgMar w:left="240" w:top="226" w:right="439" w:bottom="1440" w:gutter="0" w:footer="0" w:header="0"/>
          <w:type w:val="continuous"/>
        </w:sect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Underwriters’ Warrants</w:t>
      </w:r>
      <w:r>
        <w:rPr>
          <w:sz w:val="20"/>
          <w:szCs w:val="20"/>
          <w:color w:val="auto"/>
        </w:rPr>
        <w:tab/>
      </w:r>
      <w:r>
        <w:rPr>
          <w:rFonts w:ascii="Arial" w:cs="Arial" w:eastAsia="Arial" w:hAnsi="Arial"/>
          <w:sz w:val="16"/>
          <w:szCs w:val="16"/>
          <w:color w:val="auto"/>
        </w:rPr>
        <w:t>Upon the closing of this offering, we will issue to Cuttone &amp; Co., LLC and The</w:t>
      </w:r>
    </w:p>
    <w:p>
      <w:pPr>
        <w:spacing w:after="0" w:line="27" w:lineRule="exact"/>
        <w:rPr>
          <w:sz w:val="20"/>
          <w:szCs w:val="20"/>
          <w:color w:val="auto"/>
        </w:rPr>
      </w:pPr>
    </w:p>
    <w:p>
      <w:pPr>
        <w:ind w:left="5160"/>
        <w:spacing w:after="0" w:line="252" w:lineRule="auto"/>
        <w:rPr>
          <w:sz w:val="20"/>
          <w:szCs w:val="20"/>
          <w:color w:val="auto"/>
        </w:rPr>
      </w:pPr>
      <w:r>
        <w:rPr>
          <w:rFonts w:ascii="Arial" w:cs="Arial" w:eastAsia="Arial" w:hAnsi="Arial"/>
          <w:sz w:val="18"/>
          <w:szCs w:val="18"/>
          <w:color w:val="auto"/>
        </w:rPr>
        <w:t>Benchmark Company, LLC, as representatives of the underwriters, warrants entitling the representatives to purchase: (i) up to 5% of the number of common shares sold to investors introduced by the underwriters in this offering; and (ii) up to 3% of the number of common shares issued to investors identified by the Company in this offering. The warrants shall be exercisable for a period of five years from the effective date of the Registration Statement on Form F-1 of which this prospectus forms a part.</w:t>
      </w:r>
    </w:p>
    <w:p>
      <w:pPr>
        <w:spacing w:after="0" w:line="189" w:lineRule="exact"/>
        <w:rPr>
          <w:sz w:val="20"/>
          <w:szCs w:val="20"/>
          <w:color w:val="auto"/>
        </w:r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NASDAQ Trading symbol</w:t>
      </w:r>
      <w:r>
        <w:rPr>
          <w:sz w:val="20"/>
          <w:szCs w:val="20"/>
          <w:color w:val="auto"/>
        </w:rPr>
        <w:tab/>
      </w:r>
      <w:r>
        <w:rPr>
          <w:rFonts w:ascii="Arial" w:cs="Arial" w:eastAsia="Arial" w:hAnsi="Arial"/>
          <w:sz w:val="16"/>
          <w:szCs w:val="16"/>
          <w:color w:val="auto"/>
        </w:rPr>
        <w:t>We intend to apply for listing of our common shares on the NASDAQ Capital</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Market under the symbol “CLPS”.</w:t>
      </w:r>
    </w:p>
    <w:p>
      <w:pPr>
        <w:spacing w:after="0" w:line="207" w:lineRule="exact"/>
        <w:rPr>
          <w:sz w:val="20"/>
          <w:szCs w:val="20"/>
          <w:color w:val="auto"/>
        </w:r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5"/>
          <w:szCs w:val="15"/>
          <w:b w:val="1"/>
          <w:bCs w:val="1"/>
          <w:color w:val="auto"/>
        </w:rPr>
        <w:t xml:space="preserve">Investing in these securities involves a high degree of risk. </w:t>
      </w:r>
      <w:r>
        <w:rPr>
          <w:rFonts w:ascii="Arial" w:cs="Arial" w:eastAsia="Arial" w:hAnsi="Arial"/>
          <w:sz w:val="15"/>
          <w:szCs w:val="15"/>
          <w:color w:val="auto"/>
        </w:rPr>
        <w:t>As an investor, you</w:t>
      </w:r>
    </w:p>
    <w:p>
      <w:pPr>
        <w:spacing w:after="0" w:line="27" w:lineRule="exact"/>
        <w:rPr>
          <w:sz w:val="20"/>
          <w:szCs w:val="20"/>
          <w:color w:val="auto"/>
        </w:rPr>
      </w:pPr>
    </w:p>
    <w:p>
      <w:pPr>
        <w:ind w:left="5160" w:right="220"/>
        <w:spacing w:after="0" w:line="255" w:lineRule="auto"/>
        <w:rPr>
          <w:sz w:val="20"/>
          <w:szCs w:val="20"/>
          <w:color w:val="auto"/>
        </w:rPr>
      </w:pPr>
      <w:r>
        <w:rPr>
          <w:rFonts w:ascii="Arial" w:cs="Arial" w:eastAsia="Arial" w:hAnsi="Arial"/>
          <w:sz w:val="18"/>
          <w:szCs w:val="18"/>
          <w:color w:val="auto"/>
        </w:rPr>
        <w:t>should be able to bear a complete loss of your investment. You should carefully consider the information set forth in the “Risk Factors” section of this prospectus before deciding to invest in our common shares.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180" w:right="60" w:firstLine="648"/>
        <w:spacing w:after="0" w:line="293" w:lineRule="auto"/>
        <w:rPr>
          <w:sz w:val="20"/>
          <w:szCs w:val="20"/>
          <w:color w:val="auto"/>
        </w:rPr>
      </w:pPr>
      <w:r>
        <w:rPr>
          <w:rFonts w:ascii="Arial" w:cs="Arial" w:eastAsia="Arial" w:hAnsi="Arial"/>
          <w:sz w:val="16"/>
          <w:szCs w:val="16"/>
          <w:color w:val="auto"/>
        </w:rPr>
        <w:t>The following summary consolidated statements of operations and cash flow data for the years ended June 30, 2017 and 2016 and the summary consolidated balance sheet data as of June 30, 2017 and June 30, 2016 have been derived from our audited consolidated financial statements included elsewhere in this prospectus. You should read the summary consolidated financial data in conjunction with those financial statements and the accompanying notes and “Management’s Discussion and Analysis of Financial Condition and Results of Operations.” Our consolidated financial statements are prepared and presented in accordance with United States generally accepted accounting principles, or U.S. GAAP, our consolidated financial statements have been prepared as if the current corporate structure had been in existence throughout the periods presented.</w:t>
      </w:r>
    </w:p>
    <w:p>
      <w:pPr>
        <w:spacing w:after="0" w:line="165" w:lineRule="exact"/>
        <w:rPr>
          <w:sz w:val="20"/>
          <w:szCs w:val="20"/>
          <w:color w:val="auto"/>
        </w:rPr>
      </w:pPr>
    </w:p>
    <w:p>
      <w:pPr>
        <w:ind w:left="180" w:right="260" w:firstLine="648"/>
        <w:spacing w:after="0" w:line="312" w:lineRule="auto"/>
        <w:rPr>
          <w:sz w:val="20"/>
          <w:szCs w:val="20"/>
          <w:color w:val="auto"/>
        </w:rPr>
      </w:pPr>
      <w:r>
        <w:rPr>
          <w:rFonts w:ascii="Arial" w:cs="Arial" w:eastAsia="Arial" w:hAnsi="Arial"/>
          <w:sz w:val="16"/>
          <w:szCs w:val="16"/>
          <w:color w:val="auto"/>
        </w:rPr>
        <w:t>Our management believes that the assumptions underlying our financial statements and the above allocations are reasonable. Our financial statements, however, may not necessarily reflect our results of operations, financial position and cash flows as if we had operated as a separate, stand-alone company during the periods presented. You should not view our historical results as an indicator of our future performance.</w:t>
      </w:r>
    </w:p>
    <w:p>
      <w:pPr>
        <w:spacing w:after="0" w:line="200" w:lineRule="exact"/>
        <w:rPr>
          <w:sz w:val="20"/>
          <w:szCs w:val="20"/>
          <w:color w:val="auto"/>
        </w:rPr>
      </w:pPr>
    </w:p>
    <w:p>
      <w:pPr>
        <w:spacing w:after="0" w:line="3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226" w:right="439" w:bottom="1440"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327025</wp:posOffset>
            </wp:positionV>
            <wp:extent cx="7147560" cy="8125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7560" cy="812546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presents our summary consolidated statements of comprehensive income for the fiscal years ended June 30, 2017 and 2016.</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Selected Consolidated Statement of Comprehensive Income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U.S. dollars, except number of shares)</w:t>
      </w: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color w:val="auto"/>
              </w:rPr>
              <w:t>For the years ended</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31,361,976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29,024,178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r>
              <w:rPr>
                <w:rFonts w:ascii="Arial" w:cs="Arial" w:eastAsia="Arial" w:hAnsi="Arial"/>
                <w:sz w:val="18"/>
                <w:szCs w:val="18"/>
                <w:color w:val="auto"/>
              </w:rPr>
              <w:t>Less: Cost of revenues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(18,669,812)</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0"/>
              </w:rPr>
              <w:t>(17,463,416)</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11,560,762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1,206,493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413,016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4,232,788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5,579,058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5,647,790</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4,955,037</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11,087,071</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10,947,111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3" w:lineRule="exact"/>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1,605,093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613,651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508,187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(10,469)</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16"/>
        </w:trPr>
        <w:tc>
          <w:tcPr>
            <w:tcW w:w="8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2,102,811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2,054,124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(118,546)</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269,153</w:t>
            </w:r>
          </w:p>
        </w:tc>
        <w:tc>
          <w:tcPr>
            <w:tcW w:w="0" w:type="dxa"/>
            <w:vAlign w:val="bottom"/>
          </w:tcPr>
          <w:p>
            <w:pPr>
              <w:spacing w:after="0"/>
              <w:rPr>
                <w:sz w:val="1"/>
                <w:szCs w:val="1"/>
                <w:color w:val="auto"/>
              </w:rPr>
            </w:pPr>
          </w:p>
        </w:tc>
      </w:tr>
      <w:tr>
        <w:trPr>
          <w:trHeight w:val="203"/>
        </w:trPr>
        <w:tc>
          <w:tcPr>
            <w:tcW w:w="83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2,221,357</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1,784,971</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173,912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(41,141)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2,047,445</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1,826,112</w:t>
            </w:r>
          </w:p>
        </w:tc>
        <w:tc>
          <w:tcPr>
            <w:tcW w:w="0" w:type="dxa"/>
            <w:vAlign w:val="bottom"/>
          </w:tcPr>
          <w:p>
            <w:pPr>
              <w:spacing w:after="0"/>
              <w:rPr>
                <w:sz w:val="1"/>
                <w:szCs w:val="1"/>
                <w:color w:val="auto"/>
              </w:rPr>
            </w:pPr>
          </w:p>
        </w:tc>
      </w:tr>
      <w:tr>
        <w:trPr>
          <w:trHeight w:val="216"/>
        </w:trPr>
        <w:tc>
          <w:tcPr>
            <w:tcW w:w="8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(387,100)</w:t>
            </w:r>
          </w:p>
        </w:tc>
        <w:tc>
          <w:tcPr>
            <w:tcW w:w="0" w:type="dxa"/>
            <w:vAlign w:val="bottom"/>
          </w:tcPr>
          <w:p>
            <w:pPr>
              <w:spacing w:after="0"/>
              <w:rPr>
                <w:sz w:val="1"/>
                <w:szCs w:val="1"/>
                <w:color w:val="auto"/>
              </w:rPr>
            </w:pPr>
          </w:p>
        </w:tc>
      </w:tr>
      <w:tr>
        <w:trPr>
          <w:trHeight w:val="162"/>
        </w:trPr>
        <w:tc>
          <w:tcPr>
            <w:tcW w:w="8360" w:type="dxa"/>
            <w:vAlign w:val="bottom"/>
            <w:vMerge w:val="restart"/>
          </w:tcPr>
          <w:p>
            <w:pPr>
              <w:spacing w:after="0"/>
              <w:rPr>
                <w:sz w:val="20"/>
                <w:szCs w:val="20"/>
                <w:color w:val="auto"/>
              </w:rPr>
            </w:pPr>
            <w:r>
              <w:rPr>
                <w:rFonts w:ascii="Arial" w:cs="Arial" w:eastAsia="Arial" w:hAnsi="Arial"/>
                <w:sz w:val="18"/>
                <w:szCs w:val="18"/>
                <w:color w:val="auto"/>
              </w:rPr>
              <w:t>Less: foreign currency translation (loss) gain attributable to Non-controlling interest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1,732</w:t>
            </w:r>
          </w:p>
        </w:tc>
        <w:tc>
          <w:tcPr>
            <w:tcW w:w="2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83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tcPr>
          <w:p>
            <w:pPr>
              <w:jc w:val="right"/>
              <w:ind w:right="40"/>
              <w:spacing w:after="0" w:line="68" w:lineRule="exact"/>
              <w:rPr>
                <w:sz w:val="20"/>
                <w:szCs w:val="20"/>
                <w:color w:val="auto"/>
              </w:rPr>
            </w:pPr>
            <w:r>
              <w:rPr>
                <w:rFonts w:ascii="Arial" w:cs="Arial" w:eastAsia="Arial" w:hAnsi="Arial"/>
                <w:sz w:val="7"/>
                <w:szCs w:val="7"/>
                <w:color w:val="auto"/>
              </w:rPr>
              <w:t>(1,471</w:t>
            </w:r>
          </w:p>
        </w:tc>
        <w:tc>
          <w:tcPr>
            <w:tcW w:w="0" w:type="dxa"/>
            <w:vAlign w:val="bottom"/>
          </w:tcPr>
          <w:p>
            <w:pPr>
              <w:spacing w:after="0"/>
              <w:rPr>
                <w:sz w:val="1"/>
                <w:szCs w:val="1"/>
                <w:color w:val="auto"/>
              </w:rPr>
            </w:pPr>
          </w:p>
        </w:tc>
      </w:tr>
      <w:tr>
        <w:trPr>
          <w:trHeight w:val="250"/>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attributable to CLPS Incorporation’s shareholders</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(94,909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(385,629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1,952,536</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1,440,483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175,644</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(42,612)</w:t>
            </w:r>
          </w:p>
        </w:tc>
        <w:tc>
          <w:tcPr>
            <w:tcW w:w="0" w:type="dxa"/>
            <w:vAlign w:val="bottom"/>
          </w:tcPr>
          <w:p>
            <w:pPr>
              <w:spacing w:after="0"/>
              <w:rPr>
                <w:sz w:val="1"/>
                <w:szCs w:val="1"/>
                <w:color w:val="auto"/>
              </w:rPr>
            </w:pPr>
          </w:p>
        </w:tc>
      </w:tr>
      <w:tr>
        <w:trPr>
          <w:trHeight w:val="291"/>
        </w:trPr>
        <w:tc>
          <w:tcPr>
            <w:tcW w:w="836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2,128,180</w:t>
            </w:r>
          </w:p>
        </w:tc>
        <w:tc>
          <w:tcPr>
            <w:tcW w:w="20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1,397,871</w:t>
            </w:r>
          </w:p>
        </w:tc>
        <w:tc>
          <w:tcPr>
            <w:tcW w:w="12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360" w:type="dxa"/>
            <w:vAlign w:val="bottom"/>
          </w:tcPr>
          <w:p>
            <w:pPr>
              <w:spacing w:after="0"/>
              <w:rPr>
                <w:sz w:val="20"/>
                <w:szCs w:val="20"/>
                <w:color w:val="auto"/>
              </w:rPr>
            </w:pPr>
            <w:r>
              <w:rPr>
                <w:rFonts w:ascii="Arial" w:cs="Arial" w:eastAsia="Arial" w:hAnsi="Arial"/>
                <w:sz w:val="18"/>
                <w:szCs w:val="18"/>
                <w:color w:val="auto"/>
              </w:rPr>
              <w:t>Basic and diluted earnings per common share *</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 and diluted</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11,290,000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360" w:type="dxa"/>
            <w:vAlign w:val="bottom"/>
            <w:vMerge w:val="restart"/>
          </w:tcPr>
          <w:p>
            <w:pPr>
              <w:spacing w:after="0"/>
              <w:rPr>
                <w:sz w:val="20"/>
                <w:szCs w:val="20"/>
                <w:color w:val="auto"/>
              </w:rPr>
            </w:pPr>
            <w:r>
              <w:rPr>
                <w:rFonts w:ascii="Arial" w:cs="Arial" w:eastAsia="Arial" w:hAnsi="Arial"/>
                <w:sz w:val="18"/>
                <w:szCs w:val="18"/>
                <w:color w:val="auto"/>
                <w:w w:val="97"/>
              </w:rPr>
              <w:t>* The shares and per share data are presented on a retroactive basis to reflect the nominal share issuance.</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tcPr>
          <w:p>
            <w:pPr>
              <w:ind w:left="640"/>
              <w:spacing w:after="0"/>
              <w:rPr>
                <w:sz w:val="20"/>
                <w:szCs w:val="20"/>
                <w:color w:val="auto"/>
              </w:rPr>
            </w:pPr>
            <w:r>
              <w:rPr>
                <w:rFonts w:ascii="Arial" w:cs="Arial" w:eastAsia="Arial" w:hAnsi="Arial"/>
                <w:sz w:val="18"/>
                <w:szCs w:val="18"/>
                <w:color w:val="auto"/>
                <w:w w:val="91"/>
              </w:rPr>
              <w:t>The following table presents our summary consolidated balance sheet data as of June 30, 2017 and 2016.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8"/>
                <w:szCs w:val="18"/>
                <w:color w:val="auto"/>
              </w:rPr>
              <w:t>As of June 30,</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4,814,568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12,325,296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9,910,841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13,521,923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10,471,529</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Total Liabilities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8,210,625</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6,264,005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CLPS Incorporation’s Shareholders'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4,834,188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477,110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5,311,298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13,521,923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10,471,529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226" w:right="419" w:bottom="1440" w:gutter="0" w:footer="0" w:header="0"/>
        </w:sectPr>
      </w:pPr>
    </w:p>
    <w:p>
      <w:pPr>
        <w:spacing w:after="0" w:line="8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226" w:right="419" w:bottom="1440"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Investment in our securities involves a high degree of risk. You should carefully consider the risks described below together with all of the other information included in this prospectus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 You should not invest in this offering unless you can afford to lose your entire investment.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may be unable to effectively manage our rapid growth, which could place significant strain on our management personnel, systems and resources. We may not be able to achieve anticipated growth, which could materially and adversely affect our business and prospects.</w:t>
      </w:r>
    </w:p>
    <w:p>
      <w:pPr>
        <w:spacing w:after="0" w:line="7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have experienced rapid growth and significantly expanded our business recently. Our revenues grew from $29.0 million in fiscal 2016 to $31.4 million in fiscal 2017. As of the date of this prospectus, we maintain eleven delivery and or R&amp;D centers, of which seven are located in China (Shanghai, Beijing, Dalian, Tianjin, Chengdu, Guangzhou and Shezhen) and four are located globally (Hong Kong, Taiwan, Singapore and Australia), to serve different customers in various geographic locations. The number of our total employees grew from 1,055 in fiscal 2016 to 1,248 in fiscal 2017. As of November 30, 2017 we have 1,487 full-time employees. We are actively looking at additional locations to establish new offices and expand our current offices and sales and delivery centers. We intend to continue our expansion in the foreseeable future to pursue existing and potential market opportunities. Our rapid growth has placed and will continue to place significant demands on our management and our administrative, operational and financial infrastructure. Continued expansion increases the challenges we face in:</w:t>
      </w:r>
    </w:p>
    <w:p>
      <w:pPr>
        <w:spacing w:after="0" w:line="1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recruiting, training, developing and retaining sufficient skilled technical, sales and management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creating and capitalizing upon economies of scale;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a larger number of clients in a greater number of industries and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effective oversight of personnel and offices;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coordinating work among offices and project teams and maintaining high resource utilization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new management personnel and expanded operations while preserving our culture and values;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improving our internal administrative infrastructure, particularly our financial, operational, human resources, communications and other internal systems, procedures and controls;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adhering to and further improving our high quality and process execution standards and maintaining high levels of client satisfaction.</w:t>
      </w:r>
    </w:p>
    <w:p>
      <w:pPr>
        <w:spacing w:after="0" w:line="15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problems associated with expansion, our business, results of operations and financial condition could be materially and adversely affected. Furthermore, we may not be able to achieve anticipated growth, which could materially and adversely affect our business and prospects.</w:t>
      </w:r>
    </w:p>
    <w:p>
      <w:pPr>
        <w:spacing w:after="0" w:line="1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Adverse changes in the economic environment, either in China or globally, could reduce our clients’ purchases from us and increase pricing pressure, which could materially and adversely affect our revenues and results of operations.</w:t>
      </w:r>
    </w:p>
    <w:p>
      <w:pPr>
        <w:spacing w:after="0" w:line="8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IT services industry is particularly sensitive to the economic environment, either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defer their IT spending or change their IT outsourcing strategy, and reduce their purchases from us. The recent global economic slowdown and any future economic slowdown, and the resulting diminution in IT spending, could also lead to increased pricing pressure from our clients. The occurrence of any of these events could materially and adversely affect our revenues and results of operations.</w:t>
      </w:r>
    </w:p>
    <w:p>
      <w:pPr>
        <w:spacing w:after="0" w:line="12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onshore and offshore IT services companies, and, if we are unable to compete effectively, we may lose clients and our revenues may decline.</w:t>
      </w:r>
    </w:p>
    <w:p>
      <w:pPr>
        <w:spacing w:after="0" w:line="10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sectPr>
          <w:pgSz w:w="11900" w:h="16838" w:orient="portrait"/>
          <w:cols w:equalWidth="0" w:num="1">
            <w:col w:w="11420"/>
          </w:cols>
          <w:pgMar w:left="240" w:top="226" w:right="23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spacing w:after="0" w:line="14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attrition rates were 18% and 15% per annum in 2016 and 2017, respectively. We may encounter higher attrition rates in the future, particularly if China continues to experience strong economic growth.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We have established TCP and TDP programs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success depends substantially on the continuing efforts of our senior executives and other key personnel, and our business may be severely disrupted if we lose their services.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future success heavily depends upon the continued services of our senior executives and other key employees. In particular, we rely on the expertise, experience, client relationships and reputation of Xiao Feng Yang, our Chairman, president and director. We currently do not maintain key 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where most of these executive officers and key employees reside, in light of the uncertainties with China’s legal system.</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generate a significant portion of our revenues from a relatively small number of major clients and loss of business from these clients could reduce our revenues and significantly harm our business.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have derived, and believe that in the foreseeable future we will continue to derive, a significant portion of our revenues from a small number of major clients. For the years ended June 30, 2017 and 2016, an unrelated international bank with its affiliates accounted for 38.6% and 59.2% of the Company’s total revenues, respectively. For fiscal 2017 and 2016, substantially all the service provided by the Company to this customer and its affiliates was IT consulting service and billed through time-and-expense contracts. The Company has not entered into any material long term contracts with this customer and its affiliates. 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team for our service agreements is between 1 and 3 years. A major client in one year may not provide the same level of revenues for us in any subsequent year. The IT services we provide to our clients, and the revenues and income from those services, may decline or vary as the type and quantity of IT services we provide changes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In the future, a small number of customers may continue to represent a significant portion of our total revenues in any given period. The loss of any of our major clients could adversely affect our financial condition and results of operations.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collect our receivables from our clients, our results of operations and cash flows could be adversely affected.</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business depends on our ability to successfully obtain payment from our clients of the amounts they owe us for work performed. As of June 30, 2017 and 2016, our accounts receivable balance, net of allowance, amounted to approximately $6.6 million and $4.4 million, respectively. For the year ended June 30, 2017, one customer and its affiliates accounted for 39.1% of the Company’s total accounts receivable balance. For the year ended June 30, 2016, two customers and its affiliates accounted for 47.3% and 10.0% of the Company’s total accounts receivable balance, respectively. Since we generally do not require collateral or other security from our clients, we establish an allowance for doubtful accounts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growth and success of our business depends on our ability to anticipate and develop new services and enhance existing services in order to keep pace with rapid changes in technology and in the industries we focus on.</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market for our services is characterized by rapid technological change, evolving industry standards, changing client preferences and new product and service introductions. Our future growth and success depend significantly on our ability to anticipate developments in IT services, and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unsuccessful in entering into strategic alliances or identifying and acquiring suitable acquisition candidates, which could impede our growth and negatively affect our revenues and net income.</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operations, services and personnel in a timely and efficient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or undisclosed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generating sufficient revenue and net income to offset acquisition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or harm to, employee or client relationships;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properly structuring our acquisition consideration and any related post-acquisition earn-outs and successfully monitoring any earn-out calculations and payments;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key senior management and key sales and marketing and research and development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incompatibility of solutions, services and technology or corporate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consolidating and rationalizing corporate, information technology and administrative infrastructures;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and documenting processes and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entry into unfamiliar markets; and</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complexity from potentially operating additional geographically dispersed sites, particularly if we acquire a company or business with facilities or operations outside of China.</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do not succeed in attracting new clients for our services and or growing revenues from existing clients, we may not achieve our revenue growth goals.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plan to significantly expand the number of clients we serve to diversify our client base and grow our revenues. Revenues from a new client often rise quickly over the first several years following our initial engagement as we expand the services that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As a result of our significant recent growth, evaluating our business and prospects may be difficult and our past results may not be indicative of our future performance.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success depends on our ability to significantly increase revenue and maintain profitability from our operations. Our business has grown and evolved significantly in recent years. Our growth in recent years makes it difficult to evaluate our historical performance and make a period-to-period comparison of our historical operating results less meaningful.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spacing w:after="0" w:line="18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uncertainties associated with our ability to continue our growth and maintain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preserving our competitive position in the IT services industry in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offering consistent and high-quality services to retain and attract clients;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implementing our strategy and modifying it from time to time to respond effectively to competition and changes in client preferences;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our expanding operations and successfully expanding our solution and service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responding in a timely manner to technological or other changes in the IT services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risks associated with intellectual property;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recruiting, training, developing and retaining qualified managerial and other personnel.</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If we are unsuccessful in addressing any of these risks or challenges, our business may be materially and adversely affected.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risks associated with having a long selling and implementation cycle for our services that require us to make significant resource commitments prior to realizing revenues for those services.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 long selling cycle for our technology services, which requires significant investment of capital, human resources and time by both our clients and us. In our consulting service request, we collect service fees on monthly and quarterly basis; in our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profitability will suffer if we are not able to maintain our resource utilization levels and continue to improve our productivity levels.</w:t>
      </w:r>
    </w:p>
    <w:p>
      <w:pPr>
        <w:spacing w:after="0" w:line="23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A significant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spacing w:after="0" w:line="12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 significant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wages for professionals in China could prevent us from sustaining our competitive advantage and could reduce our profit margins.</w:t>
      </w:r>
    </w:p>
    <w:p>
      <w:pPr>
        <w:spacing w:after="0" w:line="2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most significant costs are the salaries and other compensation expenses for our professionals and other employees. Wage costs for professionals in China are lower than those in more developed countries and India. However, because of rapid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international nature of our business exposes us to risks that could adversely affect our financial condition and results of operations.</w:t>
      </w:r>
    </w:p>
    <w:p>
      <w:pPr>
        <w:spacing w:after="0" w:line="23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conduct our business throughout the world in multiple locations. As a result, we are exposed to risks typically associated with conducting business internationally, many of which are beyond our control. These risks include:</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currency fluctuations between the Renminbi and the U.S. dollar and other currencies in which we transact business;</w:t>
      </w:r>
    </w:p>
    <w:p>
      <w:pPr>
        <w:spacing w:after="0" w:line="225" w:lineRule="exact"/>
        <w:rPr>
          <w:rFonts w:ascii="Arial" w:cs="Arial" w:eastAsia="Arial" w:hAnsi="Arial"/>
          <w:sz w:val="18"/>
          <w:szCs w:val="18"/>
          <w:color w:val="auto"/>
        </w:rPr>
      </w:pPr>
    </w:p>
    <w:p>
      <w:pPr>
        <w:ind w:left="660" w:righ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legal uncertainty owing to the overlap and inconsistencies of different legal regimes, problems in asserting contractual or other rights across international borders and the burden and expense of complying with the laws and regulations of various jurisdictions;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potentially adverse tax consequences, such as scrutiny of transfer pricing arrangements by authorities in the countries in which we operate;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and future tariffs and other trade barriers, including restrictions on technology and data transfers;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terrorist attacks and other acts of violence or war.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occurrence of any of these events could have a material adverse effect on our results of operations and financial condition.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 revenues and results of operations are affected by seasonal trends.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 (ii) our customers in general tend to spend their IT budgets in the second half of the year and in particular the fourth quarter. Other factors that may cause our quarterly operating results to fluctuate include, among others, changes in general economic conditions in China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 forced to reduce the prices of our services due to increased competition and reduced bargaining power with our clients, which could lead to reduced revenues and profitability.</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services outsourcing industry in China is developing rapidly and related technology trends are constantly evolving. This results in the frequent introduction of new services and significant price competition from our competitors. We may be unable to offset the effect of declining average sales prices through increased sales volumes and or reductions in our costs. Furthermore, we may be forced to reduce the prices of our services in response to offerings made by our competitors. Finally, we may not have the same level of bargaining power we have enjoyed in the past when it comes to negotiating for the prices of our services.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cause disruptions to our clients’ businesses or provide inadequate service, our clients may have claims for substantial damages against us, and as a result our profits may be substantially reduced.</w:t>
      </w:r>
    </w:p>
    <w:p>
      <w:pPr>
        <w:spacing w:after="0" w:line="170"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w:t>
      </w:r>
    </w:p>
    <w:p>
      <w:pPr>
        <w:spacing w:after="0" w:line="14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w:t>
      </w:r>
    </w:p>
    <w:p>
      <w:pPr>
        <w:spacing w:after="0" w:line="16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do not have commercial general or public liability insurance.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liable to our clients for damages caused by unauthorized disclosure of sensitive and confidential information, whether through our employees or otherwise.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intellectual property of our clients, which could harm our business and competitive position.</w:t>
      </w:r>
    </w:p>
    <w:p>
      <w:pPr>
        <w:spacing w:after="0" w:line="17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We rely on software licenses from our clients with respect to certain projects. To protect proprietary information and other intellectual property of our clients, we require our employees, subcontractors, consultants, advisors and collaborators to enter into confidentiality agreements with us. These agreements may not provide effective protection for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protection of intellectual property rights and confidentiality in China may not be as effective as that in the United States or other developed countries. Policing unauthorized use of proprietary technology is difficult and expensive. The steps we have taken may be inadequate to prevent the misappropriation of proprietary technology of our clients. Reverse engineering, unauthorized copying or other misappropriation of proprietary technologies of our clients could enable third parties to benefit from our or our clients’ technologies without paying us and our clients for doing so, and our clients may hold us liable for that act and seek damages and compensation from us, which could harm our business and competitive position.</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cause a loss of clients, reduce our revenues and harm our competitive position.</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spacing w:after="0" w:line="17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spacing w:after="0" w:line="14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spacing w:after="0" w:line="147"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believe that our current cash, cash flow from operations and the proceeds from this offering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spacing w:after="0" w:line="16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technology services outsourcing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of the U.S. and other capital markets in which we may seek to raise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results of operations and financial condition;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PRC government regulation of foreign investment in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political and other conditions in China;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PRC government policies relating to the borrowing and remittance outside China of foreign currency.</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spacing w:after="0" w:line="18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Failure to adhere to regulations that govern our clients’ businesses could result in breaches of contracts with our clients. Failure to adhere to the regulations that govern our business could result in our being unable to effectively perform our services.</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losses resulting from business interruptions resulting from occurrence of natural disasters, health epidemics and other outbreaks or events.</w:t>
      </w:r>
    </w:p>
    <w:p>
      <w:pPr>
        <w:spacing w:after="0" w:line="26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operational facilities may be damaged in natural disasters such as earthquakes, floods, heavy rains, sand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the value of the Renminbi and other currencies may have a material adverse effect on the value of your investment.</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financial statements are expressed in U.S. dollars. However, a majority of our revenues and expenses are denominated in Renminbi (RMB). Our exposure to foreign exchange risk primarily relates to the limited cash denominated in currencies other than the functional currencies of each entity and limited revenue contracts dominated in Singapore dollar, Hong Kong dollar and Australian dollar in certain PRC operating entities.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w:t>
      </w:r>
    </w:p>
    <w:p>
      <w:pPr>
        <w:spacing w:after="0" w:line="165"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spacing w:after="0" w:line="14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receive from this offering into for our operations, appreciation of the RMB against the U.S. dollar would have an adverse effect on the RMB amount we receive from the conversion. Conversely, if we decide to convert our RMB into U.S. dollars for the purpose of making payments for dividends on our common share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adversely affect our business and the value of our securities.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 we receive from our offering into RMB for our operations, appreciation of the RMB against the U.S. dollar would have an adverse effect on the RMB amount we would receive from the conversion. Conversely, if we decide to convert our RMB into U.S. dollar for the purpose of paying dividends on our common stock or for other business purposes, appreciation of the U.S. dollar against the RMB would have a negative effect on the U.S. dollar amount available to us.</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w:t>
      </w:r>
    </w:p>
    <w:p>
      <w:pPr>
        <w:spacing w:after="0" w:line="187"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in certain countries in which we have clients may restrict companies in those countries from outsourcing work to us.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 offshore outsourcing or require disclosure of jobs outsourced abroad. Similar legislation could be in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Disruptions in telecommunications or significant failure in our IT systems could harm our service model, which could result in a reduction of our revenue.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offices in Shanghai,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computer networks may be vulnerable to security risks that could disrupt our services and adversely affect our results of operations.</w:t>
      </w:r>
    </w:p>
    <w:p>
      <w:pPr>
        <w:spacing w:after="0" w:line="23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w:t>
      </w:r>
    </w:p>
    <w:p>
      <w:pPr>
        <w:spacing w:after="0" w:line="16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to protect us against losses.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Although we maintain professional liability insurance and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likely not pay dividends in the foreseeable future.</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The payment of dividends by entities organized in China is subject to limitations as described herein. Under Cayman Islands law, we may only pay dividends from profits of the Company, or credits standing in the Company’s share premium account, and we must be solvent before and after the dividend payment in the sense that we will be able to satisfy our liabilities as they become due in the ordinary course of business; and the realizable value of assets of our Company will not be less than the sum of our total liabilities, other than deferred taxes as shown on our books of account, and our capital.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w:t>
      </w:r>
    </w:p>
    <w:p>
      <w:pPr>
        <w:spacing w:after="0" w:line="18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business may be materially and adversely affected if any of our Chinese subsidiaries declare bankruptcy or become subject to a dissolution or liquidation proceeding.</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WOFE is required to allocate a portion of its after-tax profits, to the statutory reserve fund, and as determined by its board of directors, to the staff welfare and bonus funds, which may not be distributed to equity owners.</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Pursuant to Company Law of P.R. China (2013 Revision), Wholly Foreign-Owned Enterprise Law of the P.R. China (2000 Revision) and Implementing Rules for the Law of the People’s Republic of China on Wholly Foreign Owned Enterprises (2014 Revision),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failure to obtain prior approval of the China Securities Regulatory Commission (“CSRC”) for the listing and trading of our common shares on a foreign stock exchange could delay this offering or could have a material adverse effect upon our business, operating results, reputation and trading price of our common shares.</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August 8, 2006, six Chinese regulatory agencies, including the Ministry of Commerce of the People’s Republic of China (“MOFCOM”), jointly issued the Regulations on Mergers and Acquisitions of Domestic Enterprises by Foreign Investors (the “M&amp;A Rule”). The M&amp;A Rule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 remains unclear with no consensus currently existing among leading Chinese law firms regarding the scope and applicability of the CSRC approval requirement. The CSRC has not issued any such definitive rule or interpretation, and we have not chosen to voluntarily request approval under the M&amp;A Rule. If the CSRC requires that we obtain its approval prior to the completion of this offering, the offering will be delayed until we obtain CSRC approval, which may take several months. There is also the possibility that we may not be able to obtain such approval. If prior CSRC approval was required, we may face regulatory actions or other sanctions from the CSRC or other Chinese regulatory authorities. These authorities may impose fines and penalties upon our operations in China, limit our operating privileges in China, delay or restrict the repatriation of the proceeds from this offering into China, or take other actions that could have a material adverse effect upon our business, financial condition, results of operations, reputation and prospects, as well as the trading price of our common shares. The CSRC or other Chinese regulatory agencies may also take actions requiring us, or making it advisable for us, to terminate this offering prior to closing.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fail to maintain continuing compliance with the PRC state regulatory rules, policies and procedures applicable to our industry, we may risk losing certain preferential tax and other treatments which may adversely affect the viability of our current corporate structure, corporate governance and business operations.</w:t>
      </w:r>
    </w:p>
    <w:p>
      <w:pPr>
        <w:spacing w:after="0" w:line="174"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 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 Companies in China engaging in systems integration are required to obtain qualification certificates from the Ministry of Industry and Information Technology. Companies planning to set up computer information systems may only retain systems integration companies with appropriate qualification certificates. Currently the Company does not engage in information system integration business, therefore the Company is not required to have such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 If and to the extent we fail to maintain compliance with such applicable rules and regulations, our operations and financial results may be adversely affected.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with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have a material adverse effect on us.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the interpretations of many laws, regulations and rules are not always uniform and enforcement of these laws, regulations and rules involves uncertainties, which may limit legal protections available to us. In addition, some regulatory requirements issued by certain PRC government authorities may not be consistently applied by other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more difficult to predict the outcome of administrative and court proceedings and the level of legal protection we enjoy than in more developed legal systems. These uncertainties may impede our ability to enforce the contracts we have entered into with our business partners, clients and suppliers. In addition, such uncertainties, including any inability to enforce our contracts, together with any development or interpretation of PRC law that is adverse to us, could materially and adversely affect our business and operations. Furthermore, intellectual property rights and confidentiality protections in China may not be as effective as in the United States or other more developed countries. We cannot predict the effect of future developments in the PRC legal system, including the promulgation of new laws, changes to existing laws or the interpretation or enforcement thereof, or the preemption of local regulations by national laws. These uncertainties could limit the legal protections available to us and other foreign investors, including you. In addition, any litigation in China may be protracted and result in substantial costs and diversion of our resources and management attention.</w:t>
      </w:r>
    </w:p>
    <w:p>
      <w:pPr>
        <w:spacing w:after="0" w:line="173"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The approval of the China Securities Regulatory Commission, or the CSRC, may be required in connection with this offering under a recently adopted PRC regulation; any requirement to obtain prior CSRC approval could delay this offering and failure to obtain such approval, if required, could have a material adverse effect on our business, results of operation and reputation and could also create uncertainties for this offering.</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2006, the CSRC and five other PRC regulatory agencies jointly promulgated the Provisions Regarding Mergers and Acquisitions of Domestic Enterprises by Foreign Investors, or the M&amp;A Rule, which regulates foreign investment in PRC domestic enterprises. The M&amp;A Rule requires offshore special purpose vehicles formed for the purposes of overseas listing of equity interests in PRC companies and controlled directly or indirectly by PRC companies or individuals to obtain the approval of the CSRC prior to the listing and trading of the special purpose vehicle’s securities on an overseas stock exchange. The interpretation and application of the M&amp;A Rule is currently unclear. If the CSRC or another PRC regulatory agency subsequently determines that prior CSRC approval was required, we may face regulatory actions or other sanctions from the CSRC or other PRC regulatory agencies. These regulatory agencies may impose fines and penalties on our operations, limit our operating privileges, delay or restrict the repatriation of the proceeds from this offering into China or the payment or distribution of dividends by our PRC subsidiaries, or take other actions that could have a material adverse effect on our business, financial condition, results of operations, reputation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regulators’ ability to conduct investigations or enforce rules in China is limited.</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majority of our operations conducted outside of the U.S. As a result, it may not be possible for the U.S. regulators to conduct investigations or inspections, or to effect service of process within the U.S. or elsewhere outside China on us, our subsidiaries, officers, directors and shareholders, and others, including with respect to matters arising under U.S. federal or state securities laws. China does not have treaties providing for reciprocal recognition and enforcement of judgments of courts with the U.S. and many other countries. As a result, recognition and enforcement in China of these judgments in relation to any matter, including U.S. securities laws and the laws of the Cayman Islands, may be difficult or impossible.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uncertainty regarding the PRC tax reporting obligations and consequences for certain indirect transfers of the stock of our operating company.</w:t>
      </w:r>
    </w:p>
    <w:p>
      <w:pPr>
        <w:spacing w:after="0" w:line="26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Pursuant to the Notice on Strengthening Administration of Enterprise Income Tax for Share Transfers by Non-PRC Resident Enterprises issued by the PRC State Administration of Taxation on December 10, 2009, or Circular 698, where a foreign investor transfers the equity interests of a PRC resident enterprise indirectly by way of the sale of equity interests of an overseas holding company, or an Indirect Transfer, and such overseas holding company is located in a tax jurisdiction that: (i) has an effective tax rate less than 12.5% or (ii) does not tax foreign income of its residents, the foreign investor should report such Indirect Transfer to the competent tax authority of the PRC resident enterprise. The PRC tax authority will examine the true nature of the Indirect Transfer, and if the tax authority considers that the foreign investor has adopted an abusive arrangement in order to avoid PRC tax, they will disregard the existence of the overseas holding company and re-characterize the Indirect Transfer and as a result, gains derived from such Indirect Transfer may be subject to PRC withholding tax at the rate of up to 10%. In addition, the PRC resident enterprise is supposed to provide necessary assistance to support the enforcement of Circular 698. At present, the PRC tax authorities will neither confirm nor deny that they would enforce Circular 698, in conjunction with other tax collection and tax withholding rules, to make claims against our PRC subsidiary as being indirectly liable for unpaid taxes, if any, arising from Indirect Transfers by shareholders who did not obtain their shares in the public offering of our shares.</w:t>
      </w:r>
    </w:p>
    <w:p>
      <w:pPr>
        <w:sectPr>
          <w:pgSz w:w="11900" w:h="16838" w:orient="portrait"/>
          <w:cols w:equalWidth="0" w:num="1">
            <w:col w:w="11420"/>
          </w:cols>
          <w:pgMar w:left="240" w:top="226" w:right="23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9" w:name="page30"/>
    <w:bookmarkEnd w:id="2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b w:val="1"/>
          <w:bCs w:val="1"/>
          <w:i w:val="1"/>
          <w:iCs w:val="1"/>
          <w:color w:val="auto"/>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PRC State Administration of Foreign Exchange, or SAFE, issued a public notice in 2005 known as Circular 75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In addition, any PRC resident that is the shareholder of an offshore special purpose company is required to amend its SAFE registration with the local SAFE branch with respect to that offshore special purpose company in connection with any increase or decrease of capital, transfer of shares, merger, division, equity investment or creation of any security interest over any assets located in China. If these shareholders fail to comply, the PRC subsidiaries of the offshore special purpose company may be prohibited from distributing their profits and proceeds from any reduction in capital, share transfer or liquidation to their offshore parent company and the offshore parent company may be restricted in its ability to contribute additional capital into its PRC subsidiaries. Moreover, failure to comply with the above SAFE registration requirements could result in liabilities under PRC laws for evasion of foreign exchange restrictions.</w:t>
      </w:r>
    </w:p>
    <w:p>
      <w:pPr>
        <w:spacing w:after="0" w:line="16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are committed to complying with the Circular 75 requirements and to ensuring that our shareholders who are PRC citizens or residents comply with them. We believe that all of our current PRC citizen or resident shareholders and beneficial owners have completed their required registrations with SAFE. However, we may not at all times be fully aware or informed of the identities of all our beneficial owners who are PRC citizens or residents, and we may not always be able to compel our beneficial owners to comply with the Circular 75 requirements. As a result, we cannot assure you that all of our shareholders or beneficial owners who are PRC citizens or residents will at all times comply with, or in the future make or obtain any applicable registrations or approvals required by, Circular 75 or other related regulations. Failure by any such shareholders or beneficial owners to comply with Circular 75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the PRC National Development and Reform Commission promulgated a rule in 2004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PRC regulation of loans and direct investment by offshore holding companies to PRC entities may delay or prevent us from using the proceeds of this offering to make loans or additional capital contributions to our PRC subsidiaries, which could materially and adversely affect our liquidity and our ability to fund and expand our business.</w:t>
      </w:r>
    </w:p>
    <w:p>
      <w:pPr>
        <w:spacing w:after="0" w:line="181"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In utilizing the proceeds from this public offering or any future offerings, as an offshore holding company of our PRC subsidiaries, 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spacing w:after="0" w:line="15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use the proceeds of this offering and to capitalize our PRC operations may be negatively affected, which could adversely and materially affect our liquidity and our ability to fund and expand our business.</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2008, SAFE promulgated Circular 142, a notice regulating the conversion by a foreign-invested enterprise of foreign currency into Renminbi by restricting how the converted Renminbi may be used. Circular 142 requires that Renminbi converted from the foreign currency-denominated capital of a foreign-invested enterprise may only be used for purposes within the business scope approved by the applicable governmental authority and may not be used for equity investments within the PRC unless specifically provided for otherwise in its business scope. In addition, SAFE strengthened its oversight of the flow and use of Renminbi funds converted from the foreign currency-denominated capital of a foreign-invested enterprise. The use of such Renminbi may not be changed without approval from SAFE, and may not be used to repay Renminbi loans if the proceeds of such loans have not yet been used for purposes within the foreign-invested enterprise’s approved business scope.</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use the proceeds we receive from this offering and to capitalize or otherwise fund our PRC operations may be negatively affected, which could adversely and materially affect our liquidity and our ability to fund and expand our business.</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Governmental control of currency conversion may limit our ability to use our revenues effectively and the ability of our PRC subsidiaries to obtain financing.</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w:t>
      </w:r>
    </w:p>
    <w:p>
      <w:pPr>
        <w:spacing w:after="0" w:line="18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classified as a “resident enterprise” for PRC enterprise income tax purposes; such classification could result in unfavorable tax consequences to us and our non-PRC shareholders.</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spacing w:after="0" w:line="18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 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or ADSs may be materially and adversely affected. It is unclear whether, if we are considered a PRC resident enterprise, holders of our shares would be able to claim the benefit of income tax treaties or agreements entered into between China and other countries or areas.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rely on dividends paid by our subsidiaries for our cash needs, and any limitation on the ability of our subsidiaries to make payments to us could have a material adverse effect on our ability to conduct our business.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a holding company, we conduct substantially all of our business through our consolidated subsidiaries incorporated in China.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employment practices may be restricted under the PRC Labor Contract Law and our labor costs may increase as a result.</w:t>
      </w:r>
    </w:p>
    <w:p>
      <w:pPr>
        <w:spacing w:after="0" w:line="23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Associated with this Offering</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There has been no public market for our common shares prior to this offering, and you may not be able to resell our common shares at or above the price you paid, or at all.</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Prior to this initial public offering, there has been no public market for our shares. We intend to list our common shares on the NASDAQ Capital Market. If an active trading market for our common shares does not develop after this offering, the market price and liquidity of our common shares will be materially and adversely affected. Negotiations with the underwriters will determine the initial public offering price for our common shares which may bear no relationship to their market price after the initial public offering. We cannot assure you that an active trading market for our common shares will develop or that the market price of our common shares will not decline below the initial public offering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comply with certain conditions, our common shares may not trade on the NASDAQ Capital Market.</w:t>
      </w:r>
    </w:p>
    <w:p>
      <w:pPr>
        <w:spacing w:after="0" w:line="221" w:lineRule="exact"/>
        <w:rPr>
          <w:sz w:val="20"/>
          <w:szCs w:val="20"/>
          <w:color w:val="auto"/>
        </w:rPr>
      </w:pPr>
    </w:p>
    <w:p>
      <w:pPr>
        <w:ind w:right="160"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We have received approval to list our common shares on the NASDAQ Capital Market provided that we pay the balance of our entry fee</w:t>
      </w:r>
      <w:r>
        <w:rPr>
          <w:rFonts w:ascii="Arial" w:cs="Arial" w:eastAsia="Arial" w:hAnsi="Arial"/>
          <w:sz w:val="16"/>
          <w:szCs w:val="16"/>
          <w:color w:val="auto"/>
        </w:rPr>
        <w:t xml:space="preserve"> </w:t>
      </w:r>
      <w:r>
        <w:rPr>
          <w:rFonts w:ascii="Arial" w:cs="Arial" w:eastAsia="Arial" w:hAnsi="Arial"/>
          <w:sz w:val="16"/>
          <w:szCs w:val="16"/>
          <w:b w:val="1"/>
          <w:bCs w:val="1"/>
          <w:color w:val="auto"/>
        </w:rPr>
        <w:t>and show that we will have 300 round-lot shareholders prior to our first day of trading</w:t>
      </w:r>
      <w:r>
        <w:rPr>
          <w:rFonts w:ascii="Arial" w:cs="Arial" w:eastAsia="Arial" w:hAnsi="Arial"/>
          <w:sz w:val="16"/>
          <w:szCs w:val="16"/>
          <w:color w:val="auto"/>
        </w:rPr>
        <w:t>.] If we are unable to meet these final conditions our shares may</w:t>
      </w:r>
      <w:r>
        <w:rPr>
          <w:rFonts w:ascii="Arial" w:cs="Arial" w:eastAsia="Arial" w:hAnsi="Arial"/>
          <w:sz w:val="16"/>
          <w:szCs w:val="16"/>
          <w:b w:val="1"/>
          <w:bCs w:val="1"/>
          <w:color w:val="auto"/>
        </w:rPr>
        <w:t xml:space="preserve"> </w:t>
      </w:r>
      <w:r>
        <w:rPr>
          <w:rFonts w:ascii="Arial" w:cs="Arial" w:eastAsia="Arial" w:hAnsi="Arial"/>
          <w:sz w:val="16"/>
          <w:szCs w:val="16"/>
          <w:color w:val="auto"/>
        </w:rPr>
        <w:t>not trade on the NASDAQ Capital Market. In addition, we have relied on an exemption to the blue sky registration requirements afforded to “covered securities.” Securities listed on the NASDAQ Capital Market are “covered securities.” If we were unable to meet the final conditions for listing, then we would be unable to rely on the covered securities exemption to blue sky registration requirements and we would need to register the offering in each state in which we planned to sell shares. Consequently, we will not complete this offering until we have met the final conditions.</w:t>
      </w:r>
    </w:p>
    <w:p>
      <w:pPr>
        <w:spacing w:after="0" w:line="1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listed on the NASDAQ Capital Market and our financial condition deteriorates, we may not meet continued listing standards on the NASDAQ Capital Market.</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NASDAQ Capital Market also requires companies to fulfill specific requirements in order for their shares to continue to be listed. If our shares are listed on the NASDAQ Capital Market but are delisted from the NASDAQ Capital Market at some later date, our shareholders could find it difficult to sell our shares. In addition, if our common shares are delisted from the NASDAQ Capital Market at some later date, we may apply to have our common shares quoted on the Bulletin Board or in the “pink sheets” maintained by the National Quotation Bureau, Inc. The Bulletin Board and the “pink sheets” are generally considered to be less efficient markets than the NASDAQ Capital Market. In addition, if our common shares are not so listed or are delisted at some later date, our common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common shares might decline. If our common shares are not so listed or are delisted from the NASDAQ Capital Market at some later date or become subject to the penny stock regulations, it is likely that the price of our shares would decline and that our shareholders would find it difficult to sell their shares.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a limited number of participants in this offering purchase a significant percentage of the offering, the effective public float may be smaller than anticipated and the price of our common shares may be volatile.</w:t>
      </w:r>
    </w:p>
    <w:p>
      <w:pPr>
        <w:spacing w:after="0" w:line="17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As a company conducting a relatively modest public offering, we are subject to the risk that a small number of investors will purchase a high percentage of the offering. If this were to happen, investors could find our shares to be more volatile than they might otherwise anticipate. Companies that experience such volatility in their stock price may be more likely to be the subject of securities litigation. In addition, if a large portion of our public float were to be held by a few investors, smaller investors may find it more difficult to sell their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shares may be volatile.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w:t>
      </w:r>
    </w:p>
    <w:p>
      <w:pPr>
        <w:spacing w:after="0" w:line="17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developments affecting us, our users, or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uncertainties with regard to our variable interest entity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studies and reports relating to our service offerings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of exchange rates between the RMB and the U.S. dollar;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common shares;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or perceived potential sales of additional common shares.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8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Shares eligible for future sale may adversely affect the market price of our common shares, as the future sale of a substantial amount of outstanding common shares in the public marketplace could reduce the price of our common shares.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market price of our shares could decline as a result of sales of substantial amounts of our shares in the public market, or the perception that these sales could occur. In addition, these factors could make it more difficult for us to raise funds through future offerings of our common shares. An aggregate of shares is outstanding before the consummation of this offering and [●] shares will be outstanding immediately after this offering. All of the shares sold in the offering will be freely transferable without restriction or further registration under the Securities Act. The remaining shares will be “restricted securities” as defined in Rule 144. These shares may be sold in the future without registration under the Securities Act to the extent permitted by Rule 144 or other exemptions under the Securities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initial public offering price of our shares is expected to be substantially higher than the pro forma net tangible book value per share of our common shares. Assuming the completion of the offering, if you purchase shares in this offering, you will incur immediate dilution of approximately $[●] or approximately [●]% in the pro forma net tangible book value per share from the price per share that you pay for the shares. Accordingly, if you purchase shares in this offering, you will incur immediate and substantial dilution of your investment. See “Dilution.”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finally determined the use of the proceeds from this offering, and we may use the proceeds in ways with which you may not agree.</w:t>
      </w:r>
    </w:p>
    <w:p>
      <w:pPr>
        <w:spacing w:after="0" w:line="2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While we have identified the priorities to which we expect to put the proceeds of this offering, our management will have considerable discretion in the application of the net proceeds received by us. Specifically, we intend to use the net proceeds from this offering for expansion and upgrades of our production lines and warehouse facilities, establishment promotion of overseas sales websites, and working capital and general corporate purposes. We have reserved the right to re-allocate funds currently allocated to that purpose to our general working capital. If that were to happen, then our management would have discretion over even more of the net proceeds to be received by our company in this offering. You will not have the opportunity, as part of your investment decision, to assess whether the proceeds are being used appropriately. You must rely on the judgment of our management regarding the application of the net proceeds of this offering. The net proceeds may be used for corporate purposes that do not improve our efforts to achieve profitability or increase our stock price. The net proceeds from this offering may be placed in investments that do not produce profit or increase value. See “Use of Proceeds.”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a Cayman Islands company and, because judicial precedent regarding the rights of shareholders is more limited under Cayman Islands law than under U.S. law, you may have less protection for your shareholder rights than you would under U.S. law.</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corporate affairs are governed by our Memorandum and Articles of Association, the Cayman Islands Companies Law (Revised)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Judgments obtained against us by our shareholders may not be enforceable.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a Cayman Islands company and all of our assets are located outside of the United States. Our current operations are based in China.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will not be subject to U.S. proxy rules and will be subject to more lenient and less frequent Exchange Act reporting obligations than a U.S. issuer.</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Upon consummation of this offering, we will report under the Securities Exchange Act as a foreign private issuer. Because we qualify as a foreign private issuer under the Exchange Act, we will be exempt from certain provisions of the Exchange Act that are applicable to U.S. public companies, including:</w:t>
      </w:r>
    </w:p>
    <w:p>
      <w:pPr>
        <w:spacing w:after="0" w:line="181" w:lineRule="exact"/>
        <w:rPr>
          <w:sz w:val="20"/>
          <w:szCs w:val="20"/>
          <w:color w:val="auto"/>
        </w:rPr>
      </w:pPr>
    </w:p>
    <w:p>
      <w:pPr>
        <w:ind w:left="660" w:right="4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sections of the Exchange Act that regulate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sections of the Exchange Act that require insiders to file public reports of their stock ownership and trading activities and impose liability on insiders who profit from trades made in a short period of time; and</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rules under the Exchange Act that require the filing of quarterly reports on Form 10-Q containing unaudited financial and other specified information and current reports on Form 8-K upon the occurrence of specified significant events.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 As a result, you may not have the same protections afforded to stockholders of companies that are not foreign private issuers.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2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The determination of our status as a foreign private issuer is made annually on the last business day of our most recently completed second fiscal quarter and, accordingly, the next determination will be made with respect to us on or after June 30, 2018. We would lose our foreign private issuer status if</w:t>
      </w:r>
    </w:p>
    <w:p>
      <w:pPr>
        <w:ind w:firstLine="8"/>
        <w:spacing w:after="0" w:line="271"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majority of our outstanding voting securities are directly or indirectly held of record by U.S. residents, and (2) a majority of our shareholders or a majority of our directors or management are U.S. citizens or residents, a majority of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publicly-traded company.</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a company with publicly-traded securities, we will incur additional legal, accounting and other expenses not presently incurred. In addition, the Sarbanes-Oxley Act of 2002, the Dodd-Frank Wall Street Reform and Consumer Protection Act of 2010, as well as rules promulgated by the SEC and the national securities exchange on which we list, requires us to adopt corporate governance practices applicable to U.S. public companies. These rules and regulations will increase our legal and financial compliance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risks relating to evaluations of controls required by Sarbanes-Oxley Act of 2002.</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Pursuant to Sarbanes-Oxley Act of 2002, our management will be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As an “emerging growth company” under the Jumpstart Our Business Startups Act, or JOBS Act, we are permitted to, and intend to, rely on exemptions from certain disclosure requirements.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an “emerging growth company” under the JOBS Act, we are permitted to, and intend to, rely on exemptions from certain disclosure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an emerging growth company until the earliest of:</w:t>
      </w:r>
    </w:p>
    <w:p>
      <w:pPr>
        <w:spacing w:after="0" w:line="21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revenues of $1 billion or more;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we have, during the previous 3-year period, issued more than $1 billion in non-convertible debt;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we are deemed a “large accelerated issuer” as defined under the federal securities laws.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For so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for up to five fiscal years after the date of this offering.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our costs of operating as a public company may increase when we cease to be an emerging growth company.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to U.S. holders of our common shares.</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Based on the anticipated market price of our common shares in this offering and expected price of our common shares following this offering,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common shares and trading volume could decline.</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corporate structure, together with applicable law, may impede shareholders from asserting claims against us and our principals.</w:t>
      </w:r>
    </w:p>
    <w:p>
      <w:pPr>
        <w:spacing w:after="0" w:line="23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All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affect such service upon Chinese citizens in China.</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 or SEC enforcement actions that are conducting internal and or external investigations into the allegations. If we become the subject of any such scrutiny, whether any allegations are true or not, we may have to expend significant resources to investigate such allegations and 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 AND CONVENTIONS FORWARD-LOOKING STATEMENTS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have made statements in this prospectus, including under “Prospectus Summary,” “Risk Factors,” “Management’s Discussion and Analysis of Financial Condition and Results of Operations,” “Our Business” and elsewhere that constitute forward-looking statements. Forward-looking statements involve risks and uncertainties, such as statements about our plans, objectives, expectations, assumptions or future events. In some cases, you can identify forward-looking statements by terminology such as “anticipate,” “estimate,” “plan,” “project,” “continuing,” “ongoing,” “expect,” “we believe,” “we intend,” “may,” “should,” “will,” “could” and similar expressions denoting uncertainty or an action that may, will or is expected to occur in the future. These statements involve estimates, assumptions, known and unknown risks, uncertainties and other factors that could cause actual results to differ materially from any future results, performances or achievements expressed or implied by the forward-looking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Examples of forward-looking statements include:</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the development of future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projections of revenue, earnings, capital structure and other financial items;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of future company-owned call centers;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statements regarding the capabilities of our business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statements of expected future economic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statements regarding competition in our market;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assumptions underlying statements regarding us or our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ultimate correctness of these forward-looking statements depends upon a number of known and unknown risks and events. We discuss our known material risks under the heading “Risk Factors” above. Many factors could cause our actual results to differ materially from those expressed or implied in our forward-looking statements. Consequently, you should not place undue reliance on these forward-looking statements. The forward-looking statements speak only as of the date on which they are made, and, except as required by law, we undertake no obligation to update any forward-looking statement to reflect events or circumstances after the date on which the statement is made or to reflect the occurrence of unanticipated events. In addition, we cannot assess the impact of each factor on our business or the extent to which any factor, or combination of factors, may cause actual results to differ materially from those contained in any forward-looking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estimate that we will receive net proceeds from the sale of common shares of approximately $[●] million, based upon an assumed initial public offering price of $[●] per share, the midpoint of the range set forth on the cover page of this prospectus, and after deducting estimated underwriting discounts and commissions and estimated offering expenses. If the underwriters’ option to purchase additional common shares is exercised in full, we estimate that we will receive net proceeds of approximately $[●] million, after deducting estimated underwriting discounts and commissions and estimated offering expenses.</w:t>
      </w:r>
    </w:p>
    <w:p>
      <w:pPr>
        <w:spacing w:after="0" w:line="15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Each $0.25 increase (decrease) in the assumed initial public offering price of $[●] per share, the midpoint of the range set forth on the cover page of this prospectus, would increase (decrease) the net proceeds to us from this offering by approximately $[●], assuming the number of shares offered, as set forth on the cover page of this prospectus, remains the same and after deducting estimated underwriting discounts and commissions. Similarly, each increase (decrease) of [●] common shares in the number of common shares would increase (decrease) the net proceeds to us from this offering by approximately $[●], assuming that the assumed initial public offering price remains the same, and after deducting estimated underwriting discounts and commissions.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use the net proceeds of this offering as follows after we complete the remittance process:</w:t>
      </w:r>
    </w:p>
    <w:p>
      <w:pPr>
        <w:spacing w:after="0" w:line="225" w:lineRule="exact"/>
        <w:rPr>
          <w:sz w:val="20"/>
          <w:szCs w:val="20"/>
          <w:color w:val="auto"/>
        </w:rPr>
      </w:pPr>
    </w:p>
    <w:p>
      <w:pPr>
        <w:ind w:left="660" w:right="5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 million or 40% for global expansion, i.e., to expand our existing locations to develop new clients by hiring more qualified personnel, system integration and marketing effort;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 million or 30% for working capital and general corporate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 million or 20% for R&amp;D;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 million or 10% for talent development.</w:t>
      </w:r>
    </w:p>
    <w:p>
      <w:pPr>
        <w:spacing w:after="0" w:line="225" w:lineRule="exact"/>
        <w:rPr>
          <w:sz w:val="20"/>
          <w:szCs w:val="20"/>
          <w:color w:val="auto"/>
        </w:rPr>
      </w:pPr>
    </w:p>
    <w:p>
      <w:pPr>
        <w:ind w:right="80" w:firstLine="697"/>
        <w:spacing w:after="0" w:line="287" w:lineRule="auto"/>
        <w:rPr>
          <w:sz w:val="20"/>
          <w:szCs w:val="20"/>
          <w:color w:val="auto"/>
        </w:rPr>
      </w:pPr>
      <w:r>
        <w:rPr>
          <w:rFonts w:ascii="Arial" w:cs="Arial" w:eastAsia="Arial" w:hAnsi="Arial"/>
          <w:sz w:val="16"/>
          <w:szCs w:val="16"/>
          <w:color w:val="auto"/>
        </w:rPr>
        <w:t>The precise amounts and percentage of proceeds we would devote to particular categories of activity will depend on prevailing market and business conditions as well as particular opportunities that may arise from time to time. This expected use of our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any unforeseen cash needs. Similarly, the priority of our prospective uses of proceeds will depend on business and market conditions are they develop. Accordingly, our management will have significant flexibility and broad discretion in applying the net proceeds of the offering. If an unforeseen event occurs or business conditions change, we may use the proceeds of this offering differently than as described in this prospectus. 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or make additional capital contributions to our PRC subsidiary to fund its capital expenditures or working capital. We cannot assure you that we will be able to obtain these government registrations or approvals on a timely basis, if at all. Pending remitting the offering proceeds to the PRC, we intend to invest our net proceeds in short-term, interest bearing, investment-grade obligations.</w:t>
      </w:r>
    </w:p>
    <w:p>
      <w:pPr>
        <w:spacing w:after="0" w:line="17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Although we may use a portion of the proceeds for the acquisition of, or investment in, companies, technologies, products or assets that complement our business, we have no present understandings, commitments or agreements to enter into any acquisitions or make any investments. We cannot assure you that we will make any acquisitions or investments in the future.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holders of our common shares are entitled to dividends out of funds legally available when and as declared by our board of directors. Our board of directors has never declared a dividend and does not anticipate declaring a dividend in the foreseeable future. Should we decide in the future to pay dividends, as a holding company, our ability to do so and meet other obligations depends upon the receipt of dividends or other payments from our operating subsidiary and other holdings and investments. In addition, our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business is conducted in China and all of our revenues are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 The following table sets forth information concerning exchange rates between the RMB and the U.S. dollar for the periods indicated. Assets and liabilities are translated at the exchange rates as of the balance sheet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Balance sheet items, except for equity accounts</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USD:RMB</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6.7793</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Items in the statements of operations and comprehensive loss, and statements cash flows are translated at the average exchange rate of the period.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2600" w:type="dxa"/>
            <w:vAlign w:val="bottom"/>
            <w:gridSpan w:val="4"/>
          </w:tcPr>
          <w:p>
            <w:pPr>
              <w:ind w:left="780"/>
              <w:spacing w:after="0"/>
              <w:rPr>
                <w:sz w:val="20"/>
                <w:szCs w:val="20"/>
                <w:color w:val="auto"/>
              </w:rPr>
            </w:pPr>
            <w:r>
              <w:rPr>
                <w:rFonts w:ascii="Arial" w:cs="Arial" w:eastAsia="Arial" w:hAnsi="Arial"/>
                <w:sz w:val="18"/>
                <w:szCs w:val="18"/>
                <w:b w:val="1"/>
                <w:bCs w:val="1"/>
                <w:color w:val="auto"/>
              </w:rPr>
              <w:t>Years ended</w:t>
            </w:r>
          </w:p>
        </w:tc>
      </w:tr>
      <w:tr>
        <w:trPr>
          <w:trHeight w:val="198"/>
        </w:trPr>
        <w:tc>
          <w:tcPr>
            <w:tcW w:w="882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June 30,</w:t>
            </w: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USD:RMB</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6.4405</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0" w:name="page41"/>
    <w:bookmarkEnd w:id="4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w:t>
      </w:r>
    </w:p>
    <w:p>
      <w:pPr>
        <w:spacing w:after="0" w:line="114"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following selected consolidated financial and operating data for the fiscal years ended June 30, 2017 and 2016, and the consolidated balance sheet data as of June 30, 2017 and 2016, have been derived from our consolidated financial statements included elsewhere in this prospectus.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summary consolidated statements of comprehensive income for the fiscal years ended June 30, 2017 and 2016.</w:t>
      </w:r>
    </w:p>
    <w:p>
      <w:pPr>
        <w:spacing w:after="0" w:line="17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Selected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U.S. dollars, except number of shares)</w:t>
      </w:r>
    </w:p>
    <w:p>
      <w:pPr>
        <w:spacing w:after="0" w:line="139"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220" w:type="dxa"/>
            <w:vAlign w:val="bottom"/>
            <w:tcBorders>
              <w:bottom w:val="single" w:sz="8" w:color="CCEEFF"/>
            </w:tcBorders>
          </w:tcPr>
          <w:p>
            <w:pPr>
              <w:spacing w:after="0"/>
              <w:rPr>
                <w:sz w:val="21"/>
                <w:szCs w:val="21"/>
                <w:color w:val="auto"/>
              </w:rPr>
            </w:pPr>
          </w:p>
        </w:tc>
        <w:tc>
          <w:tcPr>
            <w:tcW w:w="360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31,361,976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29,024,178</w:t>
            </w:r>
          </w:p>
        </w:tc>
        <w:tc>
          <w:tcPr>
            <w:tcW w:w="100" w:type="dxa"/>
            <w:vAlign w:val="bottom"/>
            <w:shd w:val="clear" w:color="auto" w:fill="CCEEFF"/>
          </w:tcPr>
          <w:p>
            <w:pPr>
              <w:spacing w:after="0"/>
              <w:rPr>
                <w:sz w:val="18"/>
                <w:szCs w:val="18"/>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Less: Cost of revenues</w:t>
            </w:r>
          </w:p>
        </w:tc>
        <w:tc>
          <w:tcPr>
            <w:tcW w:w="4880" w:type="dxa"/>
            <w:vAlign w:val="bottom"/>
            <w:gridSpan w:val="3"/>
          </w:tcPr>
          <w:p>
            <w:pPr>
              <w:jc w:val="right"/>
              <w:ind w:right="80"/>
              <w:spacing w:after="0"/>
              <w:rPr>
                <w:sz w:val="20"/>
                <w:szCs w:val="20"/>
                <w:color w:val="auto"/>
              </w:rPr>
            </w:pPr>
            <w:r>
              <w:rPr>
                <w:rFonts w:ascii="Arial" w:cs="Arial" w:eastAsia="Arial" w:hAnsi="Arial"/>
                <w:sz w:val="18"/>
                <w:szCs w:val="18"/>
                <w:color w:val="auto"/>
              </w:rPr>
              <w:t>(18,669,812)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(17,463,416)</w:t>
            </w:r>
          </w:p>
        </w:tc>
      </w:tr>
      <w:tr>
        <w:trPr>
          <w:trHeight w:val="223"/>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34"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General and administrative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Subsidies and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 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2040"/>
        <w:spacing w:after="0" w:line="358" w:lineRule="auto"/>
        <w:rPr>
          <w:sz w:val="20"/>
          <w:szCs w:val="20"/>
          <w:color w:val="auto"/>
        </w:rPr>
      </w:pPr>
      <w:r>
        <w:rPr>
          <w:rFonts w:ascii="Arial" w:cs="Arial" w:eastAsia="Arial" w:hAnsi="Arial"/>
          <w:sz w:val="16"/>
          <w:szCs w:val="16"/>
          <w:color w:val="auto"/>
        </w:rPr>
        <w:t>Less: foreign currency translation (loss) gain attributable to Non-controlling interest Other comprehensive loss attributable to CLPS Incorporation’s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 shareholders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1,206,493</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413,016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4,232,788</w:t>
            </w: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5,579,058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5,647,790</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4,955,037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11,087,071</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10,947,111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1,605,093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613,651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508,187</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1,446,408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(10,469)</w:t>
            </w:r>
          </w:p>
        </w:tc>
        <w:tc>
          <w:tcPr>
            <w:tcW w:w="22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(5,935)</w:t>
            </w:r>
          </w:p>
        </w:tc>
      </w:tr>
      <w:tr>
        <w:trPr>
          <w:trHeight w:val="27"/>
        </w:trPr>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50"/>
        </w:trPr>
        <w:tc>
          <w:tcPr>
            <w:tcW w:w="22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2,102,811</w:t>
            </w: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2,054,124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2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(118,546)</w:t>
            </w: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269,153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2,221,357</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1,784,971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4"/>
        </w:trPr>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173,912</w:t>
            </w:r>
          </w:p>
        </w:tc>
        <w:tc>
          <w:tcPr>
            <w:tcW w:w="22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(41,141)</w:t>
            </w:r>
          </w:p>
        </w:tc>
      </w:tr>
      <w:tr>
        <w:trPr>
          <w:trHeight w:val="27"/>
        </w:trPr>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2,047,445</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1,826,112</w:t>
            </w:r>
          </w:p>
        </w:tc>
        <w:tc>
          <w:tcPr>
            <w:tcW w:w="20" w:type="dxa"/>
            <w:vAlign w:val="bottom"/>
          </w:tcPr>
          <w:p>
            <w:pPr>
              <w:spacing w:after="0"/>
              <w:rPr>
                <w:sz w:val="21"/>
                <w:szCs w:val="21"/>
                <w:color w:val="auto"/>
              </w:rPr>
            </w:pPr>
          </w:p>
        </w:tc>
      </w:tr>
      <w:tr>
        <w:trPr>
          <w:trHeight w:val="21"/>
        </w:trPr>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6"/>
        </w:trPr>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(93,177)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(387,100)</w:t>
            </w:r>
          </w:p>
        </w:tc>
      </w:tr>
      <w:tr>
        <w:trPr>
          <w:trHeight w:val="251"/>
        </w:trPr>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1,732</w:t>
            </w:r>
          </w:p>
        </w:tc>
        <w:tc>
          <w:tcPr>
            <w:tcW w:w="22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(1,471)</w:t>
            </w:r>
          </w:p>
        </w:tc>
      </w:tr>
      <w:tr>
        <w:trPr>
          <w:trHeight w:val="250"/>
        </w:trPr>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(94,909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(385,629</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9"/>
        </w:trPr>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1,952,536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1,440,483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p>
    <w:p>
      <w:pPr>
        <w:sectPr>
          <w:pgSz w:w="11900" w:h="16838" w:orient="portrait"/>
          <w:cols w:equalWidth="0" w:num="2">
            <w:col w:w="8100" w:space="720"/>
            <w:col w:w="260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2,128,180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1,397,871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78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Basic and diluted earnings per common share *</w:t>
            </w: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 and diluted</w:t>
            </w: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1940" w:firstLine="1283"/>
        <w:spacing w:after="0" w:line="453" w:lineRule="auto"/>
        <w:tabs>
          <w:tab w:leader="none" w:pos="208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shares and per share data are presented on a retroactive basis to reflect the nominal share issuance. The following table presents our summary consolidated balance sheet data as of June 30, 2017 and 2016.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ind w:left="500"/>
              <w:spacing w:after="0"/>
              <w:rPr>
                <w:sz w:val="20"/>
                <w:szCs w:val="20"/>
                <w:color w:val="auto"/>
              </w:rPr>
            </w:pPr>
            <w:r>
              <w:rPr>
                <w:rFonts w:ascii="Arial" w:cs="Arial" w:eastAsia="Arial" w:hAnsi="Arial"/>
                <w:sz w:val="18"/>
                <w:szCs w:val="18"/>
                <w:b w:val="1"/>
                <w:bCs w:val="1"/>
                <w:color w:val="auto"/>
              </w:rPr>
              <w:t>As of June 30,</w:t>
            </w:r>
          </w:p>
        </w:tc>
      </w:tr>
      <w:tr>
        <w:trPr>
          <w:trHeight w:val="237"/>
        </w:trPr>
        <w:tc>
          <w:tcPr>
            <w:tcW w:w="6180" w:type="dxa"/>
            <w:vAlign w:val="bottom"/>
            <w:tcBorders>
              <w:bottom w:val="single" w:sz="8" w:color="CCEEFF"/>
            </w:tcBorders>
          </w:tcPr>
          <w:p>
            <w:pPr>
              <w:spacing w:after="0"/>
              <w:rPr>
                <w:sz w:val="20"/>
                <w:szCs w:val="20"/>
                <w:color w:val="auto"/>
              </w:rPr>
            </w:pPr>
          </w:p>
        </w:tc>
        <w:tc>
          <w:tcPr>
            <w:tcW w:w="26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4,814,568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5,277,196</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Total Current Assets</w:t>
            </w:r>
          </w:p>
        </w:tc>
        <w:tc>
          <w:tcPr>
            <w:tcW w:w="28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12,325,296</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9,910,841</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13,521,923</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10,471,529</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Total Liabilities</w:t>
            </w:r>
          </w:p>
        </w:tc>
        <w:tc>
          <w:tcPr>
            <w:tcW w:w="28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8,210,625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6,264,005</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CLPS Incorporation’s Shareholders’ Equity</w:t>
            </w:r>
          </w:p>
        </w:tc>
        <w:tc>
          <w:tcPr>
            <w:tcW w:w="28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4,834,188</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4,203,490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8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477,110</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4,034</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8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5,311,298</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4,207,524</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8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13,521,923</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10,471,529</w:t>
            </w:r>
          </w:p>
        </w:tc>
      </w:tr>
    </w:tbl>
    <w:p>
      <w:pPr>
        <w:spacing w:after="0" w:line="187"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1" w:name="page42"/>
    <w:bookmarkEnd w:id="4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capitalization as of June 30, 2017:</w:t>
      </w:r>
    </w:p>
    <w:p>
      <w:pPr>
        <w:spacing w:after="0" w:line="225"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25" w:lineRule="exact"/>
        <w:rPr>
          <w:rFonts w:ascii="Arial" w:cs="Arial" w:eastAsia="Arial" w:hAnsi="Arial"/>
          <w:sz w:val="18"/>
          <w:szCs w:val="18"/>
          <w:color w:val="auto"/>
        </w:rPr>
      </w:pPr>
    </w:p>
    <w:p>
      <w:pPr>
        <w:ind w:right="280" w:firstLine="656"/>
        <w:spacing w:after="0" w:line="264" w:lineRule="auto"/>
        <w:tabs>
          <w:tab w:leader="none" w:pos="10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 pro forma basis to give effect to the sale of [_] common shares by us in this offering at the assumed initial public offering price of $[_] per share, the midpoint of the range set forth on the cover page of this prospectus, after deducting the estimated underwriting commissions and estimated offering expenses and assuming that the underwriters do not exercise their over-allotment option.</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You should read this table in conjunction with our financial statements and related notes appearing elsewhere in this prospectus and “Use of Proceeds” and “Description of Share Capital.” You should read this table in conjunction with our financial statements and related notes appearing elsewhere in this prospectus and “Use of Proceeds” and “Description of Share Capital.”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4760" w:type="dxa"/>
            <w:vAlign w:val="bottom"/>
            <w:gridSpan w:val="2"/>
          </w:tcPr>
          <w:p>
            <w:pPr>
              <w:jc w:val="right"/>
              <w:ind w:right="2290"/>
              <w:spacing w:after="0"/>
              <w:rPr>
                <w:sz w:val="20"/>
                <w:szCs w:val="20"/>
                <w:color w:val="auto"/>
              </w:rPr>
            </w:pPr>
            <w:r>
              <w:rPr>
                <w:rFonts w:ascii="Arial" w:cs="Arial" w:eastAsia="Arial" w:hAnsi="Arial"/>
                <w:sz w:val="18"/>
                <w:szCs w:val="18"/>
                <w:b w:val="1"/>
                <w:bCs w:val="1"/>
                <w:color w:val="auto"/>
              </w:rPr>
              <w:t>As of June 30, 2017</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0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 Forma</w:t>
            </w:r>
          </w:p>
        </w:tc>
      </w:tr>
      <w:tr>
        <w:trPr>
          <w:trHeight w:val="241"/>
        </w:trPr>
        <w:tc>
          <w:tcPr>
            <w:tcW w:w="40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As Reported</w:t>
            </w:r>
          </w:p>
        </w:tc>
        <w:tc>
          <w:tcPr>
            <w:tcW w:w="15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Adjusted for IPO</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b w:val="1"/>
                <w:bCs w:val="1"/>
                <w:color w:val="auto"/>
              </w:rPr>
              <w:t>Common shares</w:t>
            </w:r>
          </w:p>
        </w:tc>
        <w:tc>
          <w:tcPr>
            <w:tcW w:w="45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Shares</w:t>
            </w: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11,290,000</w:t>
            </w: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 Value Amount</w:t>
            </w:r>
          </w:p>
        </w:tc>
        <w:tc>
          <w:tcPr>
            <w:tcW w:w="4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0.0001</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7,120,943</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4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680,671</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Retained Earnings</w:t>
            </w:r>
          </w:p>
        </w:tc>
        <w:tc>
          <w:tcPr>
            <w:tcW w:w="4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(2,521,285)</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4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(447,270)</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4,834,188</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you invest in our shares, your interest will be diluted to the extent of the difference between the initial public offering price per common share and the pro forma net tangible book value per common share after the offering. Our pro forma net tangible book value as of [_] was [_], or $[_] per share. Our pro forma net tangible book value per share set forth below represents our total tangible assets less total liabilities, divided by the number of shares of our share stock outstanding.</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Dilution results from the fact that the per common share offering price is substantially in excess of the book value per common share attributable to the existing shareholders for our presently outstanding common shares. After giving effect to our issuance and sale of [_] shares in this offering at an assumed initial public offering price of $[_] per share, after deducting the estimated underwriting discounts and offering expenses payable by us, the pro forma as adjusted net tangible book value as of [_] would have been [_], or $[_] per share. This represents an immediate increase in net tangible book value to existing shareholders of $[_] per share. The public offering price per share will significantly exceed the net tangible book value per share. Accordingly, new investors who purchase shares in this offering will suffer an immediate dilution of their investment of $[_] per share. The following table illustrates this per share dilution to the new investors purchasing shares in this offering: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352"/>
        </w:trPr>
        <w:tc>
          <w:tcPr>
            <w:tcW w:w="53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Offering</w:t>
            </w:r>
            <w:r>
              <w:rPr>
                <w:rFonts w:ascii="Arial" w:cs="Arial" w:eastAsia="Arial" w:hAnsi="Arial"/>
                <w:sz w:val="30"/>
                <w:szCs w:val="30"/>
                <w:b w:val="1"/>
                <w:bCs w:val="1"/>
                <w:color w:val="auto"/>
                <w:vertAlign w:val="superscript"/>
              </w:rPr>
              <w:t>(1)</w:t>
            </w:r>
          </w:p>
        </w:tc>
      </w:tr>
      <w:tr>
        <w:trPr>
          <w:trHeight w:val="216"/>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offering price per common share</w:t>
            </w:r>
          </w:p>
        </w:tc>
        <w:tc>
          <w:tcPr>
            <w:tcW w:w="4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tangible book value per common share as of</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Increase per common share attributable to this offering</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w w:val="95"/>
              </w:rPr>
              <w:t>Pro forma net tangible book value per common share after the offering</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Dilution per common share to new investors</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655"/>
        </w:trPr>
        <w:tc>
          <w:tcPr>
            <w:tcW w:w="53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jc w:val="right"/>
              <w:ind w:right="427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 $1.00 increase (decrease) in the assumed public offering price of $[●] per share would increase (decrease) the pro forma net tangible book value by $[●] million, the pro forma net tangible book value per share after this offering by $[●] per share and the dilution in pro forma net tangible book value per share to investors in this offering by $[●] per share, assuming that the number of shares offered by us, as set forth on the cover page of this prospectus, remains the same and after deducting the estimated underwriting discount and offering expenses payable by 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POST-OFFERING OWNERSHIP</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following charts illustrate our pro forma proportionate ownership, upon completion of this offering by present shareholders and investors in this offering, compared to the relative amounts paid by each. The charts reflect payment by present shareholders as of the date the consideration was received and by investors in this offering at the assumed offering price without deduction of commissions or expenses. The charts further assume no changes in net tangible book value other than those resulting from the offering.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2500" w:type="dxa"/>
            <w:vAlign w:val="bottom"/>
            <w:gridSpan w:val="3"/>
          </w:tcPr>
          <w:p>
            <w:pPr>
              <w:ind w:left="560"/>
              <w:spacing w:after="0"/>
              <w:rPr>
                <w:sz w:val="20"/>
                <w:szCs w:val="20"/>
                <w:color w:val="auto"/>
              </w:rPr>
            </w:pPr>
            <w:r>
              <w:rPr>
                <w:rFonts w:ascii="Arial" w:cs="Arial" w:eastAsia="Arial" w:hAnsi="Arial"/>
                <w:sz w:val="18"/>
                <w:szCs w:val="18"/>
                <w:b w:val="1"/>
                <w:bCs w:val="1"/>
                <w:color w:val="auto"/>
              </w:rPr>
              <w:t>Shares Purchased</w:t>
            </w:r>
          </w:p>
        </w:tc>
        <w:tc>
          <w:tcPr>
            <w:tcW w:w="260" w:type="dxa"/>
            <w:vAlign w:val="bottom"/>
          </w:tcPr>
          <w:p>
            <w:pPr>
              <w:spacing w:after="0"/>
              <w:rPr>
                <w:sz w:val="20"/>
                <w:szCs w:val="20"/>
                <w:color w:val="auto"/>
              </w:rPr>
            </w:pPr>
          </w:p>
        </w:tc>
        <w:tc>
          <w:tcPr>
            <w:tcW w:w="2480" w:type="dxa"/>
            <w:vAlign w:val="bottom"/>
            <w:gridSpan w:val="3"/>
          </w:tcPr>
          <w:p>
            <w:pPr>
              <w:ind w:left="480"/>
              <w:spacing w:after="0"/>
              <w:rPr>
                <w:sz w:val="20"/>
                <w:szCs w:val="20"/>
                <w:color w:val="auto"/>
              </w:rPr>
            </w:pPr>
            <w:r>
              <w:rPr>
                <w:rFonts w:ascii="Arial" w:cs="Arial" w:eastAsia="Arial" w:hAnsi="Arial"/>
                <w:sz w:val="18"/>
                <w:szCs w:val="18"/>
                <w:b w:val="1"/>
                <w:bCs w:val="1"/>
                <w:color w:val="auto"/>
              </w:rPr>
              <w:t>Total Consideration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Average Price</w:t>
            </w:r>
          </w:p>
        </w:tc>
      </w:tr>
      <w:tr>
        <w:trPr>
          <w:trHeight w:val="237"/>
        </w:trPr>
        <w:tc>
          <w:tcPr>
            <w:tcW w:w="4660" w:type="dxa"/>
            <w:vAlign w:val="bottom"/>
          </w:tcPr>
          <w:p>
            <w:pPr>
              <w:spacing w:after="0"/>
              <w:rPr>
                <w:sz w:val="20"/>
                <w:szCs w:val="20"/>
                <w:color w:val="auto"/>
              </w:rPr>
            </w:pPr>
          </w:p>
        </w:tc>
        <w:tc>
          <w:tcPr>
            <w:tcW w:w="13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 (#)</w:t>
            </w:r>
          </w:p>
        </w:tc>
        <w:tc>
          <w:tcPr>
            <w:tcW w:w="11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Percent (%)</w:t>
            </w:r>
          </w:p>
        </w:tc>
        <w:tc>
          <w:tcPr>
            <w:tcW w:w="260" w:type="dxa"/>
            <w:vAlign w:val="bottom"/>
          </w:tcPr>
          <w:p>
            <w:pPr>
              <w:spacing w:after="0"/>
              <w:rPr>
                <w:sz w:val="20"/>
                <w:szCs w:val="20"/>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 ($)</w:t>
            </w:r>
          </w:p>
        </w:tc>
        <w:tc>
          <w:tcPr>
            <w:tcW w:w="11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Percent (%)</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Per Share ($)</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114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0" w:type="dxa"/>
            <w:vAlign w:val="bottom"/>
            <w:gridSpan w:val="2"/>
          </w:tcPr>
          <w:p>
            <w:pPr>
              <w:jc w:val="right"/>
              <w:ind w:right="9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0" w:type="dxa"/>
            <w:vAlign w:val="bottom"/>
            <w:gridSpan w:val="2"/>
            <w:shd w:val="clear" w:color="auto" w:fill="CCEEFF"/>
          </w:tcPr>
          <w:p>
            <w:pPr>
              <w:jc w:val="right"/>
              <w:ind w:right="97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what happens when over-allotment option exercised: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2500" w:type="dxa"/>
            <w:vAlign w:val="bottom"/>
            <w:gridSpan w:val="3"/>
          </w:tcPr>
          <w:p>
            <w:pPr>
              <w:ind w:left="560"/>
              <w:spacing w:after="0"/>
              <w:rPr>
                <w:sz w:val="20"/>
                <w:szCs w:val="20"/>
                <w:color w:val="auto"/>
              </w:rPr>
            </w:pPr>
            <w:r>
              <w:rPr>
                <w:rFonts w:ascii="Arial" w:cs="Arial" w:eastAsia="Arial" w:hAnsi="Arial"/>
                <w:sz w:val="18"/>
                <w:szCs w:val="18"/>
                <w:b w:val="1"/>
                <w:bCs w:val="1"/>
                <w:color w:val="auto"/>
              </w:rPr>
              <w:t>Shares Purchased</w:t>
            </w:r>
          </w:p>
        </w:tc>
        <w:tc>
          <w:tcPr>
            <w:tcW w:w="260" w:type="dxa"/>
            <w:vAlign w:val="bottom"/>
          </w:tcPr>
          <w:p>
            <w:pPr>
              <w:spacing w:after="0"/>
              <w:rPr>
                <w:sz w:val="20"/>
                <w:szCs w:val="20"/>
                <w:color w:val="auto"/>
              </w:rPr>
            </w:pPr>
          </w:p>
        </w:tc>
        <w:tc>
          <w:tcPr>
            <w:tcW w:w="2480" w:type="dxa"/>
            <w:vAlign w:val="bottom"/>
            <w:gridSpan w:val="3"/>
          </w:tcPr>
          <w:p>
            <w:pPr>
              <w:ind w:left="480"/>
              <w:spacing w:after="0"/>
              <w:rPr>
                <w:sz w:val="20"/>
                <w:szCs w:val="20"/>
                <w:color w:val="auto"/>
              </w:rPr>
            </w:pPr>
            <w:r>
              <w:rPr>
                <w:rFonts w:ascii="Arial" w:cs="Arial" w:eastAsia="Arial" w:hAnsi="Arial"/>
                <w:sz w:val="18"/>
                <w:szCs w:val="18"/>
                <w:b w:val="1"/>
                <w:bCs w:val="1"/>
                <w:color w:val="auto"/>
              </w:rPr>
              <w:t>Total Consideration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Average Price</w:t>
            </w:r>
          </w:p>
        </w:tc>
      </w:tr>
      <w:tr>
        <w:trPr>
          <w:trHeight w:val="237"/>
        </w:trPr>
        <w:tc>
          <w:tcPr>
            <w:tcW w:w="4660" w:type="dxa"/>
            <w:vAlign w:val="bottom"/>
          </w:tcPr>
          <w:p>
            <w:pPr>
              <w:spacing w:after="0"/>
              <w:rPr>
                <w:sz w:val="20"/>
                <w:szCs w:val="20"/>
                <w:color w:val="auto"/>
              </w:rPr>
            </w:pPr>
          </w:p>
        </w:tc>
        <w:tc>
          <w:tcPr>
            <w:tcW w:w="13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 (#)</w:t>
            </w:r>
          </w:p>
        </w:tc>
        <w:tc>
          <w:tcPr>
            <w:tcW w:w="11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Percent (%)</w:t>
            </w:r>
          </w:p>
        </w:tc>
        <w:tc>
          <w:tcPr>
            <w:tcW w:w="260" w:type="dxa"/>
            <w:vAlign w:val="bottom"/>
          </w:tcPr>
          <w:p>
            <w:pPr>
              <w:spacing w:after="0"/>
              <w:rPr>
                <w:sz w:val="20"/>
                <w:szCs w:val="20"/>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 ($)</w:t>
            </w:r>
          </w:p>
        </w:tc>
        <w:tc>
          <w:tcPr>
            <w:tcW w:w="11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Percent (%)</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Per Share ($)</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114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0" w:type="dxa"/>
            <w:vAlign w:val="bottom"/>
            <w:gridSpan w:val="2"/>
          </w:tcPr>
          <w:p>
            <w:pPr>
              <w:jc w:val="right"/>
              <w:ind w:right="9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0" w:type="dxa"/>
            <w:vAlign w:val="bottom"/>
            <w:gridSpan w:val="2"/>
            <w:shd w:val="clear" w:color="auto" w:fill="CCEEFF"/>
          </w:tcPr>
          <w:p>
            <w:pPr>
              <w:jc w:val="right"/>
              <w:ind w:right="97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underwriters’ over-allotment option of [_] shares is exercised in full, the number of shares held by existing stockholders will be reduced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 of the total number of shares to be outstanding after this offering; and the number of shares held by the new investors will be increased to [_] shares,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 of the total number of shares outstanding after this offering.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audited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Company</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other services.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of the Board and President, together with Mr. Raymond Ming Hui Lin, the Company’s Chief Executive Officer and Director are the controlling shareholders of the Company (the “Controlling Shareholders”).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A reorganization of the Company’s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71"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Prior to the reorganization, CLPS Shanghai’s equity interests were 100% controlled by the same group of Controlling Shareholders of CLPS. 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July 25, 2017, the Company incorporated CLIVST, as a holding company, in BVI. On September 27, 2017 and October 24, 2017, the Company incorporated CLPS Guangzhou in Guangzhou, PRC and FDT-CL in Hong Kong.</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September 27, 2017, the Company and a non-controlling interest shareholder of CLPS Beijing incorporated Tianjin Huanyu Qinshang network technology Co., Ltd. (“Huanyu”). The Company subscribed 30% of equity interest in Huanyu for $0.4 million. The Company planned to complete the capital injection of $0.4 million by the end of 2017. On October 17, 2017, the Company invested approximately $0.07 million in JQ for its 55% equity interest. JQ and its 100% owned subsidiary – JL operates software consulting business in Taiwan.</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November 2, 2017, the Controlling Shareholders transferred their 100% ownership interests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of Association of CLPS and a nominal share issuance to the existing shareholders. As a result, the existing shareholders own the same percentage of ownership in CLPS as their ownership interests in CLPS Shanghai prior to the reorganization. Since the Company and its subsidiaries are effectively controlled by the same group of the shareholders before and after the reorganization, they are considered under common control. The above-mentioned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18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The Company is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ISO9001:2008 and CMMI 5 certified, and have been granted certificates of recognition by the Shanghai government, including </w:t>
      </w:r>
      <w:r>
        <w:rPr>
          <w:rFonts w:ascii="Arial" w:cs="Arial" w:eastAsia="Arial" w:hAnsi="Arial"/>
          <w:sz w:val="16"/>
          <w:szCs w:val="16"/>
          <w:i w:val="1"/>
          <w:iCs w:val="1"/>
          <w:color w:val="auto"/>
        </w:rPr>
        <w:t>Enterprise Software Certification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High-tech</w:t>
      </w:r>
      <w:r>
        <w:rPr>
          <w:rFonts w:ascii="Arial" w:cs="Arial" w:eastAsia="Arial" w:hAnsi="Arial"/>
          <w:sz w:val="16"/>
          <w:szCs w:val="16"/>
          <w:color w:val="auto"/>
        </w:rPr>
        <w:t xml:space="preserve"> </w:t>
      </w:r>
      <w:r>
        <w:rPr>
          <w:rFonts w:ascii="Arial" w:cs="Arial" w:eastAsia="Arial" w:hAnsi="Arial"/>
          <w:sz w:val="16"/>
          <w:szCs w:val="16"/>
          <w:i w:val="1"/>
          <w:iCs w:val="1"/>
          <w:color w:val="auto"/>
        </w:rPr>
        <w:t>Enterprise</w:t>
      </w:r>
      <w:r>
        <w:rPr>
          <w:rFonts w:ascii="Arial" w:cs="Arial" w:eastAsia="Arial" w:hAnsi="Arial"/>
          <w:sz w:val="16"/>
          <w:szCs w:val="16"/>
          <w:color w:val="auto"/>
        </w:rPr>
        <w:t>,</w:t>
      </w:r>
      <w:r>
        <w:rPr>
          <w:rFonts w:ascii="Arial" w:cs="Arial" w:eastAsia="Arial" w:hAnsi="Arial"/>
          <w:sz w:val="16"/>
          <w:szCs w:val="16"/>
          <w:i w:val="1"/>
          <w:iCs w:val="1"/>
          <w:color w:val="auto"/>
        </w:rPr>
        <w:t xml:space="preserve"> Little Giant Company for Science and Technology </w:t>
      </w:r>
      <w:r>
        <w:rPr>
          <w:rFonts w:ascii="Arial" w:cs="Arial" w:eastAsia="Arial" w:hAnsi="Arial"/>
          <w:sz w:val="16"/>
          <w:szCs w:val="16"/>
          <w:color w:val="auto"/>
        </w:rPr>
        <w:t>and</w:t>
      </w:r>
      <w:r>
        <w:rPr>
          <w:rFonts w:ascii="Arial" w:cs="Arial" w:eastAsia="Arial" w:hAnsi="Arial"/>
          <w:sz w:val="16"/>
          <w:szCs w:val="16"/>
          <w:i w:val="1"/>
          <w:iCs w:val="1"/>
          <w:color w:val="auto"/>
        </w:rPr>
        <w:t xml:space="preserve"> Professional Talent Development Training Camp</w:t>
      </w:r>
      <w:r>
        <w:rPr>
          <w:rFonts w:ascii="Arial" w:cs="Arial" w:eastAsia="Arial" w:hAnsi="Arial"/>
          <w:sz w:val="16"/>
          <w:szCs w:val="16"/>
          <w:color w:val="auto"/>
        </w:rPr>
        <w:t>. In addition, the Company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recognized as one of the recipients of </w:t>
      </w:r>
      <w:r>
        <w:rPr>
          <w:rFonts w:ascii="Arial" w:cs="Arial" w:eastAsia="Arial" w:hAnsi="Arial"/>
          <w:sz w:val="16"/>
          <w:szCs w:val="16"/>
          <w:i w:val="1"/>
          <w:iCs w:val="1"/>
          <w:color w:val="auto"/>
        </w:rPr>
        <w:t>2017 IDC China Top 25 FinTech Pioneers</w:t>
      </w:r>
      <w:r>
        <w:rPr>
          <w:rFonts w:ascii="Arial" w:cs="Arial" w:eastAsia="Arial" w:hAnsi="Arial"/>
          <w:sz w:val="16"/>
          <w:szCs w:val="16"/>
          <w:color w:val="auto"/>
        </w:rPr>
        <w:t xml:space="preserve"> during the award ceremony spearheaded by IDC on August 25, 2017.</w:t>
      </w:r>
    </w:p>
    <w:p>
      <w:pPr>
        <w:spacing w:after="0" w:line="16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operations are primarily based in China, where we derive a substantial portion of our revenues. For the years ended June 30, 2017 and 2016, our revenues were $31.4 million and $29.0 million, respectively. Revenue generated outside of China was approximately $0.5 million and Nil for fiscal 2017 and 2016, respectively. In fiscal 2017 and 2016, we had a net income of $2.2 million and $1.8 million, respectively. Our total assets as of June 30, 2017 were $13.5 million of which cash and cash equivalent amounted to $4.8 million. Our total liabilities as of June 30, 2017 were $8.2 million.</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most significant factors that affect our business and results of operations include the following:</w:t>
      </w:r>
    </w:p>
    <w:p>
      <w:pPr>
        <w:spacing w:after="0" w:line="225" w:lineRule="exact"/>
        <w:rPr>
          <w:sz w:val="20"/>
          <w:szCs w:val="20"/>
          <w:color w:val="auto"/>
        </w:rPr>
      </w:pPr>
    </w:p>
    <w:p>
      <w:pPr>
        <w:ind w:right="40" w:firstLine="656"/>
        <w:spacing w:after="0" w:line="271" w:lineRule="auto"/>
        <w:tabs>
          <w:tab w:leader="none" w:pos="1162"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also increases. Therefore, our ability to obtain new clients, as well as our ability to maintain and increase business from our existing clients, will have a significant effect on our results of operations and financial condition. During fiscal 2017, our revenue derived from our IT consulting services increased by 4.0% or $1.1 million from fiscal 2016, all attributable to revenue growth from our new clients. IT consulting service revenue from new clients amounted to approximately $2.5 million in fiscal 2017, offset with a reduction of revenue from our existing clients. Our revenues derived from our customized IT solution service significantly increased by 99.1% or $0.9 million from fiscal 2016. The increase in revenue attributable to our new clients was approximately $0.6 million and the rest of growth was attributable to revenue from our existing clients.</w:t>
      </w:r>
    </w:p>
    <w:p>
      <w:pPr>
        <w:spacing w:after="0" w:line="178" w:lineRule="exact"/>
        <w:rPr>
          <w:rFonts w:ascii="Arial" w:cs="Arial" w:eastAsia="Arial" w:hAnsi="Arial"/>
          <w:sz w:val="17"/>
          <w:szCs w:val="17"/>
          <w:color w:val="auto"/>
        </w:rPr>
      </w:pPr>
    </w:p>
    <w:p>
      <w:pPr>
        <w:ind w:right="60" w:firstLine="656"/>
        <w:spacing w:after="0" w:line="257" w:lineRule="auto"/>
        <w:tabs>
          <w:tab w:leader="none" w:pos="11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expand our portfolio of service offerings. We intend to increase our revenues by continuing to expand our service offerings and providing quality service to our existing customers and to attract new customers. Through research and development, targeted hiring and strategic acquisitions, we have proactively invested in broadening our existing service lines, including those for serving our specific industry verticals. As part of our strategy, we will continue to expand our service offerings to provide customized IT solutions to our clients. Our revenue derived from our customized IT solution service significantly increased by 99.1% or $0.9 million from fiscal 2016.</w:t>
      </w:r>
    </w:p>
    <w:p>
      <w:pPr>
        <w:spacing w:after="0" w:line="188" w:lineRule="exact"/>
        <w:rPr>
          <w:rFonts w:ascii="Arial" w:cs="Arial" w:eastAsia="Arial" w:hAnsi="Arial"/>
          <w:sz w:val="18"/>
          <w:szCs w:val="18"/>
          <w:color w:val="auto"/>
        </w:rPr>
      </w:pPr>
    </w:p>
    <w:p>
      <w:pPr>
        <w:ind w:right="20" w:firstLine="656"/>
        <w:spacing w:after="0" w:line="264" w:lineRule="auto"/>
        <w:tabs>
          <w:tab w:leader="none" w:pos="11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use the following key operating metrics to oversee and manage the Company’s business: (i) developing new business, (ii) focusing on the TCP/TDP training programs to provide highly trained and qualified employees to the clients; and (iii) retaining employees to continue to meet client ever-changing needs.</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Our objective is to create value for both our customers and shareholders by enhancing our position as a leading IT services provider in the banking industry in China. We believe our strategic initiatives will continue to generate our sales growth, allow us to focus on managing capital and leveraging costs and drive margins to produce profitability and return on investment for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On November 9, 2016, CLPS Shanghai acquired 60% of Judge (Shanghai) Co., Ltd (“Judge China”) and its 70% owned subsidiary Judge (Shanghai) Human Resource Co., Ltd (“Judge HR”) from Judge Company Asia Limited with the final purchase price of $480,061 (RMB 3.25 million). The Company funded the acquisition with cash and a loan payable of $128,928 (RMB 0.9 million), of which $103,255 was subsequently offset with the company’s receivables from Judge Asia. The Company believes that the acquisition will allow it to better manage opportunities and capitalize on the growth potential of the human resource related industries. The transaction was accounted for as a business combination using the purchase method of accounting. The purchase price allocation of the transaction was determined by the Company with the assistance of an independent appraisal firm based on the estimated fair value</w:t>
      </w:r>
    </w:p>
    <w:p>
      <w:pPr>
        <w:spacing w:after="0" w:line="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 the assets acquired and liabilities assumed as of the acquisition date. The Company recognized goodwill of $195,080 from this acquisition. The goodwill is comprised of the assembled work force and the expected but unidentifiable business growth that the Company expects to realize due to the synergies related to the acquisition.</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June 30, 2017 and 2016</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summarizes the results of our operations for the years ended June 30, 2017 and 2016, respectively, and provides information regarding the dollar and percentage increase or (decrease) during such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4"/>
          </w:tcPr>
          <w:p>
            <w:pPr>
              <w:ind w:left="80"/>
              <w:spacing w:after="0"/>
              <w:rPr>
                <w:sz w:val="20"/>
                <w:szCs w:val="20"/>
                <w:color w:val="auto"/>
              </w:rPr>
            </w:pPr>
            <w:r>
              <w:rPr>
                <w:rFonts w:ascii="Arial" w:cs="Arial" w:eastAsia="Arial" w:hAnsi="Arial"/>
                <w:sz w:val="18"/>
                <w:szCs w:val="18"/>
                <w:b w:val="1"/>
                <w:bCs w:val="1"/>
                <w:color w:val="auto"/>
              </w:rPr>
              <w:t>Year ended June 30, 2017</w:t>
            </w:r>
          </w:p>
        </w:tc>
        <w:tc>
          <w:tcPr>
            <w:tcW w:w="160" w:type="dxa"/>
            <w:vAlign w:val="bottom"/>
          </w:tcPr>
          <w:p>
            <w:pPr>
              <w:spacing w:after="0"/>
              <w:rPr>
                <w:sz w:val="20"/>
                <w:szCs w:val="20"/>
                <w:color w:val="auto"/>
              </w:rPr>
            </w:pPr>
          </w:p>
        </w:tc>
        <w:tc>
          <w:tcPr>
            <w:tcW w:w="2580" w:type="dxa"/>
            <w:vAlign w:val="bottom"/>
            <w:gridSpan w:val="4"/>
          </w:tcPr>
          <w:p>
            <w:pPr>
              <w:ind w:left="100"/>
              <w:spacing w:after="0"/>
              <w:rPr>
                <w:sz w:val="20"/>
                <w:szCs w:val="20"/>
                <w:color w:val="auto"/>
              </w:rPr>
            </w:pPr>
            <w:r>
              <w:rPr>
                <w:rFonts w:ascii="Arial" w:cs="Arial" w:eastAsia="Arial" w:hAnsi="Arial"/>
                <w:sz w:val="18"/>
                <w:szCs w:val="18"/>
                <w:b w:val="1"/>
                <w:bCs w:val="1"/>
                <w:color w:val="auto"/>
              </w:rPr>
              <w:t>Year ended June 30, 2016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As %</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As %</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4"/>
              </w:rPr>
              <w:t>Amount</w:t>
            </w:r>
          </w:p>
        </w:tc>
        <w:tc>
          <w:tcPr>
            <w:tcW w:w="13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Increase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Sales</w:t>
            </w: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31,361,976</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29,024,178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2,337,798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18,669,812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17,463,416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1,206,396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11,560,762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1,131,402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1,206,493</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413,016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793,477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w w:val="96"/>
              </w:rPr>
              <w:t>Research and development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4,232,788</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5,579,058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(1,346,270)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General and administrative expenses</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5,647,790</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4,955,037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692,753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11,087,071</w:t>
            </w:r>
          </w:p>
        </w:tc>
        <w:tc>
          <w:tcPr>
            <w:tcW w:w="22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CCEEFF"/>
              <w:bottom w:val="single" w:sz="8" w:color="CCEEFF"/>
            </w:tcBorders>
            <w:gridSpan w:val="2"/>
          </w:tcPr>
          <w:p>
            <w:pPr>
              <w:jc w:val="right"/>
              <w:ind w:right="180"/>
              <w:spacing w:after="0" w:line="203" w:lineRule="exact"/>
              <w:rPr>
                <w:sz w:val="20"/>
                <w:szCs w:val="20"/>
                <w:color w:val="auto"/>
              </w:rPr>
            </w:pPr>
            <w:r>
              <w:rPr>
                <w:rFonts w:ascii="Arial" w:cs="Arial" w:eastAsia="Arial" w:hAnsi="Arial"/>
                <w:sz w:val="18"/>
                <w:szCs w:val="18"/>
                <w:color w:val="auto"/>
              </w:rPr>
              <w:t>35.4%</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10,947,111</w:t>
            </w:r>
          </w:p>
        </w:tc>
        <w:tc>
          <w:tcPr>
            <w:tcW w:w="20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CCEEFF"/>
              <w:bottom w:val="single" w:sz="8" w:color="CCEEFF"/>
            </w:tcBorders>
            <w:gridSpan w:val="2"/>
          </w:tcPr>
          <w:p>
            <w:pPr>
              <w:jc w:val="right"/>
              <w:ind w:right="120"/>
              <w:spacing w:after="0" w:line="203" w:lineRule="exact"/>
              <w:rPr>
                <w:sz w:val="20"/>
                <w:szCs w:val="20"/>
                <w:color w:val="auto"/>
              </w:rPr>
            </w:pPr>
            <w:r>
              <w:rPr>
                <w:rFonts w:ascii="Arial" w:cs="Arial" w:eastAsia="Arial" w:hAnsi="Arial"/>
                <w:sz w:val="18"/>
                <w:szCs w:val="18"/>
                <w:color w:val="auto"/>
              </w:rPr>
              <w:t>37.7%</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139,960</w:t>
            </w:r>
          </w:p>
        </w:tc>
        <w:tc>
          <w:tcPr>
            <w:tcW w:w="200" w:type="dxa"/>
            <w:vAlign w:val="bottom"/>
            <w:tcBorders>
              <w:top w:val="single" w:sz="8" w:color="CCEEFF"/>
              <w:bottom w:val="single" w:sz="8" w:color="CCEEFF"/>
            </w:tcBorders>
          </w:tcPr>
          <w:p>
            <w:pPr>
              <w:spacing w:after="0"/>
              <w:rPr>
                <w:sz w:val="18"/>
                <w:szCs w:val="18"/>
                <w:color w:val="auto"/>
              </w:rPr>
            </w:pPr>
          </w:p>
        </w:tc>
        <w:tc>
          <w:tcPr>
            <w:tcW w:w="1360" w:type="dxa"/>
            <w:vAlign w:val="bottom"/>
            <w:tcBorders>
              <w:top w:val="single" w:sz="8" w:color="CCEEFF"/>
              <w:bottom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1,605,093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613,651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991,442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Subsidies and other income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508,187</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1,446,408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(938,221)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(10,469)</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(5,935)</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(4,534)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2,102,811</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2,054,124</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48,687</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(118,546)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269,153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(387,699)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00" w:type="dxa"/>
            <w:vAlign w:val="bottom"/>
            <w:vMerge w:val="continue"/>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2,221,357</w:t>
            </w:r>
          </w:p>
        </w:tc>
        <w:tc>
          <w:tcPr>
            <w:tcW w:w="14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1,784,971</w:t>
            </w:r>
          </w:p>
        </w:tc>
        <w:tc>
          <w:tcPr>
            <w:tcW w:w="14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436,386</w:t>
            </w:r>
          </w:p>
        </w:tc>
        <w:tc>
          <w:tcPr>
            <w:tcW w:w="13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and which are billed for on a time-and-expense basis, (ii) customized IT Solutions Service, which primarily includes customized solution development and maintenance service for general enterprises and which are billed for on a fixed-price basis, and (iii) other revenue from product and third-party software sales.</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with enforceable right to payments.</w:t>
      </w:r>
    </w:p>
    <w:p>
      <w:pPr>
        <w:spacing w:after="0" w:line="154"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For fiscal 2017 and 2016, all of our time-and-expense contracts are generated by our IT consulting service for clients in the financial industry. In comparison, all of our fixed-price contracts are generated by our customized IT solution business for clients in the financial industry and others.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310"/>
              <w:spacing w:after="0"/>
              <w:rPr>
                <w:sz w:val="20"/>
                <w:szCs w:val="20"/>
                <w:color w:val="auto"/>
              </w:rPr>
            </w:pPr>
            <w:r>
              <w:rPr>
                <w:rFonts w:ascii="Arial" w:cs="Arial" w:eastAsia="Arial" w:hAnsi="Arial"/>
                <w:sz w:val="18"/>
                <w:szCs w:val="18"/>
                <w:b w:val="1"/>
                <w:bCs w:val="1"/>
                <w:color w:val="auto"/>
                <w:w w:val="89"/>
              </w:rPr>
              <w:t>For the Year ended June 30,</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8"/>
              </w:rPr>
              <w:t>% of total</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8"/>
              </w:rPr>
              <w:t>% of total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3"/>
              </w:rPr>
              <w:t>Variance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5"/>
              </w:rPr>
              <w:t>Revenue</w:t>
            </w: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Revenue</w:t>
            </w:r>
          </w:p>
        </w:tc>
        <w:tc>
          <w:tcPr>
            <w:tcW w:w="12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8"/>
              </w:rPr>
              <w:t>Revenue</w:t>
            </w:r>
          </w:p>
        </w:tc>
        <w:tc>
          <w:tcPr>
            <w:tcW w:w="1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Variance</w:t>
            </w:r>
          </w:p>
        </w:tc>
        <w:tc>
          <w:tcPr>
            <w:tcW w:w="13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29,146,470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28,015,173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1,131,297</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1,846,423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927,185</w:t>
            </w:r>
          </w:p>
        </w:tc>
        <w:tc>
          <w:tcPr>
            <w:tcW w:w="14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919,238</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369,083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81,820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287,263</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CCEEFF"/>
            </w:tcBorders>
            <w:gridSpan w:val="3"/>
            <w:vMerge w:val="restart"/>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31,361,976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29,024,178</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2,337,798</w:t>
            </w:r>
          </w:p>
        </w:tc>
        <w:tc>
          <w:tcPr>
            <w:tcW w:w="15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6" w:name="page47"/>
    <w:bookmarkEnd w:id="4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total revenues increased by approximately $2.3 million, or 8.1%, to approximately $31.4 million for the fiscal year ended June 30, 2017 from approximately $29.0 million for the fiscal year ended June 30, 2016. The overall growth in our revenues reflected an increase in revenues from both of our IT consulting service and customized IT solution service.</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For the year ended June 30, 2017, revenue derived from our IT consulting services increased by 4.0% to $29.1 million from $28.0 million in fiscal 2016, primarily reflecting the increasing demands for our IT consulting service from banks and other financial institutions. For fiscal 2017 and 2016, 54.0% and 69.5% of our IT consulting service revenue were from international banks. In fiscal 2017, we strengthened our expertise in the financial industry to leverage our existing industry knowledge and grew our customer base of local Chinese financial institutions.</w:t>
      </w:r>
    </w:p>
    <w:p>
      <w:pPr>
        <w:spacing w:after="0" w:line="17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For the year ended June 30, 2017, revenues derived from our customized IT solution service significantly increased by 99.1% to $1.8 million from $0.9 million in fiscal 2016. Historically, IT consulting services have contributed the substantial majority of our net revenues. In recent years, we started to develop customized IT solution service to small and medium enterprises (“SME”) in China. With the growing demand for our financial IT solution innovations and e-banking technology, our financial IT solutions service provides SMEs affordable integrated technologies that are reshaping our customers’ business and operating models. We plan to expand our financial IT solution service in China, which is driven by the increased adoption of big data, platform engineering for cloud solutions and an expanded range of services, such as artificial intelligence.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cost of revenues mainly consists of compensation benefit expenses for our IT professionals, travel expenses and material costs. Our cost of revenues increased by $1.2 million or 6.9% to approximately $18.7 million in fiscal 2017 from approximately $17.5 million in fiscal 2016, primarily as a result of increased headcount, expanded office facilities and increase of depreciation and amortization expenses to enable and match the growth of our business. As a percentage of revenues, our cost of revenues are consistently around 60% for both fiscal 2017 and 2016. Our total number of employees grew from 1,055 employees as of June 30, 2016 to 1,242 employees as of June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gross profit increased by $1.1 million, or 9.8%, to approximately $12.7 million in fiscal 2017 from approximately $11.6 million in fiscal 2016. As a percentage of revenues, our gross margin slightly increased from 39.8% in fiscal 2016 to 40.5% in fiscal 2017. The higher gross profit margin in fiscal 2017 was primarily attributable to the increase in our billing rates of both IT consulting services and customized IT solution services. As our IT consulting services scale and mature, we are able to generate higher gross margins. Also, customized IT solution services contribute favorably to our client retention and understanding of our clients’ businesses, and provide opportunities to cross-sell our other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revenues and marketing personnel, and also included entertainment, travel and transportation, and other expenses relating to our marketing activities.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Selling and marketing expenses increased by $0.8 million or 192.1% from $0.4 million in fiscal 2016 to $1.2 million in fiscal 2017. The increase was primarily attributable to our expansion of the pre-sales and marketing teams in Shanghai and Dalian, China to support our operations. Accordingly, as a percentage of sales, our selling expenses were 3.8% of revenues in fiscal 2017 as compared to 1.4% in fiscal 2016. While we expect our selling and marketing expenses to increase as we continue our business expansion, we expect these expenses to remain relatively steady as a percentage of our net revenues to support our business growth in the near future.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R&amp;D expenses primarily consisted of compensation and benefit expenses relating to our research and development personnel as well as office overhead and other expenses relating to our R&amp;D activities. Our R&amp;D expenses decreased by $1.4 million from $5.6 million in fiscal 2016 to $4.2 million in fiscal 2017, representing 13.5% and 19.2% of our total revenues for fiscal 2017 and 2016, respectively. The increased R&amp;D expense in fiscal 2016 is attributable to the launch of several research projects related to cloud computing and mobile internet application in fiscal 2016. Upon completion of these projects in fiscal 2017, the related IT developers were transferred to our production department. As a result, the related compensation for these individuals was included as a cost of revenue in fiscal 2017. We expect to increase our investment in research and development to enhance our industry knowledge, improve our competitiveness and enable us to identify attractive market opportunities for new and enhanced services and solutions.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rental expenses, depreciation and amortization expenses, office overhead, professional service fees and travel and transportation costs.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General and administrative expenses increased by $0.6 million or 14.0% from approximately $5.0 million in fiscal 2016 to approximately $5.6 million in fiscal 2017, almost all of which is attributable to increasing headcount and related staff costs in Hong Kong and Australia, which approximated $0.6 million. We incorporated CLPS Technology (Australia) PTY LTD (“CLPS AU”) in November 2015 and CLPS Technology (Hong Kong) Co., Limited (“CLPS Hong Kong”) in January 2016 to provide service for our international client’s local operations. Additionally, we acquired Judge (Shanghai) Technology service Co., Ltd (“Judge China”) in November 2016; Judge China accounted for approximately $0.1 million increase in our general and administrative expense in fiscal 2017. As a percentage of revenues, general and administrative expenses were 18.0% and 17.1% of our revenue in fiscal 2017 and 2016,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income</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Subsidies and other income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$0.4 million and $1.3 million for the years ended June 30, 2017 and 2016, respectively. The decrease in government subsidies in fiscal 2017 was because local government was in the process of amending the existing subsidy policy and deferred the approvals for government subsidies that are applicable to us. While we expect the continued support of local government to promote the technology industry, we only record government subsidies as subsidies and other income when received due to uncertainties.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income before income taxes was approximately $2.1 million in fiscal 2017, an increase of 2.4% compared with fiscal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provision for income taxes benefit was $0.1 million in fiscal 2017, compared to $0.3 million income tax expense in fiscal 2016. Our current income tax provision decrease by approximately $0.3 million. The decrease of the current income tax provision is mainly due to CLPS Dalian has qualified as Software Enterprise and is enjoying two-year income tax exemption starting from their first profitable year. The increase of $0.1 million in deferred tax benefit was mainly because we recognized deferred tax assets as a result of the net operating losses carry forward for some of our subsidiaries.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Our net income was approximately $2.2 million in fiscal 2017, an increase of $0.4 million from $1.8 million in fiscal 2016. The increase in net income was in line with increased revenues, gross profit and operating expenses for fiscal 2017 as compared to fiscal 2016 as mentioned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Foreign currency translation adjustments amounted to a loss of $0.1 million and $0.4 million for the years ended June 30, 2017 and 2016, respectively. The balance sheet amounts with the exception of equity as of June 30, 2017 were translated at 6.7793 RMB to 1.00 USD as compared to 6.6459 RMB to 1.00USD as of June 30, 2016. The equity accounts were stated at their historical rate. The average translation rates applied to the income statements accounts for the years ended June 30, 2017 and 2016 were 6.8087 RMB to 1.00 USD and 6.4405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June 30, 2017, we had cash and cash equivalents of approximately $4.8 million. Our current assets were approximately $12.3 million, and our current liabilities were approximately $8.2 million. Total shareholders’ equity as of June 30, 2017 was approximately $5.3 million. We believe that we will have sufficient working capital to operate our business for the next 12 months.</w:t>
      </w:r>
    </w:p>
    <w:p>
      <w:pPr>
        <w:spacing w:after="0" w:line="18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Substantially all of our operations are conducted in China and all of our revenue, expenses, cash and cash equivalents are denominated in RMB. RMB is subject to the exchange control regulation in China, and, as a result, we may have difficulty distributing any dividends outside of China due to PRC exchange control regulations that restrict our ability to convert RMB into U.S. dollars. As of June 30, 2017, cash and cash equivalents of approximately $4.2 million, $0.1 million, $0.1 million and $0.4 million were held by the Company and its subsidiaries in mainland PRC, Singapore, Australia and Hong Kong, respectively. We would need to accrue and pay withholding taxes if we were to distribute funds from our subsidiaries in China to our offshore subsidiaries. We do not intend to repatriate such funds in the foreseeable future, as we plan to use existing cash balance in PRC for general corporate purposes.</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For years ended June 30, 2017 and 2016, our operating cash flow was positive. We have historically funded our working capital needs primarily from operations, advance payments from customers and shareholders. Our working capital requirements are affected by the efficiency of our operations, the numerical volume and dollar value of our sales contracts, the progress or execution on our customer contracts, and the timing of accounts receivable collections.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summary of our cash flows for the periods indicated:</w:t>
      </w:r>
    </w:p>
    <w:p>
      <w:pPr>
        <w:spacing w:after="0" w:line="2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0" w:type="dxa"/>
            <w:vAlign w:val="bottom"/>
            <w:tcBorders>
              <w:bottom w:val="single" w:sz="8" w:color="CCEEFF"/>
            </w:tcBorders>
          </w:tcPr>
          <w:p>
            <w:pPr>
              <w:spacing w:after="0"/>
              <w:rPr>
                <w:sz w:val="21"/>
                <w:szCs w:val="21"/>
                <w:color w:val="auto"/>
              </w:rPr>
            </w:pPr>
          </w:p>
        </w:tc>
        <w:tc>
          <w:tcPr>
            <w:tcW w:w="5640" w:type="dxa"/>
            <w:vAlign w:val="bottom"/>
            <w:tcBorders>
              <w:bottom w:val="single" w:sz="8" w:color="CCEEFF"/>
            </w:tcBorders>
          </w:tcPr>
          <w:p>
            <w:pPr>
              <w:spacing w:after="0"/>
              <w:rPr>
                <w:sz w:val="21"/>
                <w:szCs w:val="21"/>
                <w:color w:val="auto"/>
              </w:rPr>
            </w:pPr>
          </w:p>
        </w:tc>
        <w:tc>
          <w:tcPr>
            <w:tcW w:w="27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(101,218)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(374,348)</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(832,752)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(378,837)</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Effect of exchange rate change</w:t>
            </w: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(153,002)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(227,771)</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(462,628)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3,481,312</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5"/>
              </w:rPr>
              <w:t>Cash</w:t>
            </w:r>
          </w:p>
        </w:tc>
        <w:tc>
          <w:tcPr>
            <w:tcW w:w="5640" w:type="dxa"/>
            <w:vAlign w:val="bottom"/>
          </w:tcPr>
          <w:p>
            <w:pPr>
              <w:ind w:left="40"/>
              <w:spacing w:after="0"/>
              <w:rPr>
                <w:sz w:val="20"/>
                <w:szCs w:val="20"/>
                <w:color w:val="auto"/>
              </w:rPr>
            </w:pPr>
            <w:r>
              <w:rPr>
                <w:rFonts w:ascii="Arial" w:cs="Arial" w:eastAsia="Arial" w:hAnsi="Arial"/>
                <w:sz w:val="18"/>
                <w:szCs w:val="18"/>
                <w:color w:val="auto"/>
              </w:rPr>
              <w:t>and cash equivalents, beginning of year</w:t>
            </w:r>
          </w:p>
        </w:tc>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5,277,196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1,795,884</w:t>
            </w:r>
          </w:p>
        </w:tc>
        <w:tc>
          <w:tcPr>
            <w:tcW w:w="0" w:type="dxa"/>
            <w:vAlign w:val="bottom"/>
          </w:tcPr>
          <w:p>
            <w:pPr>
              <w:spacing w:after="0"/>
              <w:rPr>
                <w:sz w:val="1"/>
                <w:szCs w:val="1"/>
                <w:color w:val="auto"/>
              </w:rPr>
            </w:pPr>
          </w:p>
        </w:tc>
      </w:tr>
      <w:tr>
        <w:trPr>
          <w:trHeight w:val="27"/>
        </w:trPr>
        <w:tc>
          <w:tcPr>
            <w:tcW w:w="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5"/>
              </w:rPr>
              <w:t>Cash</w:t>
            </w:r>
          </w:p>
        </w:tc>
        <w:tc>
          <w:tcPr>
            <w:tcW w:w="56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and cash equivalents, end of year</w:t>
            </w:r>
          </w:p>
        </w:tc>
        <w:tc>
          <w:tcPr>
            <w:tcW w:w="2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vMerge w:val="continue"/>
            <w:shd w:val="clear" w:color="auto" w:fill="CCEEFF"/>
          </w:tcPr>
          <w:p>
            <w:pPr>
              <w:spacing w:after="0"/>
              <w:rPr>
                <w:sz w:val="21"/>
                <w:szCs w:val="21"/>
                <w:color w:val="auto"/>
              </w:rPr>
            </w:pPr>
          </w:p>
        </w:tc>
        <w:tc>
          <w:tcPr>
            <w:tcW w:w="5640" w:type="dxa"/>
            <w:vAlign w:val="bottom"/>
            <w:vMerge w:val="continue"/>
            <w:shd w:val="clear" w:color="auto" w:fill="CCEEFF"/>
          </w:tcPr>
          <w:p>
            <w:pPr>
              <w:spacing w:after="0"/>
              <w:rPr>
                <w:sz w:val="21"/>
                <w:szCs w:val="21"/>
                <w:color w:val="auto"/>
              </w:rPr>
            </w:pPr>
          </w:p>
        </w:tc>
        <w:tc>
          <w:tcPr>
            <w:tcW w:w="30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4,814,568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5,277,196</w:t>
            </w:r>
          </w:p>
        </w:tc>
        <w:tc>
          <w:tcPr>
            <w:tcW w:w="0" w:type="dxa"/>
            <w:vAlign w:val="bottom"/>
          </w:tcPr>
          <w:p>
            <w:pPr>
              <w:spacing w:after="0"/>
              <w:rPr>
                <w:sz w:val="1"/>
                <w:szCs w:val="1"/>
                <w:color w:val="auto"/>
              </w:rPr>
            </w:pPr>
          </w:p>
        </w:tc>
      </w:tr>
      <w:tr>
        <w:trPr>
          <w:trHeight w:val="21"/>
        </w:trPr>
        <w:tc>
          <w:tcPr>
            <w:tcW w:w="42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Net cash provided by operating activities was approximately $0.6 million in fiscal 2017, including net income of $2.2 million, adjusted for non-cash items of $8,975 and negative adjustments for changes in operating assets and liabilities of $1.6 million. The adjustments for changes in operating assets and liabilities mainly included an increase in accounts receivable of $2.4 million due to increased sales in fiscal 2017. During fiscal 2017, our revenue turnover in days was 65 days, slightly increased from 64 days in fiscal 2016. The adjustments for changes in operating assets and liabilities also included an increase in deferred costs of $0.2 million for project progress and an increase in prepaid income tax of $0.2 million, and offset with an increase in salaries and benefits payable of $0.9 million due to unpaid employee compensation and benefits and an increase in tax payable of $0.2 million due to increased revenue in fiscal 2017.</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9" w:name="page50"/>
    <w:bookmarkEnd w:id="4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Net cash provided by operating activities for the year ended June 30, 2016 was approximately $4.5 million, which was primarily attributable to net income of approximately $1.8 million, adjusted for non-cash items for approximately $0.04 million and positive adjustments for changes in working capital of approximately $2.7 million. The adjustments for changes in working capital mainly included (i) decrease in accounts receivable of approximately $1.1 million due to an increase in sales collections in fiscal 2016, (ii) increase in salaries and benefits payable of $1.0 million due to unpaid employee compensation and benefits and (iii) decrease in prepayment of approximately $0.4 million due to utilization in our operation.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Net cash used in investing activities was approximately $0.1 million in fiscal 2017, primarily due to our acquisition of Judge China in fiscal 2017, to better manage opportunities and capitalize on the growth potential in the human resource related industry in China.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in investing activities was approximately $0.4 million in fiscal 2016, primarily due to our purchases of office equipment and furniture.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Net cash used in financing activities was approximately $0.8 million in fiscal 2017. During fiscal 2017, we repaid related parties loans of approximately $0.1 million and paid $0.7 million of dividends to our existing shareholders.</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Net cash used in financing activities was approximately $0.4 million in fiscal 2016. In fiscal 2016, proceeds from our shareholder’s contributions amounted to $2.1 million, and collection of restricted cash of $2.5 million. We paid $5.3 million of dividends to our existing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made capital expenditures of $0.06 million and $0.3 million for the years ended June 30, 2017 and 2016, respectively. In these periods, our capital expenditures were mainly used for purchases of office equipment. The Company will continue to make capital expenditures to meet the expected growth of its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do not believe the impact of inflation on our company is material. Our operations are in China and China’s inflation rates have been relatively stable over the last two years: 1.4% in 2016 and 2.0%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subsidiaries lease office spaces under various operating leases. Operating lease expense amounted to $565,328 and $431,043 for the years ended June 30, 2017 and 2016, respectively. The following table sets forth our contractual obligations and commercial commitments as of June 30,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ind w:left="880"/>
              <w:spacing w:after="0"/>
              <w:rPr>
                <w:sz w:val="20"/>
                <w:szCs w:val="20"/>
                <w:color w:val="auto"/>
              </w:rPr>
            </w:pPr>
            <w:r>
              <w:rPr>
                <w:rFonts w:ascii="Arial" w:cs="Arial" w:eastAsia="Arial" w:hAnsi="Arial"/>
                <w:sz w:val="18"/>
                <w:szCs w:val="18"/>
                <w:b w:val="1"/>
                <w:bCs w:val="1"/>
                <w:color w:val="auto"/>
                <w:w w:val="92"/>
              </w:rPr>
              <w:t>Payment Due by Period</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88"/>
              </w:rPr>
              <w:t>Less than 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1-3 Years</w:t>
            </w: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w w:val="94"/>
              </w:rPr>
              <w:t>3-5 Years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arrangements</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931,047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520,637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410,410</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340"/>
              <w:spacing w:after="0" w:line="203" w:lineRule="exact"/>
              <w:rPr>
                <w:sz w:val="20"/>
                <w:szCs w:val="20"/>
                <w:color w:val="auto"/>
              </w:rPr>
            </w:pPr>
            <w:r>
              <w:rPr>
                <w:rFonts w:ascii="Arial" w:cs="Arial" w:eastAsia="Arial" w:hAnsi="Arial"/>
                <w:sz w:val="18"/>
                <w:szCs w:val="18"/>
                <w:color w:val="auto"/>
                <w:w w:val="86"/>
              </w:rPr>
              <w:t>931,047</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520,637</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410,410</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Commitments and Arrangements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off-balance sheet arrangements for the years ended June 30, 2017 and 2016 that have or that in the opinion of management are likely to have, a current or future material effect on our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by the United States of America (“U.S. GAAP”), which requires us to make judgments, estimates and assumptions that affect our reported amount of assets, liabilities, revenue, costs and expenses, and any related disclosures. Although there was no material changes made to the accounting estimates and assumptions in the past two years,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7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believe that the following accounting policies involve a higher degree of judgment and complexity in their application and require us to make significant accounting estimates. Accordingly, these are the policies we believe are the most critical to understanding and evaluating our consolidated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intangible assets, goodwill impairment, the impairment of long-lived assets, provision for contingent liabilities, revenue recognition, accrued expenses and other current liabilities and realization of deferred tax assets. Actual results could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provides a comprehensive range of IT services and solutions, the contracts for which are billed for primarily are on a time-and-expense basis, or fixed-price basis.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Time-and-expense basis contracts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Fixed-price basis contracts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Revenues from fixed-price customized solution contracts require the Company to perform services for systems design, planning and integration based on customers’ specific needs. These solutions require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of time ranging from three months to one year (“PCS period”) after the customized application is delivered. The type of service for PCS clause is generally not specified in the contract or stand-ready service on when-and-if-available basis.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the following service elements in negotiating a fixed-fee solution contract:</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Solution development service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PCS,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Specific service such as training, if applicable</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multiple-element arrangements that include application customized services and PCS as well as specific service components, if applicable, the Company allocates contract revenue to all deliverables based on their relative selling prices. The Company uses a hierarchy to determine the selling price to be used for allocating revenue to the deliverables: (i) vendor-specific objective evidence of fair value (“VSOE”), (ii) third-party evidence of the selling price (“TPE”) and (iii) best estimate of the selling price (“BESP”). The Company uses VSOE of selling price in the selling price allocation in all instances where it exists; otherwise, BESP is used. Because the Company’s customized application differs substantially from that of competitors, it is difficult to obtain the reliable standalone competitive pricing necessary to establish TPE. VSOE of selling price for products and services is determined when a substantial majority of the selling prices fall within a reasonable range when sold separately.</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Revenue allocated to solution development service components is recognized using contract accounting in accordance with Accounting Standards Codification (“ASC”) 605-35. The revenue recognition for these contracts varies depending on the terms of the individual contracts, and may be recognized proportionally over the term of the contract or deferred until the end of the contract term and recognized when our obligations to the customer have been fulfilled with the customer. For contacts with development period within three months, the related revenue is recognized on the completed contract method. Otherwise,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as the best available indicator of the pattern and timing in which contract obligations are fulfilled. Pursuant to the contract terms, the Company has enforceable rights to payments for the work performed. Provisions for estimated losses, if any, on uncompleted contracts are recorded in the period in which such losses become probable based on the current contract estimates. In instances where substantive acceptance provisions are specified in customer contracts, revenues are deferred until all acceptance criteria have been met.</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fixed-priced customized solution arrangement provides customers with rights to unspecified PCS, if and when available. These services grant the customers on line and telephone access to technical support personnel during the term of the service. The revenue allocated to unspecific PCS component is deferred and recognized on a straight-line basis over the PCS period. Revenue allocates to the specific PCS or other services is recognized as the related services are rendered.</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To date, the Company has not incurred a material loss on any contracts. However, as a policy, provisions for estimated losses on such engagements will be made during the period in which a loss becomes probable and can be reasonably estimated.</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Differences between the timing of billings and the recognition of revenue based on various methods of accounting are recorded as deferred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1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Net revenue includes reimbursements of travel and out-of-pocket expense, with equivalent amounts of expense recorded in cost of revenue. The Company reports revenues net of value added tax (“VAT”). The Company’s subsidiaries in the PRC are subject to a 6% to 17% value added tax (“VAT”) and related surcharges on the revenues earned from providing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Accounts receivable are recorded at original invoice.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 off against the allowance for doubtful accounts after management has determined that the likelihood of collection is not probable.</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Unbilled accounts receivable included in accounts receivable represent revenue earned on contracts to be billed, in subsequent periods, as per the terms of the related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Business combinations are recorded using the business acquisition method of accounting. The assets acquired, the liabilities assumed, and any non-controlling interest of the acquiree at the acquisition date, if any, are measured at their fair values as of that date. Goodwill is recognized and measured as the excess of the total consideration transferred plus the fair value of any non-controlling interest of the acquiree, if any, at the acquisition date over the fair values of the identifiable net assets acquired.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operations as an allocation of the total income or loss for the year between non-controlling interest holders and the shareholders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with definite lives</w:t>
      </w:r>
    </w:p>
    <w:p>
      <w:pPr>
        <w:spacing w:after="0" w:line="225"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Intangible assets, other than goodwill, are initially measured and recorded at their fair values. Intangible assets primarily consists of customer contacts acquired by Judge China. Customer contacts are amortized using the estimated attrition pattern which is estimated over 10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Goodwill represents the excess of the consideration over the fair value of the net assets acquired at the date of acquisition. Goodwill is not amortized but rather tested for impairment at least annually at the reporting unit level by applying a fair value based test in accordance with accounting and disclosure requirements for goodwill and other indefinite lived intangible assets. This test is performed by management annually or more frequently if the Company believes impairment indicators are present. There was only one reporting unit (that also represented the operating segment) as of June 30, 2017. Goodwill was allocated to the one reporting unit as of June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assessed discounted cash flow amount.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The Company reviews the carrying value of intangible assets not subject to amortization, including goodwill, to determine whether impairment may exist annually or more frequently if events and circumstances indicate that it is more likely than not that an impairment has occurred. The Company has the option to assess qualitative factors to determine whether it is necessary to perform the two-step in accordance with ASC 350-20. If the Company believes, as a result of the qualitative assessment, that it is more likely than not that the fair value of the reporting unit is less than its carrying amount, the two-step quantities impairment test described below is required. The first step compares the fair values of each reporting unit to its carrying amount, including goodwill. If the fair value of each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acquisition with the allocation of the assessed fair value determined in the first step to the assets and liabilities of the reporting unit. The excess of the fair value of the reporting unit over the amounts assigned to the assets and liabilities is the implied fair value of goodwill. An impairment loss is recognized for any excess in the carrying value of goodwill over the implied fair value of goodwill. Estimating fair value is performed by utilizing various valuation techniques, with the primary technique being a discounted cash flow. There was no impairment of goodwill during the years ended June 30, 2017 and 2016, respectively.</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Research and development incurred in the development of new software modules and products, either as part of the internally used software or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when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subsidies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 Total government subsidies amounted to $385,448 and $1,282,882 for the years ended June 30, 2017 and 2016, respectively, and were included in other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5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June 30, 2017 and 2016. All of the tax returns of the Company remain subject to examination by the tax authorities for five years from the date of filing through year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firstLine="648"/>
        <w:spacing w:after="0" w:line="282"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(Topic 606)”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“Deferral of the Effective Date”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the Company’s fiscal year beginning July 1, 2018. In March 2016, the FASB issued ASU No. 2016-08, “Principal versus Agent Considerations (Reporting Revenue versus Net)” (“ASU 2016-08”), which clarifies the implementation guidance on principal versus agent considerations in the new revenue recognition standard. In April 2016, the FASB issued ASU No. 2016-10, “Identifying Performance Obligations and Licensing” (“ASU 2016-10”), which reduces the complexity when applying the guidance for identifying performance obligations and improves the operability and understandability of the license implementation guidance. In May 2016, the FASB issued ASU No. 2016-12 “Narrow-Scope Improvements and Practical Expedients” (“ASU 2016-12”), which amends the guidance on transition, collectability, noncash consideration and the presentation of sales and other similar taxes. In December 2016, the FASB further issued ASU 2016-20, “Technical Corrections and Improvements to Topic 606, Revenue from Contracts with Customers” (“ASU 2016-20”), which makes minor corrections or minor improvements to the Codification that are not expected to have a significant effect on current accounting practice or create a significant administrative cost to most entities. The amendments are intended to address implementation and provide additional practical expedients to reduce the cost and complexity of applying the new revenue standard. These amendments have the same effective date as the new revenue standard. We are planning to adopt Topic 606 in the first quarter of our fiscal 2019 using the retrospective transition method, and are continuing to evaluate the impact our pending adoption of Topic 606 will have on our unaudited condensed consolidated financial statements. The Company’s current revenue recognition policies are generally consistent with the new revenue recognition standards set forth in ASU 2014-</w:t>
      </w:r>
    </w:p>
    <w:p>
      <w:pPr>
        <w:spacing w:after="0" w:line="12" w:lineRule="exact"/>
        <w:rPr>
          <w:sz w:val="20"/>
          <w:szCs w:val="20"/>
          <w:color w:val="auto"/>
        </w:rPr>
      </w:pPr>
    </w:p>
    <w:p>
      <w:pPr>
        <w:ind w:right="420" w:firstLine="8"/>
        <w:spacing w:after="0" w:line="255" w:lineRule="auto"/>
        <w:tabs>
          <w:tab w:leader="none" w:pos="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adjustments to input measures are not expected to be pervasive to the majority of the Company’s contracts. While no significant impact is expected upon adoption of the new guidance, the Company will not be able to make that determination until the time of adoption based upon outstanding contracts at that time.</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In November 2015, the FASB issued ASU No. 2015-17 ("ASU 2015-17"), Income Taxes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 The amendments in this update are effective for fiscal years beginning after December 15, 2016, and interim periods therein and may be applied either prospectively or retrospectively to all periods presented. Early adoption is permitted. The Company elected to early adopt the ASU 2015-17 in 2016 on a retrospective basis. The adoption of ASU 2015-17 did not have material impact on the consolidated financial statements.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February 2016, the FASB issued ASU No. 2016-02, Leases (Topic 842), to increase the transparency and comparability about leases among entities. The new guidance requires lessees to recognize a lease liability and a corresponding lease asset for virtually all lease contracts. It also requires additional disclosures about leasing arrangements. ASU 2016-02 is effective for interim and annual periods beginning after December 15, 2018, and requires a modified retrospective approach to adoption assuming the Company will remain an emerging growth company at that date. Early adoption is permitted. The Company has not early adopted this update and it will become effective on July 1, 2019. The Company is currently evaluating the impact of this new standard on its consolidated financial statements and related disclosures.</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August, 2016, the FASB issued a new pronouncement ASU 2016-15, Statement of Cash Flows (Topic 230): Classification of Certain Cash Receipts and Cash Payments, which amends the guidance in ASC 230 on the classification of certain cash receipts and payments in the statement of cash flows. The primary purpose of the ASU is to reduce the diversity in practice that has resulted from the lack of consistent principles on this topic. The ASU’s amendments add or clarify guidance on eight cash flow issues: (1)Debt prepayment or debt extinguishment costs; (2)Settlement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(8) Separately identifiable cash flows and application of the predominance principle. For public business entities, the guidance in the ASU is effective for fiscal years beginning after December 15, 2017, including interim periods within those fiscal years assuming the Company will remain as emerging growth company at that date. Early adoption is permitted for all entities. Entities must apply the guidance retrospectively to all periods presented but may apply it prospectively from the earliest date practicable if retrospective application would be impracticable. The Company has not early adopted this update and it will become effective on July 1, 2018. The Company is in the process of evaluating the impact that this guidance will have on its consolidated financial statements.</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October 2016, FASB issued ASU 2016-16, “Income Taxes: Intra-Entity Transfers of Assets Other than Inventory” which amends the accounting for income taxes. The new guidance requires the recognition of the income tax consequences of an intra-entity asset transfer, other than transfers of inventory, when the transfer occurs. For intra-entity transfers of inventory, the income tax effects will continue to be deferred until the inventory has been sold to a third party. The ASU is effective for reporting periods beginning after December 15, 2017 assuming the Company will remain as emerging growth company at the date, with early adoption permitted. The new guidance is required to be applied on a modified retrospective basis through a cumulative-effect adjustment directly to retained earnings as of the beginning of the period of adoption. The Company has not early adopted this update and it will become effective on July 1, 2018. The Company is currently evaluating the effects, if any, that the adoption of this guidance will have on the Company’s consolidated financial position, results of operations and cash flows.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October 2016, the FASB issued ASU No. 2016-17, Consolidation (Topic 810): Interest Held through Related Parties That Are under Common Control, to provide guidance on the evaluation of whether a reporting entity is the primary beneficiary of a VIE by amending how a reporting entity, that is a single decision maker of a VIE, treats indirect interests in that entity held through related parties that are under common control. The amendments are effective for public business entities for fiscal years beginning after December 15, 2016, including interim periods within those fiscal years assuming the Company will remain an emerging growth company at that date. Early adoption is permitted, including adoption in an interim period. The Company has not early adopted this update and it will become effective on July 1, 2017. The Company is currently evaluating the impact of this new standard on its consolidated financial statements and related disclosures.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or businesses. These amendments take effect for public businesses for fiscal years beginning after December 15, 2017 and interim periods within those periods assuming the Company will remain an emerging growth company at that date. The Company has not early adopted this update and it will become effective on July 1, 2018. The Company does not expect that the adoption of this guidance will have a material impact on its condensed consolidated financial statements.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This new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which means that it will be effective for us in the first quarter of our fiscal year beginning July 1, 2020 assuming the Company still remains an emerging growth company at that date. Early adoption is permitted. The Company is currently evaluating the impact of our pending adoption of ASU 2017-04 on its consolidated financial statements.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May 2017, the FASB issued ASU No. 2017-09, Scope of Modification Accounting, to provide guidance to clarify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changes in terms or conditions. ASU 2017-09 is effective for all entities for annual periods, and interim periods within those annual periods, beginning after December 15, 2017 assuming the Company still remains an emerging growth company at that date. Early adoption is permitted and application is prospective. The Company has not early adopted this update and it will become effective on July 1, 2018. The Company does not expect that the adoption of this guidance will have a material impact on its condensed consolidated financial statements.</w:t>
      </w:r>
    </w:p>
    <w:p>
      <w:pPr>
        <w:spacing w:after="0" w:line="18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Company does not believe other recently issued but not yet effective accounting statements, if recently adopted, would have a material effect on the Company’s consolidated balance sheets, statements of income and comprehensive income and statements of cash flows.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and Hong Kong, and their PRC-based IT centers. We have created and developed a particular market niche by providing turn-key financial solution. Since our inception, we have aimed to build one of the largest sales and service delivery platforms for IT services and solutions in China. We maintain eleven delivery and or research and 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Background</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CLPS Incorporation was incorporated under the laws of the Cayman Islands on May 11, 2017. Our share capital of the Company is US$10,000, which is divided into 100,000,000 common shares are authorized with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spacing w:after="0" w:line="18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On December 23, 2005, CLPS Shanghai increased its registered capital to RMB1,000,000 (approximately US$123,671). Jingsu Pan and Xiaochun Deng respectively made full payment for their subscribed capital to RMB500,000 (approximately US$61,835) on December 21.</w:t>
      </w:r>
    </w:p>
    <w:p>
      <w:pPr>
        <w:spacing w:after="0" w:line="14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 xml:space="preserve">On March 29, 2010, Yan Pan entered into a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Jingsu Pan to purchase all of Jingsu Pan’s shares in CLPS Shanghai. Pursuant to the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Yan Pan paid RMB¥ 500,000 (approximately US$61,835) for 50% shares of CLPS Shanghai. After this share transfer, Yan Pan and Xiaochun Deng respectively held 50% shares of CLPS Shanghai.</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On October 19, 2010, Raymond Ming Hui Lin entered into a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Xiaochun Deng to purchase all of Xiaochun Deng’s shares in CLPS Shanghai. Pursuant to the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Raymond Ming Hui Lin paid RMB500,000 (approximately US$61,835) for 50% shares of CLPS Shanghai. After this share transfer, Yan Pan and Raymond Ming Hui Lin respectively held 50% shares of CLPS Shanghai. Since Raymond Ming Hui Lin is a Hong Kong resident, CLPS Shanghai changed its form in a Sino-foreign equity joint venture.</w:t>
      </w:r>
    </w:p>
    <w:p>
      <w:pPr>
        <w:spacing w:after="0" w:line="17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 Ming Hui Lin actually paid RMB1,008,120 (approximately US$161,296) for the capital contributions on October 18, 2012.</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On October 30, 2013, Xiao Feng Yang entered into a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Yan Pan to purchase all of Yan Pan’s shares in CLPS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Shanghai. Pursuant to the </w:t>
      </w:r>
      <w:r>
        <w:rPr>
          <w:rFonts w:ascii="Arial" w:cs="Arial" w:eastAsia="Arial" w:hAnsi="Arial"/>
          <w:sz w:val="16"/>
          <w:szCs w:val="16"/>
          <w:i w:val="1"/>
          <w:iCs w:val="1"/>
          <w:color w:val="auto"/>
        </w:rPr>
        <w:t>Share Purchase Agreement</w:t>
      </w:r>
      <w:r>
        <w:rPr>
          <w:rFonts w:ascii="Arial" w:cs="Arial" w:eastAsia="Arial" w:hAnsi="Arial"/>
          <w:sz w:val="16"/>
          <w:szCs w:val="16"/>
          <w:color w:val="auto"/>
        </w:rPr>
        <w:t>, Xiao Feng Yang paid RMB2,500,000 (approximately US$399,993) for 50% shares of CLPS Shanghai.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this share transfer, Xiao Feng Yang and Raymond Ming Hui Lin respectively held 50% shares of CLPS Shanghai.</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On June 24, 2014, CLPS Shanghai increased its registered capital to RMB30,000,000 (approximately US$4,759,004). Xiao Feng Yang and Raymond Ming Hui Lin respectively increased their subscribed capital to RMB15,000,000 (approximately US$2,379,502).</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April 23, 2015, Raymond Ming Hui Lin paid RMB6,163,560 (approximately US$994,523) for the capital contribution that he has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27, 2015, Raymond Ming Hui Lin paid RMB3,391,883 (approximately US$546,980) for the capital contribution that he has made.</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May 29, 2015, Xiao Feng Yang paid RMB4,400,000 (approximately US$709,906), plus with his cash dividends for the capital contribution that he has made.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5, 2015, Raymond Ming Hui Lin paid RMB3,894,060 (approximately US$627,103) for the capital contribution that he has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August 27, 2015, Raymond Ming Hui Lin paid RMB42,377 (approximately US$6,615) for the capital contribution that he has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21, 2015, Xiao Feng Yang paid RMB1,100,000 (approximately US$177,147) for the capital contribution that he has made.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August 14, 2015, Xiao Feng Yang paid RMB8,000,000 (approximately US$1,251,799), plus with his cash dividends for the capital contribution that he has made.</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On December 15, 2015, CLPS Shanghai changed its form into a PRC joint stock limited company. The share capital of CLPS Shanghai was RMB30,000,000, which was divided into 30,000,000 shares of RMB1.00 per share.</w:t>
      </w:r>
    </w:p>
    <w:p>
      <w:pPr>
        <w:sectPr>
          <w:pgSz w:w="11900" w:h="16838" w:orient="portrait"/>
          <w:cols w:equalWidth="0" w:num="1">
            <w:col w:w="11420"/>
          </w:cols>
          <w:pgMar w:left="240" w:top="226" w:right="23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7" w:name="page58"/>
    <w:bookmarkEnd w:id="5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above-mentioned subscription, the shareholding structure of CLPS Shanghai was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b w:val="1"/>
                <w:bCs w:val="1"/>
                <w:color w:val="auto"/>
              </w:rPr>
              <w:t>PLACE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REGISTRATION</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r>
      <w:tr>
        <w:trPr>
          <w:trHeight w:val="216"/>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Raymond Ming Hui Lin</w:t>
            </w:r>
          </w:p>
        </w:tc>
        <w:tc>
          <w:tcPr>
            <w:tcW w:w="150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Qinyao Investment Partnership (LLP)</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1,700,000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Shanghai Qinzhi Investment Partnership (LLP)</w:t>
            </w:r>
          </w:p>
        </w:tc>
        <w:tc>
          <w:tcPr>
            <w:tcW w:w="1500" w:type="dxa"/>
            <w:vAlign w:val="bottom"/>
            <w:gridSpan w:val="2"/>
          </w:tcPr>
          <w:p>
            <w:pPr>
              <w:spacing w:after="0"/>
              <w:rPr>
                <w:sz w:val="20"/>
                <w:szCs w:val="20"/>
                <w:color w:val="auto"/>
              </w:rPr>
            </w:pPr>
            <w:r>
              <w:rPr>
                <w:rFonts w:ascii="Arial" w:cs="Arial" w:eastAsia="Arial" w:hAnsi="Arial"/>
                <w:sz w:val="18"/>
                <w:szCs w:val="18"/>
                <w:color w:val="auto"/>
              </w:rPr>
              <w:t>PRC</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1,270,000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Qinshang Software Technology Counsel Partnership (LLP)</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33,870,000</w:t>
            </w: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5, 2017, Qinheng was established by CLPS Incorporation in Hong Kong. The total amount of share capital of Qinheng to be subscribed by CLPS Incorporation was HKD 10,000.00 and CLPS Incorporation held 100% of equity interest in Qinheng.</w:t>
      </w:r>
    </w:p>
    <w:p>
      <w:pPr>
        <w:spacing w:after="0" w:line="170"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In July 2017, three abovementioned limited partnerships transferred all of their equity interest in CLPS Shanghai to their individual partners according to the proportion of each partner’s capital contribution. Total 47 individuals became shareholders of CLPS Shanghai.</w:t>
      </w:r>
    </w:p>
    <w:p>
      <w:pPr>
        <w:spacing w:after="0" w:line="14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In August 2017, Qiner entered into three </w:t>
      </w:r>
      <w:r>
        <w:rPr>
          <w:rFonts w:ascii="Arial" w:cs="Arial" w:eastAsia="Arial" w:hAnsi="Arial"/>
          <w:sz w:val="16"/>
          <w:szCs w:val="16"/>
          <w:i w:val="1"/>
          <w:iCs w:val="1"/>
          <w:color w:val="auto"/>
        </w:rPr>
        <w:t>Share Purchase Agreement</w:t>
      </w:r>
      <w:r>
        <w:rPr>
          <w:rFonts w:ascii="Arial" w:cs="Arial" w:eastAsia="Arial" w:hAnsi="Arial"/>
          <w:sz w:val="16"/>
          <w:szCs w:val="16"/>
          <w:color w:val="auto"/>
        </w:rPr>
        <w:t xml:space="preserve"> with three non-Chinese individual shareholders of CLPS Shanghai, The three non-Chinese individual shareholders are Raymond Ming Hui Lin (Hong Kong), Limpiada Zosimo (Philippines) and Lin James De-Mou (Taiwan). Including, Raymond Ming Hui Lin sold 15,000,000 shares, Limpiada Zosimo sold 71,229 shares and Lin James De-Mou sold 67,510 shares. The aforementioned share transfer was part of reorganization of the group company, the share purchase price was 0. Qiner was not actually paid share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89165" cy="3584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58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4, 2017, CLPS QC (WOFE) got the business license from China (Shanghai) Pilot Free Trade Zone Administration for Industry and Commerce and was established by Qinheng as a PRC limited liability company. Qinheng subscribed USD 200,000 and held 100% of equity interest in CLPS QC (WOFE).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On October 31, 2017, CLPS Incorporation entered into a </w:t>
      </w:r>
      <w:r>
        <w:rPr>
          <w:rFonts w:ascii="Arial" w:cs="Arial" w:eastAsia="Arial" w:hAnsi="Arial"/>
          <w:sz w:val="17"/>
          <w:szCs w:val="17"/>
          <w:i w:val="1"/>
          <w:iCs w:val="1"/>
          <w:color w:val="auto"/>
        </w:rPr>
        <w:t>SOLD NOTE</w:t>
      </w:r>
      <w:r>
        <w:rPr>
          <w:rFonts w:ascii="Arial" w:cs="Arial" w:eastAsia="Arial" w:hAnsi="Arial"/>
          <w:sz w:val="17"/>
          <w:szCs w:val="17"/>
          <w:color w:val="auto"/>
        </w:rPr>
        <w:t xml:space="preserve"> with Raymond Lin Ming Hui to purchase all of Raymond Lin Ming Hui’s shares in Qiner. After this transfer, CLPS Incorporation held 100% shares of Qiner. Qiner has become CLPS Incorporation’s wholly-owned subsidiary.</w:t>
      </w:r>
    </w:p>
    <w:p>
      <w:pPr>
        <w:spacing w:after="0" w:line="14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October 2017, all Chinese individual shareholders of CLPS Shanghai completed the procedures for foreign exchange registration of overseas investments in accordance with the </w:t>
      </w:r>
      <w:r>
        <w:rPr>
          <w:rFonts w:ascii="Arial" w:cs="Arial" w:eastAsia="Arial" w:hAnsi="Arial"/>
          <w:sz w:val="17"/>
          <w:szCs w:val="17"/>
          <w:i w:val="1"/>
          <w:iCs w:val="1"/>
          <w:color w:val="auto"/>
        </w:rPr>
        <w:t>Circular of the State Administration of Foreign Exchange on Issues concerning Foreign Exchange Administration over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Overseas Investment and Financing and Round-trip Investment by Domestic Residents via Special Purpose Vehicles </w:t>
      </w:r>
      <w:r>
        <w:rPr>
          <w:rFonts w:ascii="Arial" w:cs="Arial" w:eastAsia="Arial" w:hAnsi="Arial"/>
          <w:sz w:val="17"/>
          <w:szCs w:val="17"/>
          <w:color w:val="auto"/>
        </w:rPr>
        <w:t>(SAFE[2014]No.37). After these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registrations, CLPS QC (WOFE) entered into 46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all 46 Chinese individual shareholders and 46 Chinese individual shareholders totally held 18,731,261 shares of CLPS Shanghai. The aforementioned share transfer was part of reorganization of the group company, the share purchase price was 0. CLPS QC (WOFE) was not actually paid share purchase price</w:t>
      </w:r>
    </w:p>
    <w:p>
      <w:pPr>
        <w:sectPr>
          <w:pgSz w:w="11900" w:h="16838" w:orient="portrait"/>
          <w:cols w:equalWidth="0" w:num="1">
            <w:col w:w="11420"/>
          </w:cols>
          <w:pgMar w:left="240" w:top="226" w:right="239" w:bottom="649" w:gutter="0" w:footer="0" w:header="0"/>
        </w:sect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649" w:gutter="0" w:footer="0" w:header="0"/>
          <w:type w:val="continuous"/>
        </w:sectPr>
      </w:pPr>
    </w:p>
    <w:bookmarkStart w:id="58" w:name="page59"/>
    <w:bookmarkEnd w:id="5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November 2, 2017, the transfer between 46 Chinese individual shareholders and CLPS QC (WOFE) has completed the record-filing of changes of Foreign-invested Company and got the record receipt.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As of the date of this prospectus, the shareholding structure of CLPS Shanghai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PLACE OF</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48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REGISTRATION</w:t>
            </w:r>
          </w:p>
        </w:tc>
        <w:tc>
          <w:tcPr>
            <w:tcW w:w="1340" w:type="dxa"/>
            <w:vAlign w:val="bottom"/>
            <w:gridSpan w:val="3"/>
          </w:tcPr>
          <w:p>
            <w:pPr>
              <w:ind w:left="100"/>
              <w:spacing w:after="0"/>
              <w:rPr>
                <w:sz w:val="20"/>
                <w:szCs w:val="20"/>
                <w:color w:val="auto"/>
              </w:rPr>
            </w:pPr>
            <w:r>
              <w:rPr>
                <w:rFonts w:ascii="Arial" w:cs="Arial" w:eastAsia="Arial" w:hAnsi="Arial"/>
                <w:sz w:val="18"/>
                <w:szCs w:val="18"/>
                <w:b w:val="1"/>
                <w:bCs w:val="1"/>
                <w:color w:val="auto"/>
              </w:rPr>
              <w:t>SHARES</w:t>
            </w: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Shanghai Qincheng Information Technology Co., Ltd.</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PRC</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18,731,261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Qiner Co., Limited</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Hong Kong</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15,138,739</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33,870,000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the date of this prospectus, CLPS Shanghai has four wholly-owned subsidiaries: CLPS Dalian, CLPS RC, CLPS AU and CLPS SG. Besides the four wholly-owned subsidiaries, CLPS Shanghai participated in the following investments:</w:t>
      </w:r>
    </w:p>
    <w:p>
      <w:pPr>
        <w:spacing w:after="0" w:line="166"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Beijing </w:t>
      </w:r>
      <w:r>
        <w:rPr>
          <w:rFonts w:ascii="Arial" w:cs="Arial" w:eastAsia="Arial" w:hAnsi="Arial"/>
          <w:sz w:val="18"/>
          <w:szCs w:val="18"/>
          <w:color w:val="auto"/>
        </w:rPr>
        <w:t>— CLPS Shanghai holds 70% of equity interest in CLPS Beijing,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Judge China </w:t>
      </w:r>
      <w:r>
        <w:rPr>
          <w:rFonts w:ascii="Arial" w:cs="Arial" w:eastAsia="Arial" w:hAnsi="Arial"/>
          <w:sz w:val="18"/>
          <w:szCs w:val="18"/>
          <w:color w:val="auto"/>
        </w:rPr>
        <w:t>— CLPS Shanghai holds a 60% of equity interest in Judge China,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Hong Kong </w:t>
      </w:r>
      <w:r>
        <w:rPr>
          <w:rFonts w:ascii="Arial" w:cs="Arial" w:eastAsia="Arial" w:hAnsi="Arial"/>
          <w:sz w:val="18"/>
          <w:szCs w:val="18"/>
          <w:color w:val="auto"/>
        </w:rPr>
        <w:t>— CLPS Shanghai holds 80% of equity interest in CLPS Hong Kong,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Shenzhen </w:t>
      </w:r>
      <w:r>
        <w:rPr>
          <w:rFonts w:ascii="Arial" w:cs="Arial" w:eastAsia="Arial" w:hAnsi="Arial"/>
          <w:sz w:val="18"/>
          <w:szCs w:val="18"/>
          <w:color w:val="auto"/>
        </w:rPr>
        <w:t>— CLPS Shanghai holds 70% of equity interest in CLPS Shenzhen,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Huanyu </w:t>
      </w:r>
      <w:r>
        <w:rPr>
          <w:rFonts w:ascii="Arial" w:cs="Arial" w:eastAsia="Arial" w:hAnsi="Arial"/>
          <w:sz w:val="18"/>
          <w:szCs w:val="18"/>
          <w:color w:val="auto"/>
        </w:rPr>
        <w:t>— CLPS Shanghai holds 30% of equity interest in Huanyu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Guangzhou </w:t>
      </w:r>
      <w:r>
        <w:rPr>
          <w:rFonts w:ascii="Arial" w:cs="Arial" w:eastAsia="Arial" w:hAnsi="Arial"/>
          <w:sz w:val="18"/>
          <w:szCs w:val="18"/>
          <w:color w:val="auto"/>
        </w:rPr>
        <w:t>— CLPS Shanghai holds 51% of equity interest in CLPS Guangzhou, a PRC limited liability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consulting services primarily includes application development services for banks and institutions in the financial industry and which are billed for on a time-and-expense basis.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Customized IT Solutions Service primarily includes customized solution development and maintenance service for general enterprises and which are billed for on a fixed-price basis.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entities provide either consulting or solution services or both, depending on where our clients are based. The entities are currently servicing one of the services might expand to both services if our clients’ needs arise.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CLPS Dalian provides both consulting and solution services. CLPS Dalian services clients in China’s north east region, including Dalian.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CLPS RC provides both consulting and solution services. CLPS RC focuses on small and medium domestic financial institutions.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CLPS Beijing provides both consulting and solution services. CLPS Beijing services clients in China’s central east region, including Beijing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Tianjin.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CLPS AU currently only provides consulting services. CLPS AU services clients in Australia.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CLPS SG currently only provides consulting services CLPS SG services clients in South East Asia region, including Singapore.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Judge China is a joint venture with The Judge Group in the US. Judge China continues to service The Judge Group’s clients in China. Judge China focuses on expanding its client bases with collaboration efforts with The Judge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CLPS Hong Kong currently only provides consulting services. CLPS Hong Kong services clients in East Asia region, including Hong Kong.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CLPS Shenzhen currently only provides consulting services. CLPS Shenzhen services clients in Shenzhen.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CLPS Guangzhou currently only provides consulting services. CLPS Guangzhou services clients in Guangzhou.</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CLPS Shanghai holds 30% of equity interest in Huanyu which was incorporated in September 2017 for the purposes of providing Internet technology services and products to clients. CLPS Shanghai, CLPS Dalian, CLPS RC, CLPS Beijing and Judge China all contribute material amounts of the Company’s total revenues.</w:t>
      </w:r>
    </w:p>
    <w:p>
      <w:pPr>
        <w:sectPr>
          <w:pgSz w:w="11900" w:h="16838" w:orient="portrait"/>
          <w:cols w:equalWidth="0" w:num="1">
            <w:col w:w="11420"/>
          </w:cols>
          <w:pgMar w:left="240" w:top="226" w:right="23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9" w:name="page60"/>
    <w:bookmarkEnd w:id="5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China’s Banking Industry</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According to the annual report of the China Banking Regulatory Commission (CBRC) in 2016, by the end of 2016, China’s banking financial institutions had total assets of RMB 232.3 trillion (USD$34.3 trillion), an increase of RMB 33.0 trillion (USD$4.9 trillion), or 16.6%, when compared with the end of 2015, total liabilities equaled RMB 214.8 trillion (USD$31.7 trillion), an increase of RMB 30.7 trillion (USD$4.5 trillion), or 16.7% when compared with the end of 2015, total assets of banking financial institutions were RMB 27.6 trillion (USD$4.1 trillion) in 2003. Over the past 10 years, total assets of China’s banking financial institutions grew at a compound annual growth rate of nearly 20%. Notwithstanding the growth rates, however, the banking industry is facing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CBRC continued the policies to open China’s banking industry for entry by foreign competitors to promote healthy competition in the industry. As a result, foreign banks are now present in 69 cities of 27 provinces in China, with headquarters, branches, sub-branches and a complete service network with certain coverage and market depth, with more than 1000 outlets.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Software and Information Technology Service Industry in China</w:t>
      </w:r>
    </w:p>
    <w:p>
      <w:pPr>
        <w:spacing w:after="0" w:line="225" w:lineRule="exact"/>
        <w:rPr>
          <w:sz w:val="20"/>
          <w:szCs w:val="20"/>
          <w:color w:val="auto"/>
        </w:rPr>
      </w:pPr>
    </w:p>
    <w:p>
      <w:pPr>
        <w:jc w:val="both"/>
        <w:ind w:right="260" w:firstLine="648"/>
        <w:spacing w:after="0" w:line="257" w:lineRule="auto"/>
        <w:rPr>
          <w:sz w:val="20"/>
          <w:szCs w:val="20"/>
          <w:color w:val="auto"/>
        </w:rPr>
      </w:pPr>
      <w:r>
        <w:rPr>
          <w:rFonts w:ascii="Arial" w:cs="Arial" w:eastAsia="Arial" w:hAnsi="Arial"/>
          <w:sz w:val="18"/>
          <w:szCs w:val="18"/>
          <w:color w:val="auto"/>
        </w:rPr>
        <w:t>China’s software industry is a high-tech industry has developed and grown rapidly in recent years. According to PRC’s Ministry of Industry and Information Technology (MIIT) data, the software industry revenues reached RMB 4.9 trillion (USD$723 billion) in 2016 – more than tripling the 2010 revenues of RMB 1.3 trillion (USD$192 billion). During the 12th five-year period, the industry’s compound annual growth rate reached 24.3%. Revenue attributed to the software industry as a percentage of total GDP increased steadily from 2.16% in 2007 to 6.75% in 2016. The revenue of China’s software industry from 2007 to 2016 is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128905</wp:posOffset>
            </wp:positionV>
            <wp:extent cx="6003290" cy="38931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03290"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Data Source: The Ministry of Industry and Information Technology, National Bureau of Statistics of China.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development of China’s software and IT service industry is generally characterized by:</w:t>
      </w:r>
    </w:p>
    <w:p>
      <w:pPr>
        <w:spacing w:after="0" w:line="225" w:lineRule="exact"/>
        <w:rPr>
          <w:sz w:val="20"/>
          <w:szCs w:val="20"/>
          <w:color w:val="auto"/>
        </w:rPr>
      </w:pPr>
    </w:p>
    <w:p>
      <w:pPr>
        <w:ind w:firstLine="656"/>
        <w:spacing w:after="0" w:line="255" w:lineRule="auto"/>
        <w:tabs>
          <w:tab w:leader="none" w:pos="1162"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The service-oriented focus </w:t>
      </w:r>
      <w:r>
        <w:rPr>
          <w:rFonts w:ascii="Arial" w:cs="Arial" w:eastAsia="Arial" w:hAnsi="Arial"/>
          <w:sz w:val="18"/>
          <w:szCs w:val="18"/>
          <w:color w:val="auto"/>
        </w:rPr>
        <w:t>– Over the past ten years, the software and IT industry in China has gradually become service-, network- and</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platform-oriented. During this period, the revenues from operation-related services, including online software operation services, platform operation services, infrastructure operation services and other IT services, increased by 16.1%; the revenues from e-commerce platform services, including online trading platform services, online transaction support services and other IT support services, increased by 17.7%; and the revenues from IT services, including IT consulting and design services, system integration, operation and maintenance services, data services, etc., increased by 16%. These growth rates are higher than the industry’s average growth rate.</w:t>
      </w:r>
    </w:p>
    <w:p>
      <w:pPr>
        <w:sectPr>
          <w:pgSz w:w="11900" w:h="16838" w:orient="portrait"/>
          <w:cols w:equalWidth="0" w:num="1">
            <w:col w:w="11360"/>
          </w:cols>
          <w:pgMar w:left="240" w:top="226" w:right="2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60" w:name="page61"/>
    <w:bookmarkEnd w:id="6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56"/>
        <w:spacing w:after="0" w:line="255" w:lineRule="auto"/>
        <w:tabs>
          <w:tab w:leader="none" w:pos="116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Development on regional level </w:t>
      </w:r>
      <w:r>
        <w:rPr>
          <w:rFonts w:ascii="Arial" w:cs="Arial" w:eastAsia="Arial" w:hAnsi="Arial"/>
          <w:sz w:val="18"/>
          <w:szCs w:val="18"/>
          <w:color w:val="auto"/>
        </w:rPr>
        <w:t>- The software industry has also tended to grow and expand on the regional, rather than national/centralized</w:t>
      </w:r>
      <w:r>
        <w:rPr>
          <w:rFonts w:ascii="Arial" w:cs="Arial" w:eastAsia="Arial" w:hAnsi="Arial"/>
          <w:sz w:val="18"/>
          <w:szCs w:val="18"/>
          <w:i w:val="1"/>
          <w:iCs w:val="1"/>
          <w:color w:val="auto"/>
        </w:rPr>
        <w:t xml:space="preserve"> </w:t>
      </w:r>
      <w:r>
        <w:rPr>
          <w:rFonts w:ascii="Arial" w:cs="Arial" w:eastAsia="Arial" w:hAnsi="Arial"/>
          <w:sz w:val="18"/>
          <w:szCs w:val="18"/>
          <w:color w:val="auto"/>
        </w:rPr>
        <w:t>level. According to the MIIT statistics, in 2016, China’s Eastern region’s software industry revenues were RMB 3.8 trillion (USD$561 billion), or approximately 78.6% of the national software business revenues, while the country’s Central region’s revenues were RMB 230.3 billion (USD$34.0 billion). In 2016, 15 sub-provincial central cities in China realized software business revenues of RMB 2.7 trillion (USD$398 billion), accounting for 55.3% of national software business revenues, with year-on-year growth rate of 15.5%, which was 0.6% higher than the national average level. There are 15 cities with software business revenue of more than RMB 10.0 billion (USD$1.5 billion).</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Financial Institutions/Banking IT services refer to the software or IT related services provided by professional IT service providers who use their own experience and technology to meet each bank’s individual needs in business development, strategic development and management efficiency. The market shares of China Banking IT Services Industry are shown as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Source: Wind Terminal</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2015, the overall banking IT services market reached RMB 22.5 billion (USD$3.3 billion). China's banking IT market has distinctive structure feature, with service sub-field occupying half of the market share, and maintains steady growth. According to IDC data, China's integrated banking IT services market increased from RMB 7.1 billion (USD$1.0 billion) to RMB 22.5 billion (USD$3.3 billion) from 2009 to 2015, growing at a compound annual growth rate of 21.2%; the market scale of service sub-field increased from RMB 5.5 billion (USD$811 million) to RMB 18.2 billion (USD$2.7 billion), with compound annual growth rate of 22.1%. According to IDC forecast, China's integrated banking IT services market is expected to increase to RMB 61.2 billion (USD$9.0 billion) in 2020, growing at compound annual growth rate of 22.1% compared with 2015 (IDC China Banking IT Services Market Forecast and Analysis 2016-2020). In 2015, these services still compared largest proportion in China's banking IT service market, reaching 81.8%. We believe that the IDC research suggests that the current Chinese banking IT services market is gradually transforming from a “software plus service” delivery model to a service-oriented delivery model. It is expected that services will account for a higher proportion of the entire banking industry's application services in 2020.</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China’s banking IT industry faces various challenges. In accordance with CRBC’s 2014 Guiding Opinions, China’s banking institutions are required to master core knowledge and key technologies of banking informatization by 2019. Beginning in 2015, each year banking financial institutions are required to increase the application rate of safe and controllable information technologies by 15%. The banking financial institutions are also required to set aside no less than 5% of the annual information budget to support their forward-looking, innovative and planning research on safe and controllable information systems, and help the organization to grasp the core IT knowledge and skills. In addition, as traditional banks combine their services with online banking, they require IT support from the front payment to background asset structure matching.</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With the participation of private banks, foreign banks, Internet banks and other non-traditional, non-state-owned banks, the competition in the banking industry has intensified and the banking IT service support is an important means for banks to enhance the user experience, differentiate themselves from the competition and save costs. In order to gain market share, new participants in the banking industry invest in what differentiates them from competition. Improved user experience, risk control and risk prevention, information upgrades, network infrastructure, and mobile terminal layout are complex projects, requiring significant capital investment. These factors contribute to the continuous growth of China’s banking IT investment, and promote the rapid development of China’s banking IT industry. IDC statistics suggested that the total IT investment of China’s banking industry reached RMB 83.1 billion (USD$12.3 billion) in 2015, increased by 11.9% when compared with RMB 74.3 billion (USD$11.0 billion) in 2014; in 2015, hardware investment accounted for 54.7% of the total investment; service investment accounted for 36.2%; and software investment accounted for 9.1% (data source: IDC). Large state-owned commercial banks accounted for the largest proportion of IT investment in 2015 (45.2%); the IT investment of city commercial banks and rural commercial banks, rural cooperative banks and other rural financial institutions accounted for 29.5% of the banking industry’s total IT investment; the IT investment of joint-stock commercial banks accounted for 21.1%, and the investment ratio of other banking financial institutions represented by foreign banks was 4.2% (data source: IDC).</w:t>
      </w:r>
    </w:p>
    <w:p>
      <w:pPr>
        <w:spacing w:after="0" w:line="180" w:lineRule="exact"/>
        <w:rPr>
          <w:sz w:val="20"/>
          <w:szCs w:val="20"/>
          <w:color w:val="auto"/>
        </w:rPr>
      </w:pPr>
    </w:p>
    <w:p>
      <w:pPr>
        <w:ind w:right="220" w:firstLine="630"/>
        <w:spacing w:after="0" w:line="277" w:lineRule="auto"/>
        <w:rPr>
          <w:sz w:val="20"/>
          <w:szCs w:val="20"/>
          <w:color w:val="auto"/>
        </w:rPr>
      </w:pPr>
      <w:r>
        <w:rPr>
          <w:rFonts w:ascii="Arial" w:cs="Arial" w:eastAsia="Arial" w:hAnsi="Arial"/>
          <w:sz w:val="18"/>
          <w:szCs w:val="18"/>
          <w:color w:val="auto"/>
        </w:rPr>
        <w:t>The current development of the PRC banking industry is characterized by the re-use of data, Internet and other business innovation, and increasing demands for information security. We perceive the following development trends in the industry:</w:t>
      </w:r>
    </w:p>
    <w:p>
      <w:pPr>
        <w:spacing w:after="0" w:line="166" w:lineRule="exact"/>
        <w:rPr>
          <w:sz w:val="20"/>
          <w:szCs w:val="20"/>
          <w:color w:val="auto"/>
        </w:rPr>
      </w:pPr>
    </w:p>
    <w:p>
      <w:pPr>
        <w:ind w:right="500" w:firstLine="656"/>
        <w:spacing w:after="0" w:line="266"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Big data services </w:t>
      </w:r>
      <w:r>
        <w:rPr>
          <w:rFonts w:ascii="Arial" w:cs="Arial" w:eastAsia="Arial" w:hAnsi="Arial"/>
          <w:sz w:val="18"/>
          <w:szCs w:val="18"/>
          <w:color w:val="auto"/>
        </w:rPr>
        <w:t>- The banking industry has accumulated a large amount of transaction data in the operations process, representing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value for its owners. Big data applications can help banks make strategic decisions integrate resources, and make adjustments when industry changes take place so as to gain competitive advantages.</w:t>
      </w:r>
    </w:p>
    <w:p>
      <w:pPr>
        <w:spacing w:after="0" w:line="176" w:lineRule="exact"/>
        <w:rPr>
          <w:rFonts w:ascii="Arial" w:cs="Arial" w:eastAsia="Arial" w:hAnsi="Arial"/>
          <w:sz w:val="18"/>
          <w:szCs w:val="18"/>
          <w:color w:val="auto"/>
        </w:rPr>
      </w:pPr>
    </w:p>
    <w:p>
      <w:pPr>
        <w:ind w:right="160" w:firstLine="656"/>
        <w:spacing w:after="0" w:line="266"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Innovation in channel solutions </w:t>
      </w:r>
      <w:r>
        <w:rPr>
          <w:rFonts w:ascii="Arial" w:cs="Arial" w:eastAsia="Arial" w:hAnsi="Arial"/>
          <w:sz w:val="18"/>
          <w:szCs w:val="18"/>
          <w:color w:val="auto"/>
        </w:rPr>
        <w:t>- Channel innovation has become the key to innovations for China’s commercial banks, including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mobile banking. IDC research indicates that e-banking construction will be the key target of channel solution investment for China’s banking industry, especially small and medium-sized banks, in the next five years.</w:t>
      </w:r>
    </w:p>
    <w:p>
      <w:pPr>
        <w:spacing w:after="0" w:line="176" w:lineRule="exact"/>
        <w:rPr>
          <w:rFonts w:ascii="Arial" w:cs="Arial" w:eastAsia="Arial" w:hAnsi="Arial"/>
          <w:sz w:val="18"/>
          <w:szCs w:val="18"/>
          <w:color w:val="auto"/>
        </w:rPr>
      </w:pPr>
    </w:p>
    <w:p>
      <w:pPr>
        <w:ind w:right="240" w:firstLine="656"/>
        <w:spacing w:after="0" w:line="266"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Risk prevention - </w:t>
      </w:r>
      <w:r>
        <w:rPr>
          <w:rFonts w:ascii="Arial" w:cs="Arial" w:eastAsia="Arial" w:hAnsi="Arial"/>
          <w:sz w:val="18"/>
          <w:szCs w:val="18"/>
          <w:color w:val="auto"/>
        </w:rPr>
        <w:t>China’s commercial banks are required to establish a comprehensive risk management framework under the new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supervision, thus making risk management a top priority for the industry. China’s IT service providers will continue to explore in this field to meet the increasingly strict and comprehensive risk management requirements of financial industry.</w:t>
      </w:r>
    </w:p>
    <w:p>
      <w:pPr>
        <w:spacing w:after="0" w:line="176" w:lineRule="exact"/>
        <w:rPr>
          <w:rFonts w:ascii="Arial" w:cs="Arial" w:eastAsia="Arial" w:hAnsi="Arial"/>
          <w:sz w:val="18"/>
          <w:szCs w:val="18"/>
          <w:color w:val="auto"/>
        </w:rPr>
      </w:pPr>
    </w:p>
    <w:p>
      <w:pPr>
        <w:ind w:right="300" w:firstLine="656"/>
        <w:spacing w:after="0" w:line="282"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Specialized services – </w:t>
      </w:r>
      <w:r>
        <w:rPr>
          <w:rFonts w:ascii="Arial" w:cs="Arial" w:eastAsia="Arial" w:hAnsi="Arial"/>
          <w:sz w:val="18"/>
          <w:szCs w:val="18"/>
          <w:color w:val="auto"/>
        </w:rPr>
        <w:t>Financial service providers strive to deepen their understanding of bank users’ individual needs. As an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needs change, the banks tend to purchase more specialized services and IT services.</w:t>
      </w:r>
    </w:p>
    <w:p>
      <w:pPr>
        <w:spacing w:after="0" w:line="161" w:lineRule="exact"/>
        <w:rPr>
          <w:rFonts w:ascii="Arial" w:cs="Arial" w:eastAsia="Arial" w:hAnsi="Arial"/>
          <w:sz w:val="18"/>
          <w:szCs w:val="18"/>
          <w:color w:val="auto"/>
        </w:rPr>
      </w:pPr>
    </w:p>
    <w:p>
      <w:pPr>
        <w:ind w:right="40" w:firstLine="656"/>
        <w:spacing w:after="0" w:line="281" w:lineRule="auto"/>
        <w:tabs>
          <w:tab w:leader="none" w:pos="1162"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Internationalization of business - </w:t>
      </w:r>
      <w:r>
        <w:rPr>
          <w:rFonts w:ascii="Arial" w:cs="Arial" w:eastAsia="Arial" w:hAnsi="Arial"/>
          <w:sz w:val="17"/>
          <w:szCs w:val="17"/>
          <w:color w:val="auto"/>
        </w:rPr>
        <w:t>With the reform and opening up of China’s financial market, more foreign banks and financial institutions</w:t>
      </w:r>
      <w:r>
        <w:rPr>
          <w:rFonts w:ascii="Arial" w:cs="Arial" w:eastAsia="Arial" w:hAnsi="Arial"/>
          <w:sz w:val="17"/>
          <w:szCs w:val="17"/>
          <w:b w:val="1"/>
          <w:bCs w:val="1"/>
          <w:color w:val="auto"/>
        </w:rPr>
        <w:t xml:space="preserve"> </w:t>
      </w:r>
      <w:r>
        <w:rPr>
          <w:rFonts w:ascii="Arial" w:cs="Arial" w:eastAsia="Arial" w:hAnsi="Arial"/>
          <w:sz w:val="17"/>
          <w:szCs w:val="17"/>
          <w:color w:val="auto"/>
        </w:rPr>
        <w:t>have settled in China. Foreign financial institutions tend to outsource a large number of non-core IT services. As a result, Chinese IT service providers have the opportunity to pursue the internationally outsourced IT business. Those domestic services providers with experience of servicing international business, with foreign language skills and abundance of IT human capital are likely to succeed in this market.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Credit Card services</w:t>
      </w:r>
    </w:p>
    <w:p>
      <w:pPr>
        <w:spacing w:after="0" w:line="225" w:lineRule="exact"/>
        <w:rPr>
          <w:sz w:val="20"/>
          <w:szCs w:val="20"/>
          <w:color w:val="auto"/>
        </w:rPr>
      </w:pPr>
    </w:p>
    <w:p>
      <w:pPr>
        <w:ind w:right="140" w:firstLine="630"/>
        <w:spacing w:after="0" w:line="312" w:lineRule="auto"/>
        <w:rPr>
          <w:sz w:val="20"/>
          <w:szCs w:val="20"/>
          <w:color w:val="auto"/>
        </w:rPr>
      </w:pPr>
      <w:r>
        <w:rPr>
          <w:rFonts w:ascii="Arial" w:cs="Arial" w:eastAsia="Arial" w:hAnsi="Arial"/>
          <w:sz w:val="16"/>
          <w:szCs w:val="16"/>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w:t>
      </w:r>
    </w:p>
    <w:p>
      <w:pPr>
        <w:spacing w:after="0" w:line="147" w:lineRule="exact"/>
        <w:rPr>
          <w:sz w:val="20"/>
          <w:szCs w:val="20"/>
          <w:color w:val="auto"/>
        </w:rPr>
      </w:pPr>
    </w:p>
    <w:p>
      <w:pPr>
        <w:ind w:right="40" w:firstLine="630"/>
        <w:spacing w:after="0" w:line="259" w:lineRule="auto"/>
        <w:rPr>
          <w:sz w:val="20"/>
          <w:szCs w:val="20"/>
          <w:color w:val="auto"/>
        </w:rPr>
      </w:pPr>
      <w:r>
        <w:rPr>
          <w:rFonts w:ascii="Arial" w:cs="Arial" w:eastAsia="Arial" w:hAnsi="Arial"/>
          <w:sz w:val="18"/>
          <w:szCs w:val="18"/>
          <w:color w:val="auto"/>
        </w:rPr>
        <w:t>We offer more than ten years of experience in IT consulting services across key credit card business areas, including credit card applications, account setup, authorization and activation, settlement, collecting, promotion, point system, anti-fraud, statement, reporting and risk management. In the past years, we have successfully helped our China and global clients manage their credit card IT systems such as VisionPLUS. We offer expertise in customizing these credit card tools and platforms to suit a variety of business models.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2" w:name="page63"/>
    <w:bookmarkEnd w:id="6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Our highly experienced team possesses the requisite expertise in providing the credit card services. The IT consulting professional teams provides the credit card services from Shanghai, Dalian and Hong Kong. We offer this experience and expertise in various currencies, across different geographical regions, including, but not limited to China, Singapore, UK, Philippine, Indonesia, Latin America. In addition, we have developed a series of credit card solutions in order to better meet the needs of our clients.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Core Banking services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systems, including business analysis, system design, developing,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mobile banking. We were recently engaged by a US-based client to transform its centralized core banking system to a service-oriented architecture and integrate it into a global unified version, which successfully satisfied its business needs in various markets. In addition, we engage the cloud-native solution of core banking system with micro services architecture, which can service both Chinese and global banks to meet the ever-changing demands of the market with high flexibility, high scalability, high reliability and multichannel connectivity.</w:t>
      </w:r>
    </w:p>
    <w:p>
      <w:pPr>
        <w:spacing w:after="0" w:line="16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For the years ended June 30, 2017 and 2016, revenues from our IT consulting service were approximately USD$29.1 million and USD$28.0 million, respectively. Revenues from our IT consulting service accounted for 92.9% and 96.5% of our total revenues in fiscal 2017 and 2016,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also an IT solution services provider in China and globally. We offer our clients over a decade of experience proving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tour ability to offer our clients creative solution design, especially in the areas of new information technology such as block chain.</w:t>
      </w:r>
    </w:p>
    <w:p>
      <w:pPr>
        <w:spacing w:after="0" w:line="187" w:lineRule="exact"/>
        <w:rPr>
          <w:sz w:val="20"/>
          <w:szCs w:val="20"/>
          <w:color w:val="auto"/>
        </w:rPr>
      </w:pPr>
    </w:p>
    <w:p>
      <w:pPr>
        <w:ind w:right="60" w:firstLine="630"/>
        <w:spacing w:after="0" w:line="302" w:lineRule="auto"/>
        <w:rPr>
          <w:sz w:val="20"/>
          <w:szCs w:val="20"/>
          <w:color w:val="auto"/>
        </w:rPr>
      </w:pPr>
      <w:r>
        <w:rPr>
          <w:rFonts w:ascii="Arial" w:cs="Arial" w:eastAsia="Arial" w:hAnsi="Arial"/>
          <w:sz w:val="16"/>
          <w:szCs w:val="16"/>
          <w:color w:val="auto"/>
        </w:rPr>
        <w:t>We offer software project development and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testing quality and efficiency testing, and (iii) providing onshore and offshore IT solution services to ensure turn-key delivery.</w:t>
      </w:r>
    </w:p>
    <w:p>
      <w:pPr>
        <w:spacing w:after="0" w:line="154" w:lineRule="exact"/>
        <w:rPr>
          <w:sz w:val="20"/>
          <w:szCs w:val="20"/>
          <w:color w:val="auto"/>
        </w:rPr>
      </w:pPr>
    </w:p>
    <w:p>
      <w:pPr>
        <w:ind w:firstLine="630"/>
        <w:spacing w:after="0" w:line="257" w:lineRule="auto"/>
        <w:rPr>
          <w:sz w:val="20"/>
          <w:szCs w:val="20"/>
          <w:color w:val="auto"/>
        </w:rPr>
      </w:pPr>
      <w:r>
        <w:rPr>
          <w:rFonts w:ascii="Arial" w:cs="Arial" w:eastAsia="Arial" w:hAnsi="Arial"/>
          <w:sz w:val="18"/>
          <w:szCs w:val="18"/>
          <w:color w:val="auto"/>
        </w:rPr>
        <w:t>We have been working with some multiple Chinese domestic banks to assist them to leverage block chain technology. We have developed a loyalty reward solution built on block chain technology, which allows domestic banks to track and trace transactions in real-time. Through the use of this technology, the banks offer their consumers the ability to combine loyalty points from various promotions and redeem them in spending. We will continue to develop our new IT solutions to meet the evolving needs of our Chinese and global financial institutional clientele drawing upon the forward-looking research of our R&amp;D center.</w:t>
      </w:r>
    </w:p>
    <w:p>
      <w:pPr>
        <w:spacing w:after="0" w:line="188" w:lineRule="exact"/>
        <w:rPr>
          <w:sz w:val="20"/>
          <w:szCs w:val="20"/>
          <w:color w:val="auto"/>
        </w:rPr>
      </w:pPr>
    </w:p>
    <w:p>
      <w:pPr>
        <w:ind w:right="80" w:firstLine="630"/>
        <w:spacing w:after="0" w:line="264" w:lineRule="auto"/>
        <w:rPr>
          <w:sz w:val="20"/>
          <w:szCs w:val="20"/>
          <w:color w:val="auto"/>
        </w:rPr>
      </w:pPr>
      <w:r>
        <w:rPr>
          <w:rFonts w:ascii="Arial" w:cs="Arial" w:eastAsia="Arial" w:hAnsi="Arial"/>
          <w:sz w:val="18"/>
          <w:szCs w:val="18"/>
          <w:color w:val="auto"/>
        </w:rPr>
        <w:t>For the years ended June 30, 2017 and 2016, revenues from our customized IT solution services were approximately USD$1.8 million and USD$0.9 million, respectively. Revenues from our customized IT solution service accounted for 5.9% and 3.2% of our total revenues in fiscal years 2017 and 2016,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CLPS Virtual Banking Platform (CLB) – </w:t>
      </w:r>
      <w:r>
        <w:rPr>
          <w:rFonts w:ascii="Arial" w:cs="Arial" w:eastAsia="Arial" w:hAnsi="Arial"/>
          <w:sz w:val="17"/>
          <w:szCs w:val="17"/>
          <w:color w:val="auto"/>
        </w:rPr>
        <w:t>CLB is a unique and successful talent training IT platform owned by CLPS. For the past ten years,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focusing on recruiting, training, developing and retaining human capital and talent. We have been developing and continuously upgrading our CLB to train specialized financial IT personnel in order to differentiate ourselves from general IT developers. CLB is one of the crucial components of our Talent Creation Program (“TCP”). It contains a full set of banking application modules covering areas such as core banking, credit cards and wealth management and incorporating cutting-edge technologies, such as JAVA, Android &amp; iOS, HTML, block chain, cloud computing and big data.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developed and intend to implement the following strategies to expand and grow the size of our Company:</w:t>
      </w:r>
    </w:p>
    <w:p>
      <w:pPr>
        <w:spacing w:after="0" w:line="225" w:lineRule="exact"/>
        <w:rPr>
          <w:sz w:val="20"/>
          <w:szCs w:val="20"/>
          <w:color w:val="auto"/>
        </w:rPr>
      </w:pPr>
    </w:p>
    <w:p>
      <w:pPr>
        <w:ind w:firstLine="656"/>
        <w:spacing w:after="0" w:line="255" w:lineRule="auto"/>
        <w:tabs>
          <w:tab w:leader="none" w:pos="1117"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Grow revenue with existing and new clients </w:t>
      </w:r>
      <w:r>
        <w:rPr>
          <w:rFonts w:ascii="Arial" w:cs="Arial" w:eastAsia="Arial" w:hAnsi="Arial"/>
          <w:sz w:val="18"/>
          <w:szCs w:val="18"/>
          <w:color w:val="auto"/>
        </w:rPr>
        <w:t>- We intend to pursue additional revenue opportunities from existing Chinese and global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r>
    </w:p>
    <w:p>
      <w:pPr>
        <w:spacing w:after="0" w:line="193" w:lineRule="exact"/>
        <w:rPr>
          <w:rFonts w:ascii="Arial" w:cs="Arial" w:eastAsia="Arial" w:hAnsi="Arial"/>
          <w:sz w:val="18"/>
          <w:szCs w:val="18"/>
          <w:color w:val="auto"/>
        </w:rPr>
      </w:pPr>
    </w:p>
    <w:p>
      <w:pPr>
        <w:ind w:right="20" w:firstLine="656"/>
        <w:spacing w:after="0" w:line="276" w:lineRule="auto"/>
        <w:tabs>
          <w:tab w:leader="none" w:pos="1117"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research and development, deepen domain expertise and develop specific solutions for target industry verticals </w:t>
      </w:r>
      <w:r>
        <w:rPr>
          <w:rFonts w:ascii="Arial" w:cs="Arial" w:eastAsia="Arial" w:hAnsi="Arial"/>
          <w:sz w:val="17"/>
          <w:szCs w:val="17"/>
          <w:color w:val="auto"/>
        </w:rPr>
        <w:t>- We will</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72" w:lineRule="exact"/>
        <w:rPr>
          <w:rFonts w:ascii="Arial" w:cs="Arial" w:eastAsia="Arial" w:hAnsi="Arial"/>
          <w:sz w:val="17"/>
          <w:szCs w:val="17"/>
          <w:color w:val="auto"/>
        </w:rPr>
      </w:pPr>
    </w:p>
    <w:p>
      <w:pPr>
        <w:ind w:right="80" w:firstLine="656"/>
        <w:spacing w:after="0" w:line="269" w:lineRule="auto"/>
        <w:tabs>
          <w:tab w:leader="none" w:pos="1117"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training and development of our world-class human capital base </w:t>
      </w:r>
      <w:r>
        <w:rPr>
          <w:rFonts w:ascii="Arial" w:cs="Arial" w:eastAsia="Arial" w:hAnsi="Arial"/>
          <w:sz w:val="17"/>
          <w:szCs w:val="17"/>
          <w:color w:val="auto"/>
        </w:rPr>
        <w:t>- We place a high priority on attracting, training,</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and retaining our human capital base to be increasingly competitive. We will continue to build our professional talent pool through our Talent Creation Program (“TCP”) and Talent Development Program (“TDP”) to ensure the sustainable supply of financial IT talent resources. These programs are the result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college,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The strength of our TCP/TDP program adds to our recognition in the industry by competitors and customers alike.</w:t>
      </w:r>
    </w:p>
    <w:p>
      <w:pPr>
        <w:spacing w:after="0" w:line="182" w:lineRule="exact"/>
        <w:rPr>
          <w:rFonts w:ascii="Arial" w:cs="Arial" w:eastAsia="Arial" w:hAnsi="Arial"/>
          <w:sz w:val="17"/>
          <w:szCs w:val="17"/>
          <w:color w:val="auto"/>
        </w:rPr>
      </w:pPr>
    </w:p>
    <w:p>
      <w:pPr>
        <w:ind w:right="20" w:firstLine="656"/>
        <w:spacing w:after="0" w:line="293" w:lineRule="auto"/>
        <w:tabs>
          <w:tab w:leader="none" w:pos="1117"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Drive efficiencies through ongoing improvements in operational excellence </w:t>
      </w:r>
      <w:r>
        <w:rPr>
          <w:rFonts w:ascii="Arial" w:cs="Arial" w:eastAsia="Arial" w:hAnsi="Arial"/>
          <w:sz w:val="16"/>
          <w:szCs w:val="16"/>
          <w:color w:val="auto"/>
        </w:rPr>
        <w:t>- We strive to gain significant operating efficiencies by leveraging</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64" w:lineRule="exact"/>
        <w:rPr>
          <w:rFonts w:ascii="Arial" w:cs="Arial" w:eastAsia="Arial" w:hAnsi="Arial"/>
          <w:sz w:val="16"/>
          <w:szCs w:val="16"/>
          <w:color w:val="auto"/>
        </w:rPr>
      </w:pPr>
    </w:p>
    <w:p>
      <w:pPr>
        <w:ind w:right="120" w:firstLine="656"/>
        <w:spacing w:after="0" w:line="257" w:lineRule="auto"/>
        <w:tabs>
          <w:tab w:leader="none" w:pos="1117"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Capture new growth opportunities through strategic alliances and acquisitions </w:t>
      </w:r>
      <w:r>
        <w:rPr>
          <w:rFonts w:ascii="Arial" w:cs="Arial" w:eastAsia="Arial" w:hAnsi="Arial"/>
          <w:sz w:val="18"/>
          <w:szCs w:val="18"/>
          <w:color w:val="auto"/>
        </w:rPr>
        <w:t>- We will continue to pursue selective alliances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strengths differentiate us from our competitors will continue contributing to our growth and success.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have established employee loyalty through the core engine of TCP and TDP programs, integral parts of our supply chain that supports our service lines. Since 2008, our talent training services have offered training courses in five areas, including domain knowledge, technology skills, data security and management compliance training, soft skills for personnel, and all levels of English language skills including verbal and writing, especially for those who need to communicate with global customers directly on daily basis. We believe the depth and comprehensive nature of our talent training services is one of the key features that distinguishes us from our competition. For the past more than ten years, the Company has been recruiting, training, developing and retaining human capital and talent. We have been developing and upgrading our CLPS Virtual Banking Platform (CLB) to train specialized financial IT professionals. CLB is one of the crucial components of our Talent Creation Program. It contains a full set of banking application modules covering areas such as core banking, credit cards, wealth management and incorporating the cutting-edge technologies, such as JAVA, Android &amp; iOS, HTML and big data. During their Junior or Senior year of university year, the students in this program learn to implement the concepts covered by our TCP platform along with their other computer science theory and coursework. Later, the students join us as interns and continue improving their software development skills eventually becoming members of our development teams. As a result, the program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the banking industry.</w:t>
      </w:r>
    </w:p>
    <w:p>
      <w:pPr>
        <w:spacing w:after="0" w:line="17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TDP program is a continuous internal training course for skilled-professionals in our company. In order to better service our clients, the TDP program to increases our professional skillsets and business knowledge of their respective domain and technical field. We have joined our efforts with Fudan University to support our senior staff in completing their master’s degrees in their respective fields. Since 2005, through our TCP and TDP programs, we have trained and retained a large pool of specialized personnel and skilled in serving financial-related industry clients.</w:t>
      </w:r>
    </w:p>
    <w:p>
      <w:pPr>
        <w:spacing w:after="0" w:line="171"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Benefiting from our employee loyalty programs, we have established an eco-system of loyal client relationships. Employee satisfaction and enhanced career development has resulted in better service for our clients. Client satisfaction in turn motives our employee to continue to provide superior service to our clients. In addition to employee and client satisfaction, our Company’s strengths include the following:</w:t>
      </w:r>
    </w:p>
    <w:p>
      <w:pPr>
        <w:spacing w:after="0" w:line="166"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deep sector specialization, particularly, in the banking and insurance industries;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whom have been with us since our inception;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clients include large corporations headquartered in China and globally which include, among others:</w:t>
      </w:r>
    </w:p>
    <w:p>
      <w:pPr>
        <w:spacing w:after="0" w:line="225" w:lineRule="exact"/>
        <w:rPr>
          <w:sz w:val="20"/>
          <w:szCs w:val="20"/>
          <w:color w:val="auto"/>
        </w:rPr>
      </w:pPr>
    </w:p>
    <w:p>
      <w:pPr>
        <w:ind w:left="1180" w:hanging="524"/>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Banking or their China-based IT centers </w:t>
      </w:r>
      <w:r>
        <w:rPr>
          <w:rFonts w:ascii="Arial" w:cs="Arial" w:eastAsia="Arial" w:hAnsi="Arial"/>
          <w:sz w:val="18"/>
          <w:szCs w:val="18"/>
          <w:color w:val="auto"/>
        </w:rPr>
        <w:t>- Citibank, ANZ Bank, Commonwealth Bank of Australia, Bank of Communications.</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Financial Industry </w:t>
      </w:r>
      <w:r>
        <w:rPr>
          <w:rFonts w:ascii="Arial" w:cs="Arial" w:eastAsia="Arial" w:hAnsi="Arial"/>
          <w:sz w:val="17"/>
          <w:szCs w:val="17"/>
          <w:color w:val="auto"/>
        </w:rPr>
        <w:t>- AIA, China Life Insurance, FirstData, Haitong Securities, Orient Securities and China Universal Asset Management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1120" w:hanging="464"/>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Technology Customers </w:t>
      </w:r>
      <w:r>
        <w:rPr>
          <w:rFonts w:ascii="Arial" w:cs="Arial" w:eastAsia="Arial" w:hAnsi="Arial"/>
          <w:sz w:val="18"/>
          <w:szCs w:val="18"/>
          <w:color w:val="auto"/>
        </w:rPr>
        <w:t>- eBay, CRIF Information Technology, Experian, AGFA Healthcare and Neusoft.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technology know-how to attract new business and remain cost competitive.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have invested in building a broad sales force and marketing team. As of June 30, 2017, our business development teams consisted of 22 full-time sales and marketing personnel, including 17 sales managers, each of whom is responsible for a designated sales region or client account. We plan to enhance our sales efforts by recruiting more sales personnel both domestically and overseas.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212121"/>
        </w:rPr>
        <w:t>R&amp;D is an integral part of our continued growth. In order to better service our Chinese and global client’s needs, we focus on exploring and researching new and advanced technologies and how to best integrate them into our existing and new solutions.</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212121"/>
        </w:rPr>
        <w:t>Currently, we are working on applying new and advanced technologies and tools to enhance our project delivery capability and efficiency. For instance, we applied the DevOps methodology and tools in our project delivery process and platform. This methodology has greatly enhanced the development, operational efficiency and project quality. We focus on block chain, big data and cloud native applications. We have developed a loyalty reward solution based on a block 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solution offerings by improving existing solutions and inventing new solutions, which drive new revenue opportunities and improve our core competencies.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resource management and planning is critically important to supporting our growth, and we are committed to effectively recruiting, training, developing and retaining our human capital. Our total number of employees has grown from 1,055 employees in fiscal 2016 to 1,487 employees as of November 30, 2017. Approximately 70.3% of our personnel are dedicated to serving our foreign financial institution clients. Such personnel maintain up to date financial domain knowledge, technical development and testing skills in Java, .Net, C, C++, testing tools, Android or IOS app, Block Chain, Big Data, Cloud compute and Mainframe COBOL.</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PRC has domestic laws for the protection of rights in copyrights, trademarks and trade secrets. The PRC is also a signatory to all of the world’s major intellectual property conventions, including:</w:t>
      </w:r>
    </w:p>
    <w:p>
      <w:pPr>
        <w:spacing w:after="0" w:line="170"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Convention establishing the World Intellectual Property Organization (June 3, 1980);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Paris Convention for the Protection of Industrial Property (March 19, 1985);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Patent Cooperation Treaty (January 1, 1994);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Agreement on Trade-Related Aspects of Intellectual Property Rights (November 11, 2001).</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PRC Trademark Law, adopted in 1982 and revised in 2013, with its implementation rules adopted in 2014, protects registered trademarks. The Trademark Office of the State Administration of Industry and Commerce of the PRC, handles trademark registrations and grants trademark registrations for a term of ten years.</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intellectual property rights are important to our business. We rely on a combination of trade secrets, confidentiality procedures and contractual provisions to protect our intellectual property. We also rely on and protect unpatented proprietary expertise, recipes and formulations,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Industry and Commerce has the authority to fine the infringer and to confiscate or destroy the infringing products.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Our primary trademark portfolio consists of 9 registered trademarks (with 5 trademarks currently under review).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clpsglobal.com.cn, and clpsgroup.com.cn.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registered for the following trademarks: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Country of</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Application</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Mark</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4320" w:type="dxa"/>
            <w:vAlign w:val="bottom"/>
            <w:gridSpan w:val="2"/>
          </w:tcPr>
          <w:p>
            <w:pPr>
              <w:ind w:left="1440"/>
              <w:spacing w:after="0"/>
              <w:rPr>
                <w:sz w:val="20"/>
                <w:szCs w:val="20"/>
                <w:color w:val="auto"/>
              </w:rPr>
            </w:pPr>
            <w:r>
              <w:rPr>
                <w:rFonts w:ascii="Arial" w:cs="Arial" w:eastAsia="Arial" w:hAnsi="Arial"/>
                <w:sz w:val="18"/>
                <w:szCs w:val="18"/>
                <w:b w:val="1"/>
                <w:bCs w:val="1"/>
                <w:color w:val="auto"/>
              </w:rPr>
              <w:t>Class/Description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Current Owner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2"/>
        </w:trPr>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19288958</w:t>
            </w:r>
          </w:p>
        </w:tc>
        <w:tc>
          <w:tcPr>
            <w:tcW w:w="10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Class 9: Recorded computer programs (programs);</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ChinaLink</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Recorded computer operating programs Computer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peripherals; Computer software (recorded); Connector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(data processing equipment); Monitor program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program); Electronic publications (downloadable);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program (downloadable software);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Downloadable computer application software;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19289112</w:t>
            </w:r>
          </w:p>
        </w:tc>
        <w:tc>
          <w:tcPr>
            <w:tcW w:w="10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Class 38: Information transmission; Computer terminal</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7"/>
              </w:rPr>
              <w:t>communication; Computer-aided information and image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5"/>
              </w:rPr>
              <w:t>transmission; Information transmission equipment rental;</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Provide telecommunications link services to connect with</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the global computer network; Telecommunications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5"/>
              </w:rPr>
              <w:t>routing and junction services; Provide access service for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global computer network users; Provide database access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9"/>
              </w:rPr>
              <w:t>service; Digital file transfer Teleconference call service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19289503</w:t>
            </w:r>
          </w:p>
        </w:tc>
        <w:tc>
          <w:tcPr>
            <w:tcW w:w="10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9: Recorded computer programs (programs);</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Recorded computer operating programs; Computer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peripherals; Computer software (recorded); Connector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(data processing equipment); Monitor program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program); Electronic publications (downloadable);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program (downloadable software);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Downloadable computer application software;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19289341</w:t>
            </w:r>
          </w:p>
        </w:tc>
        <w:tc>
          <w:tcPr>
            <w:tcW w:w="10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w w:val="96"/>
              </w:rPr>
              <w:t>Class 42: Technical research; Research or develop new</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7"/>
              </w:rPr>
              <w:t>products for others; Computer programming; Computer</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software design; Computer hardware design and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development consulting; Computer software rental;</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Computer software maintenance; Computer system</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-3978275</wp:posOffset>
            </wp:positionV>
            <wp:extent cx="634365"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634365"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-1783080</wp:posOffset>
            </wp:positionV>
            <wp:extent cx="677545"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545" cy="2743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-685165</wp:posOffset>
            </wp:positionV>
            <wp:extent cx="677545"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545" cy="274320"/>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analysis; Computer software installation; Computer</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software consulting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register the following trademarks: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Country of</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Application</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Mark</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4320" w:type="dxa"/>
            <w:vAlign w:val="bottom"/>
            <w:gridSpan w:val="2"/>
          </w:tcPr>
          <w:p>
            <w:pPr>
              <w:ind w:left="1440"/>
              <w:spacing w:after="0"/>
              <w:rPr>
                <w:sz w:val="20"/>
                <w:szCs w:val="20"/>
                <w:color w:val="auto"/>
              </w:rPr>
            </w:pPr>
            <w:r>
              <w:rPr>
                <w:rFonts w:ascii="Arial" w:cs="Arial" w:eastAsia="Arial" w:hAnsi="Arial"/>
                <w:sz w:val="18"/>
                <w:szCs w:val="18"/>
                <w:b w:val="1"/>
                <w:bCs w:val="1"/>
                <w:color w:val="auto"/>
              </w:rPr>
              <w:t>Class/Description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Current Owner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2"/>
        </w:trPr>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19289066</w:t>
            </w:r>
          </w:p>
        </w:tc>
        <w:tc>
          <w:tcPr>
            <w:tcW w:w="10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Class 35: Advertising; Advertising agency Advertising</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ChinaLink</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space rental; Online advertising on the computer network;</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Advertisement layout design; Business management</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assistance; Business inquiry; Business information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agency; Business management and organization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Business management consulting</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19289214</w:t>
            </w:r>
          </w:p>
        </w:tc>
        <w:tc>
          <w:tcPr>
            <w:tcW w:w="10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41: Teaching; Education; Training; Practical</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training (demonstration); Employment guidance</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(education or training consultants); Arrange and organize</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academic seminars; Arrange and organize meetings;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Arrange and organize general meeting; Arrange and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organize symposium; Arrange and organize training</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classes</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19289175</w:t>
            </w:r>
          </w:p>
        </w:tc>
        <w:tc>
          <w:tcPr>
            <w:tcW w:w="10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Class 42: Technical research; Research or develop new</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products for others; Computer programming; Computer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design; Computer hardware design and</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consulting; Computer software rental;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software maintenance; Computer system</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analysis; Computer software installation;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consulting</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19289492</w:t>
            </w:r>
          </w:p>
        </w:tc>
        <w:tc>
          <w:tcPr>
            <w:tcW w:w="10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Class 38: Information transmission; Computer terminal</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communication; Computer-aided information and image</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transmission; Information transmission equipment rental;</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Provide telecommunications link services to connect with</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global computer network; Telecommunications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routing and junction services; Provide access service for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global computer network users; Provide database access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service; Digital file transfer; Teleconference call service</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19289420</w:t>
            </w:r>
          </w:p>
        </w:tc>
        <w:tc>
          <w:tcPr>
            <w:tcW w:w="10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Class 41: Teaching; Education; Training; Practical</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training (demonstration); Employment guidance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(education or training consultants); Arrange and organize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academic seminars; Arrange and organize meetings;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-4801870</wp:posOffset>
            </wp:positionV>
            <wp:extent cx="634365" cy="2571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-3841115</wp:posOffset>
            </wp:positionV>
            <wp:extent cx="634365" cy="257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-2743835</wp:posOffset>
            </wp:positionV>
            <wp:extent cx="634365" cy="257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677545"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545" cy="2743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-548005</wp:posOffset>
            </wp:positionV>
            <wp:extent cx="677545"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545" cy="274320"/>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Arrange and organize general meeting; Arrange and</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organize symposium; Arrange and organize training</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classes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the Company’s copyrights: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CLPS HR Management Platform Software</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2009SR015975</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29th April 2009</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3"/>
              </w:rPr>
              <w:t>CLPS Food and Beverage Report Analysis</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2009SR060110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6"/>
              </w:rPr>
              <w:t>and Management 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CLPS Apparel Industry POS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2009SR060102</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Express Information Interactive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2009SR060112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CLPS Chain Store Information Interactive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2009SR060108</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8"/>
              </w:rPr>
              <w:t>CLPS Project Analysis and Management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2009SR060169</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Payroll Accounting System</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2010SR043564</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25th August 2010</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Fast Moving Consumer Goods</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2010SR043561</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25th August 2010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Frontline Staff Management Platform</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Staff Management Platform</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2010SR043562</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25th August 2010</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7"/>
              </w:rPr>
              <w:t>CLPS Coal Mining Enterprise Information</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2010SR045449</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1st September 2010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System Management Platform Software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V1.0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CLPS Campus Expense Card Web Service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2010SR045441</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1st September 2010</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655"/>
        </w:trPr>
        <w:tc>
          <w:tcPr>
            <w:tcW w:w="3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CLPS Campus Expense Card Bathroom</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2010SR045444</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1st September 2010</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Service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Machinery Industry ERP</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2010SR045802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2nd September 2010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Management 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CLPS Assignment and Task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2011SR076863</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25th October 2011</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Software(short name: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Assignment and Task Management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Marketing Assistant System</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2012SR096727</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15th October 2012</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Outsourcing Service Staff</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2012SR096666</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15th October 2012</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System Platform Software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9"/>
              </w:rPr>
              <w:t>CLPS Outsourcing Service Staff System</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2012SR096731</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15th October 2012</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8"/>
              </w:rPr>
              <w:t>Background Management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Logistics Terminal Distribution</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2012SR096668</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15th October 2012</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HR Background Support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2012SR098440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19th October 2012</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Management System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CLPS HR Management System Platform</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2012SR098429</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19th October 2012</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Software(short name: HR management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7"/>
              </w:rPr>
              <w:t>CLPS Outsourcing Service Staff Resume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2012SR098687</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19th October 2012</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Entry System 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Document Business</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2013SR054800</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5th June 2013</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Software(short name: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Document Management)V1.0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682"/>
        </w:trPr>
        <w:tc>
          <w:tcPr>
            <w:tcW w:w="3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CLPS Bank Monetary Transaction</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2013SR054796</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5th June 2013</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(short name: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Monetary Transaction Management) 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Expense Management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2014SR168125</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CLPS Bank Repayment Process Software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2014SR168130</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Point Accumulative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2014SR168132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Management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Interest Process Software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2014SR168136</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Credit Application Software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2014SR168138</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Credit Card Risk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2015SR028695</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6"/>
              </w:rPr>
              <w:t>CLPS Credit Card Account Establishment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2015SR029015</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and Card Making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Credit Card Customer Service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2015SR029012</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6"/>
              </w:rPr>
              <w:t>CLPS Credit Card Cleaning Management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2015SR028884</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Credit Card Authorization</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2015SR028914</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9"/>
              </w:rPr>
              <w:t>CLPS Mortgage Loan Plan Spreadsheet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2015SR198772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Tool Software (short name: loan</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spreadsheet) V1.0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Product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2015SR198610</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Deposit and Withdrawal</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2015SR198176</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Services Management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Loan Application</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2015SR198654</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655"/>
        </w:trPr>
        <w:tc>
          <w:tcPr>
            <w:tcW w:w="3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CLPS Bank Repayment Management</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2015SR198649</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16th October 2015</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6"/>
              </w:rPr>
              <w:t>CLPS Bank Exchange Rate Management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2015SR198774</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CLPS Bank Interest Settlement Software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2015SR198246</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Foreign Exchange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2015SR198240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Transaction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Investment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2016SR376924</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16th December 2016</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Business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Big Data Decision-making</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2016SR382920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20th December 2016</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Platform Customer Portrayal Software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V1.0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Services Ca,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Internet Financial Cloud Mobile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2016SR398821</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27th December 2016</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 Software V2.0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Wantong Calculas Mall Software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2017SR118507</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6"/>
              </w:rPr>
              <w:t>CLPS Beijing</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4"/>
              </w:rPr>
              <w:t>17th April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V2.0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Hengtong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RcRules Engine Software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2017SR169307</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CLPS Ruicheng Co.,</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9th May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Internet Financing Collection</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2017SR119266</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CLPS Ruicheng Co.,</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4"/>
              </w:rPr>
              <w:t>17th April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Management Software V2.0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Points Management Platform</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2017SR119078</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CLPS Ruicheng Co.,</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4"/>
              </w:rPr>
              <w:t>17th April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Full-web Order Receiving Unified</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2017SR202535</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CLPS Ruicheng Co.,</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24th May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Platform Management Software V2.0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655"/>
        </w:trPr>
        <w:tc>
          <w:tcPr>
            <w:tcW w:w="3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2"/>
        </w:trPr>
        <w:tc>
          <w:tcPr>
            <w:tcW w:w="3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CLPS Quanxi Intelligent Marketing</w:t>
            </w:r>
          </w:p>
        </w:tc>
        <w:tc>
          <w:tcPr>
            <w:tcW w:w="12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2017SR565576</w:t>
            </w:r>
          </w:p>
        </w:tc>
        <w:tc>
          <w:tcPr>
            <w:tcW w:w="1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13th October 2017</w:t>
            </w: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Platform Clients Growth Center Software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V2.0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Enterprise Recruitment Intelligent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2017SR646712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Cooperation Platform Software V2.0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Intelligent Online Training Test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2017SR646507</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Instructional Management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Enterprise Internet Qinqin Loan</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2017SR647634</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8"/>
              </w:rPr>
              <w:t>Background Management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Blockchain Based Virtual Credits</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2017SR645676</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Background Management Software V2.0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Enterprise Talent Information</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2017SR645650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Intelligent Mangement Software V2.0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Credit Card Big Data Integrated</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2017SR645763</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Management Background Software V2.0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Enterprise Recruitment Intelligent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2017SR647190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Cooperation Platform Software V2.0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160" w:firstLine="648"/>
        <w:spacing w:after="0" w:line="280" w:lineRule="auto"/>
        <w:rPr>
          <w:sz w:val="20"/>
          <w:szCs w:val="20"/>
          <w:color w:val="auto"/>
        </w:rPr>
      </w:pPr>
      <w:r>
        <w:rPr>
          <w:rFonts w:ascii="Arial" w:cs="Arial" w:eastAsia="Arial" w:hAnsi="Arial"/>
          <w:sz w:val="18"/>
          <w:szCs w:val="18"/>
          <w:color w:val="auto"/>
        </w:rPr>
        <w:t>Our principal executive office is located on the 2nd Floor, Building 18, Shanghai Pudong Software Park 498 Guoshoujing Road, Pudong, Shanghai 201203, PRC. We lease the premises and the lease term expires on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June, 2019.</w:t>
      </w:r>
    </w:p>
    <w:p>
      <w:pPr>
        <w:spacing w:after="0" w:line="4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the Company manages and operates several other facilities. We rent an office space in Tianjin, Shenzhen, Guangzhou, Dalian, Chengdu, Beijing, Australia and Singapore. Rent expenses amounted to $565,328 and $431,043 for the years ended June 30, 2017 and 2016, respectively. We believe our facilities are adequate for our current needs.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4" w:name="page75"/>
    <w:bookmarkEnd w:id="7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20" w:type="dxa"/>
            <w:vAlign w:val="bottom"/>
          </w:tcPr>
          <w:p>
            <w:pPr>
              <w:ind w:left="620"/>
              <w:spacing w:after="0"/>
              <w:rPr>
                <w:sz w:val="20"/>
                <w:szCs w:val="20"/>
                <w:color w:val="auto"/>
              </w:rPr>
            </w:pPr>
            <w:r>
              <w:rPr>
                <w:rFonts w:ascii="Arial" w:cs="Arial" w:eastAsia="Arial" w:hAnsi="Arial"/>
                <w:sz w:val="18"/>
                <w:szCs w:val="18"/>
                <w:b w:val="1"/>
                <w:bCs w:val="1"/>
                <w:color w:val="auto"/>
              </w:rPr>
              <w:t>Facility</w:t>
            </w:r>
          </w:p>
        </w:tc>
        <w:tc>
          <w:tcPr>
            <w:tcW w:w="120" w:type="dxa"/>
            <w:vAlign w:val="bottom"/>
          </w:tcPr>
          <w:p>
            <w:pPr>
              <w:spacing w:after="0"/>
              <w:rPr>
                <w:sz w:val="20"/>
                <w:szCs w:val="20"/>
                <w:color w:val="auto"/>
              </w:rPr>
            </w:pPr>
          </w:p>
        </w:tc>
        <w:tc>
          <w:tcPr>
            <w:tcW w:w="8220" w:type="dxa"/>
            <w:vAlign w:val="bottom"/>
            <w:gridSpan w:val="2"/>
          </w:tcPr>
          <w:p>
            <w:pPr>
              <w:ind w:left="3740"/>
              <w:spacing w:after="0"/>
              <w:rPr>
                <w:sz w:val="20"/>
                <w:szCs w:val="20"/>
                <w:color w:val="auto"/>
              </w:rPr>
            </w:pPr>
            <w:r>
              <w:rPr>
                <w:rFonts w:ascii="Arial" w:cs="Arial" w:eastAsia="Arial" w:hAnsi="Arial"/>
                <w:sz w:val="18"/>
                <w:szCs w:val="18"/>
                <w:b w:val="1"/>
                <w:bCs w:val="1"/>
                <w:color w:val="auto"/>
              </w:rPr>
              <w:t>Address</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Space (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Shanghai Office</w:t>
            </w:r>
          </w:p>
        </w:tc>
        <w:tc>
          <w:tcPr>
            <w:tcW w:w="83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2nd Floor, Building 18, Shanghai Pudong Software Park, 498 Guoshoujing Road, Pudong District, Shanghai,</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Tianjin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W5-C1-403-1, 51 West Area of Financial Street, the 3rd Street, Economic Development District, Tianjian,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Shenzhen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Room 2008, Anhui Building, Shennan Avenue, Futian District, Shenzhen, Guangdong Province,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Guangzhou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6C03, 377 Tianhe Road, Tianhe District, Guangzhou, Guangdong Province,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Dalian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Room#01-04, 1/F, 1 Huixian Garden, New &amp; High-tech Industrial Park, Dalian, Liaoning Province,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Chengdu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Unit 10, 25/Floor, Tower 2, 88 Jitai 5th Road, Gaoxin District, Chengdu, Sichuan District,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Beijing Office</w:t>
            </w:r>
          </w:p>
        </w:tc>
        <w:tc>
          <w:tcPr>
            <w:tcW w:w="83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1/F, Shangke Chuangye Area, Guotou Shangke Building, 111 Huihe South Street, Gaobeidian, Chaoyang</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District, Beijing,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Australia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Part Tenancy 5, Part Level 9, 276 Flinders Street, Melbourne, VIC, Australia</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Singapore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 456 Office, Singapore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Legal Proceedings</w:t>
            </w:r>
          </w:p>
        </w:tc>
        <w:tc>
          <w:tcPr>
            <w:tcW w:w="1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Relating to PRC Information Technology Service Industry</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Companies in China engaging in information systems integration are required to obtain qualification certificates from the Ministry of Industry and Information Technology. “Information systems integration” means plan, design, development, implementation, service and safeguard of computer system and network system. Currently the Company does not engage in information system integration business, therefore the Company is not required to have such qualification certificates. Companies planning to set up computer information systems may only retain systems integration companies with appropriate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w:t>
      </w:r>
    </w:p>
    <w:p>
      <w:pPr>
        <w:spacing w:after="0" w:line="16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Intellectual Property Rights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Trademark Office of the State Administration for Industry and Commerce handles trademark registrations and grants a renewable protection term of 10 years to registered trademarks.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Foreign Currency Exchange and Dividend Distribution</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u w:val="single" w:color="auto"/>
          <w:color w:val="auto"/>
        </w:rPr>
        <w:t>Foreign Currency Exchange.</w:t>
      </w:r>
      <w:r>
        <w:rPr>
          <w:rFonts w:ascii="Arial" w:cs="Arial" w:eastAsia="Arial" w:hAnsi="Arial"/>
          <w:sz w:val="17"/>
          <w:szCs w:val="17"/>
          <w:color w:val="auto"/>
        </w:rPr>
        <w:t xml:space="preserve">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are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spacing w:after="0" w:line="178"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u w:val="single" w:color="auto"/>
          <w:color w:val="auto"/>
        </w:rPr>
        <w:t>Dividend Distribution.</w:t>
      </w:r>
      <w:r>
        <w:rPr>
          <w:rFonts w:ascii="Arial" w:cs="Arial" w:eastAsia="Arial" w:hAnsi="Arial"/>
          <w:sz w:val="18"/>
          <w:szCs w:val="18"/>
          <w:color w:val="auto"/>
        </w:rPr>
        <w:t xml:space="preserve"> The principal regulations governing the distribution of dividends by foreign holding companies include the Company Law of the PRC (1993), as amended in 2013, the Foreign Investment Enterprise Law (1986), as amended in 2000, and the Administrative Rules under the Foreign Investment Enterprise Law (2001), as amended in 2014.</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u w:val="single" w:color="auto"/>
          <w:color w:val="auto"/>
        </w:rPr>
        <w:t>Circular 37</w:t>
      </w:r>
      <w:r>
        <w:rPr>
          <w:rFonts w:ascii="Arial" w:cs="Arial" w:eastAsia="Arial" w:hAnsi="Arial"/>
          <w:sz w:val="17"/>
          <w:szCs w:val="17"/>
          <w:color w:val="auto"/>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M&amp;A Regulations and Overseas Listings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August 8, 2006, six PRC regulatory agencies, including the Ministry of Commerce,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This New M&amp;A Rule, among other things, includes provisions that purport to require that an offshore special purpose vehicle formed for purposes of overseas listing of equity interests in PRC companies and controlled directly or indirectly by PRC companies or individuals obtain the approval of CSRC prior to the listing and trading of such special purpose vehicle’s securities on an overseas stock exchange.</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September 21, 2006, CSRC published on its official website procedures regarding its approval of overseas listings by special purpose vehicles. The CSRC approval procedures require the filing of a number of documents with the CSRC and it would take several months to complete the approval process. The application of this new PRC regulation remains unclear with no consensus currently existing among leading PRC law firms regarding the scope of the applicability of the CSRC approval requirement.</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PRC counsel has advised us that, based on their understanding of the current PRC laws and regulations,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uncertainties still exist as to how the New M&amp;A Rule will be interpreted and implemented and our opinion stated above is subject to any new laws, rules and regulations or detailed implementations and interpretations in any form relating to the New M&amp;A Rule.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Offshore Parent Holding Companies’ Direct Investment in and Loans to Their PRC Subsidiaries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which include the Wholly Foreign Owned Enterprise Law, the Sino-foreign Equity Joint Venture Enterprise Law, the Sino-foreign Contractual Joint Venture Enterprise Law,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the registered capital of a foreign-invested enterprise is subject to the prior approval by the original approval authority of its establishment. In addition, the increase of registered capital and total investment amount shall both be registered with SAIC and SAFE. Shareholder loans made by offshore parent holding companies to their PRC subsidiaries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subsidiaries shall be registered with SAFE. Furthermore, the total amount of foreign debts that can be borrowed by such PRC subsidiaries, including any shareholder loans, shall not exceed the difference between the total investment amount and the registered capital amount of the PRC subsidiaries, both of which are subject to the governmental approval.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executive officers and directors, their ages and the positions held by them: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top w:val="single" w:sz="8" w:color="CCEEFF"/>
            </w:tcBorders>
            <w:shd w:val="clear" w:color="auto" w:fill="CCEEFF"/>
          </w:tcPr>
          <w:p>
            <w:pPr>
              <w:spacing w:after="0"/>
              <w:rPr>
                <w:sz w:val="18"/>
                <w:szCs w:val="18"/>
                <w:color w:val="auto"/>
              </w:rPr>
            </w:pPr>
          </w:p>
        </w:tc>
        <w:tc>
          <w:tcPr>
            <w:tcW w:w="6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President and Director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Raymond Ming Hui Lin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 van Acken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Jian Xu</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Senior Vice President of Operations</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Jin He Shao (1)(4)*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Kewei Huang (2)*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Kathryn Amooi (3)*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bl>
    <w:p>
      <w:pPr>
        <w:spacing w:after="0" w:line="202" w:lineRule="exact"/>
        <w:rPr>
          <w:sz w:val="20"/>
          <w:szCs w:val="20"/>
          <w:color w:val="auto"/>
        </w:rPr>
      </w:pPr>
    </w:p>
    <w:p>
      <w:pPr>
        <w:ind w:right="100" w:firstLine="8"/>
        <w:spacing w:after="0" w:line="277" w:lineRule="auto"/>
        <w:tabs>
          <w:tab w:leader="none" w:pos="1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independent director appointees has accepted appointment as our independent director, effective upon the SEC’s declaration of effectiveness of the registration statement on Form F-1 of which this prospectus is a part.</w:t>
      </w:r>
    </w:p>
    <w:p>
      <w:pPr>
        <w:spacing w:after="0" w:line="170"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Chair of the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Chair of the Nominating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Audit Committee financial expert.</w:t>
      </w:r>
    </w:p>
    <w:p>
      <w:pPr>
        <w:spacing w:after="0" w:line="207"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 xml:space="preserve">Xiao Feng Yang </w:t>
      </w:r>
      <w:r>
        <w:rPr>
          <w:rFonts w:ascii="Arial" w:cs="Arial" w:eastAsia="Arial" w:hAnsi="Arial"/>
          <w:sz w:val="16"/>
          <w:szCs w:val="16"/>
          <w:color w:val="auto"/>
        </w:rPr>
        <w:t>is the chairman, president and director of the Company. Mr. Yang has over 20 years of executive management and operational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the IT services business. From October 2012 to present, Mr. Yang served as chairman and president of ChinaLink. From April 2009 to October 2012, Mr. Yang served as deputy general manager of ADP China to manage the service operation of HR BPO service in China. From June 2002 to April 2009, Mr. Yang was the Human Resource Director of Phillips, Mr. Yang graduated from Tongji University, Shanghai, China, with a bachelor’s degree in electrical engineering. Mr. Yang received his MBA degree both from Shanghai University of Finance and Webster University (US).</w:t>
      </w:r>
    </w:p>
    <w:p>
      <w:pPr>
        <w:spacing w:after="0" w:line="154"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b w:val="1"/>
          <w:bCs w:val="1"/>
          <w:color w:val="auto"/>
        </w:rPr>
        <w:t>Raymond Ming Hui Lin</w:t>
      </w:r>
      <w:r>
        <w:rPr>
          <w:rFonts w:ascii="Arial" w:cs="Arial" w:eastAsia="Arial" w:hAnsi="Arial"/>
          <w:sz w:val="16"/>
          <w:szCs w:val="16"/>
          <w:color w:val="auto"/>
        </w:rPr>
        <w:t>, is the chief executive officer and director of the Company. Mr. Lin joined CLPS in February 2009 as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January 2008 to January 2009, Mr. Lin was business consultant of VanceInfo, after VanceInfo Acquired A-IT Software (Shandhai) Co. Ltd. Mr. Lin acted as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one of the largest mainframe resource powerhouse and the VisionPLUS project team in Greater China. In 2015, Mr. Lin became the MSE senior advisor in Fudan University, Shanghai, China.</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Tian van Acken </w:t>
      </w:r>
      <w:r>
        <w:rPr>
          <w:rFonts w:ascii="Arial" w:cs="Arial" w:eastAsia="Arial" w:hAnsi="Arial"/>
          <w:sz w:val="18"/>
          <w:szCs w:val="18"/>
          <w:color w:val="auto"/>
        </w:rPr>
        <w:t>Ms. Tian van Acken is the chief financial officer of the company. From December 2015 to September 2017, Ms. van Acken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chief financial officer at ec+ Communication Corporation. From September 2011 to December 2015, Ms. van Acken held chief financial officer positions at various start-up companies in China. From March 2006 to September 2011, Ms. van Acken served as Greater China chief financial officer at Lowe China, subsidiary of Lowe Worldwide (Interpublic Group of Companies) in China. From 1996 to 2006, Ms. van Acken held various managerial financial positions at Siegfried Resources LLC in New York, Highland Capital Partners and PricewaterhouseCoopers in Boston, respectively. Ms. van Acken holds an MBA degree in Finance and Accounting from Rochester Institute of Technology. She is a Chartered Financial Analyst and certified public account licensed in the State of Massachusetts.</w:t>
      </w:r>
    </w:p>
    <w:p>
      <w:pPr>
        <w:spacing w:after="0" w:line="189" w:lineRule="exact"/>
        <w:rPr>
          <w:sz w:val="20"/>
          <w:szCs w:val="20"/>
          <w:color w:val="auto"/>
        </w:rPr>
      </w:pPr>
    </w:p>
    <w:p>
      <w:pPr>
        <w:jc w:val="both"/>
        <w:ind w:right="100" w:firstLine="648"/>
        <w:spacing w:after="0" w:line="261" w:lineRule="auto"/>
        <w:rPr>
          <w:sz w:val="20"/>
          <w:szCs w:val="20"/>
          <w:color w:val="auto"/>
        </w:rPr>
      </w:pPr>
      <w:r>
        <w:rPr>
          <w:rFonts w:ascii="Arial" w:cs="Arial" w:eastAsia="Arial" w:hAnsi="Arial"/>
          <w:sz w:val="18"/>
          <w:szCs w:val="18"/>
          <w:b w:val="1"/>
          <w:bCs w:val="1"/>
          <w:color w:val="auto"/>
        </w:rPr>
        <w:t xml:space="preserve">Jian Xu </w:t>
      </w:r>
      <w:r>
        <w:rPr>
          <w:rFonts w:ascii="Arial" w:cs="Arial" w:eastAsia="Arial" w:hAnsi="Arial"/>
          <w:sz w:val="18"/>
          <w:szCs w:val="18"/>
          <w:color w:val="auto"/>
        </w:rPr>
        <w:t>is our senior vice president of operations. He has served in this capacity since July 2008. From December 2003 to June 2008, Mr. Xu acted</w:t>
      </w:r>
      <w:r>
        <w:rPr>
          <w:rFonts w:ascii="Arial" w:cs="Arial" w:eastAsia="Arial" w:hAnsi="Arial"/>
          <w:sz w:val="18"/>
          <w:szCs w:val="18"/>
          <w:b w:val="1"/>
          <w:bCs w:val="1"/>
          <w:color w:val="auto"/>
        </w:rPr>
        <w:t xml:space="preserve"> </w:t>
      </w:r>
      <w:r>
        <w:rPr>
          <w:rFonts w:ascii="Arial" w:cs="Arial" w:eastAsia="Arial" w:hAnsi="Arial"/>
          <w:sz w:val="18"/>
          <w:szCs w:val="18"/>
          <w:color w:val="auto"/>
        </w:rPr>
        <w:t>as IT consultant and trainer at A-IT Software Co., Ltd. From January 2003 to December 2003, Mr. Xu served as senior software developer at Neusoft Group Co., Ltd. From July 2000 to December 2003, he held the position of senior software developer at two software companies. Mr. Xu holds a Bachelor’s degree in Mechanical and Electronic Engineer from Shenyang University of Technology.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Jin He Shao </w:t>
      </w:r>
      <w:r>
        <w:rPr>
          <w:rFonts w:ascii="Arial" w:cs="Arial" w:eastAsia="Arial" w:hAnsi="Arial"/>
          <w:sz w:val="16"/>
          <w:szCs w:val="16"/>
          <w:color w:val="auto"/>
        </w:rPr>
        <w:t>is an independent director of the Company. From January 2002 to present, Mr. Shao has been a partner at Shanghai Huajin Accounting</w:t>
      </w:r>
    </w:p>
    <w:p>
      <w:pPr>
        <w:spacing w:after="0" w:line="50" w:lineRule="exact"/>
        <w:rPr>
          <w:sz w:val="20"/>
          <w:szCs w:val="20"/>
          <w:color w:val="auto"/>
        </w:rPr>
      </w:pPr>
    </w:p>
    <w:p>
      <w:pPr>
        <w:jc w:val="both"/>
        <w:ind w:right="20" w:firstLine="8"/>
        <w:spacing w:after="0" w:line="254" w:lineRule="auto"/>
        <w:tabs>
          <w:tab w:leader="none" w:pos="1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Consulting Professional Services. From 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spacing w:after="0" w:line="18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Kewei Huang </w:t>
      </w:r>
      <w:r>
        <w:rPr>
          <w:rFonts w:ascii="Arial" w:cs="Arial" w:eastAsia="Arial" w:hAnsi="Arial"/>
          <w:sz w:val="18"/>
          <w:szCs w:val="18"/>
          <w:color w:val="auto"/>
        </w:rPr>
        <w:t>is an independent director of the Company. From September 2014 to present, Mr. Huang has held the office of the chief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at Moxian, Inc. (MOXC), a Nasdaq listed company. In 1995, he received a PhD degree in component based technologies from the University of New South Wales. In addition, Mr. Huang holds a Bachelor’s degree in English from National University of Singapore and an MBA degree from Preston University.</w:t>
      </w:r>
    </w:p>
    <w:p>
      <w:pPr>
        <w:spacing w:after="0" w:line="180"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b w:val="1"/>
          <w:bCs w:val="1"/>
          <w:color w:val="auto"/>
        </w:rPr>
        <w:t xml:space="preserve">Kathryn Amooi </w:t>
      </w:r>
      <w:r>
        <w:rPr>
          <w:rFonts w:ascii="Arial" w:cs="Arial" w:eastAsia="Arial" w:hAnsi="Arial"/>
          <w:sz w:val="18"/>
          <w:szCs w:val="18"/>
          <w:color w:val="auto"/>
        </w:rPr>
        <w:t>is an independent director of the Company. Ms. Amooi has held various offices at Automatic Data Processing (ADP), LLC, a</w:t>
      </w:r>
      <w:r>
        <w:rPr>
          <w:rFonts w:ascii="Arial" w:cs="Arial" w:eastAsia="Arial" w:hAnsi="Arial"/>
          <w:sz w:val="18"/>
          <w:szCs w:val="18"/>
          <w:b w:val="1"/>
          <w:bCs w:val="1"/>
          <w:color w:val="auto"/>
        </w:rPr>
        <w:t xml:space="preserve"> </w:t>
      </w:r>
      <w:r>
        <w:rPr>
          <w:rFonts w:ascii="Arial" w:cs="Arial" w:eastAsia="Arial" w:hAnsi="Arial"/>
          <w:sz w:val="18"/>
          <w:szCs w:val="18"/>
          <w:color w:val="auto"/>
        </w:rPr>
        <w:t>human capital management company, including as Senior Vice President from May 2011 to December 2014, as Senior Division Vice President from May 2008 to June 2011, and Managing Director/General Manager from June 2005 to June 2008 at Automatic Data Processing (ADP) China, LLC. Ms. Amooi attended University of Southern California.</w:t>
      </w:r>
    </w:p>
    <w:p>
      <w:pPr>
        <w:spacing w:after="0" w:line="18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None of the events listed in Item 401(f) of Regulation S-K has occurred during the past ten years that is material to the evaluation of the ability or integrity of any of our directors, director nominees or executive officers.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 and 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Board; Risk Oversight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spacing w:after="0" w:line="19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a smaller reporting company 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spacing w:after="0" w:line="188"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w:t>
      </w:r>
    </w:p>
    <w:p>
      <w:pPr>
        <w:spacing w:after="0" w:line="124"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While it may be deemed a “controlled company” under the NASDAQ Marketplace Rules (specifically, as defined in Rule 5615(c)), the Company does not intend to avail itself of the corporate governance exemptions afforded to a controlled company under the NASDAQ Marketplace Rules. Similarly, the Company intends to comply with all applicable NASDAQ corporate governance requirements irrespective of its “foreign private issues” status.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Our board plays a significant role in our risk oversight. The board makes all relevant Company decisions. As such, it is important for us to have our Chief Executive Officer serve on the board as he plays key roles in the risk oversight or the Company. As a smaller reporting company with a small board of directors, we believe it is appropriate to have the involvement and input of all of our directors in risk oversight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board has reviewed the independence of our directors, applying the NASDAQ independence standards. Based on this review, the board determined that each of Kathryn Amooi, Kewei Huang and Jin He Shao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we anticipate that our independent directors will meet on a regular basis as often as necessary to fulfill their responsibilities, including at least annually in executive session without the presence of non-independent directors and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Duties of Directors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 shareholder may have the right to seek damages in our name if a duty owed by our directors is breached.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Currently, three committees have been established under the board: the Audit Committee, the Compensation Committee and the Nominating Committee.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will be responsible for, among other matters:</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70"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0" w:name="page81"/>
    <w:bookmarkEnd w:id="8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procedures for the confidential and or anonymous submission of concerns regarding accounting, internal controls or auditing matters;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approving related-party transactions.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Audit Committee consists of Kathryn Amooi, Kewei Huang and Jin He Shao,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will be responsible for, among other matters:</w:t>
      </w:r>
    </w:p>
    <w:p>
      <w:pPr>
        <w:spacing w:after="0" w:line="225" w:lineRule="exact"/>
        <w:rPr>
          <w:sz w:val="20"/>
          <w:szCs w:val="20"/>
          <w:color w:val="auto"/>
        </w:rPr>
      </w:pPr>
    </w:p>
    <w:p>
      <w:pPr>
        <w:ind w:left="660" w:right="4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to approve the compensation of our CEO and other executive officers and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administering incentive and equity-based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Compensation Committee consists of Kathryn Amooi, Kewei Huang and Jin He Shao, with Mr. Huang serving as chair of the Compensation Committee. Our board has affirmatively determined that each of the members of the Compensation Committee meets the definition of “independent director” for purposes of serving on Compensation Committee under NASDAQ rules.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Nominating Committee will be responsible for, among other matters:</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selecting or recommending for selection candidates for directorships;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evaluating the independence of directors and director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structure and composition of our board and the board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monitoring the Company’s Code of Business Conduct and Ethics;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overseeing the evaluation of the Company’s management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1" w:name="page82"/>
    <w:bookmarkEnd w:id="8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Nominating Committee consists of consists of Kathryn Amooi, Kewei Huang and Jin He Shao, with Ms. Amooi serving as chair of the Nominating Committee. Our board has affirmatively determined that each of the members of the Nominating Committee meets the definition of “independent director” for purposes of serving on a Nominating Committee under NASDAQ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Duties of Directors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See “Description of Share Capital —Differences in Corporate Law” for additional information on our directors’ fiduciary duties under Cayman Islands law. In fulfilling their duty of care to us, our directors must ensure compliance with our memorandum and articles of association. We have the right to seek damages if a duty owed by our directors is breached.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and powers of our board of directors include, among others:</w:t>
      </w:r>
    </w:p>
    <w:p>
      <w:pPr>
        <w:spacing w:after="0" w:line="225" w:lineRule="exact"/>
        <w:rPr>
          <w:sz w:val="20"/>
          <w:szCs w:val="20"/>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225" w:lineRule="exact"/>
        <w:rPr>
          <w:rFonts w:ascii="Arial" w:cs="Arial" w:eastAsia="Arial" w:hAnsi="Arial"/>
          <w:sz w:val="18"/>
          <w:szCs w:val="18"/>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authorizing the payment of donations to religious, charitable, public or other bodies, clubs, funds or associations as deemed advisable;</w:t>
      </w:r>
    </w:p>
    <w:p>
      <w:pPr>
        <w:spacing w:after="0" w:line="225" w:lineRule="exact"/>
        <w:rPr>
          <w:rFonts w:ascii="Arial" w:cs="Arial" w:eastAsia="Arial" w:hAnsi="Arial"/>
          <w:sz w:val="18"/>
          <w:szCs w:val="18"/>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exercising the borrowing powers of the company and mortgaging the property of the company;</w:t>
      </w:r>
    </w:p>
    <w:p>
      <w:pPr>
        <w:spacing w:after="0" w:line="225" w:lineRule="exact"/>
        <w:rPr>
          <w:rFonts w:ascii="Arial" w:cs="Arial" w:eastAsia="Arial" w:hAnsi="Arial"/>
          <w:sz w:val="18"/>
          <w:szCs w:val="18"/>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executing checks, promissory notes and other negotiable instruments on behalf of the company; and</w:t>
      </w:r>
    </w:p>
    <w:p>
      <w:pPr>
        <w:spacing w:after="0" w:line="225" w:lineRule="exact"/>
        <w:rPr>
          <w:rFonts w:ascii="Arial" w:cs="Arial" w:eastAsia="Arial" w:hAnsi="Arial"/>
          <w:sz w:val="18"/>
          <w:szCs w:val="18"/>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maintaining or registering a register of mortgages, charges or other encumbrances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Interested Transactions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Remuneration and Borrowing</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2" w:name="page83"/>
    <w:bookmarkEnd w:id="8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annual compensation paid by us for the years ended June 30, 2017 and June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Name/principal position</w:t>
            </w:r>
          </w:p>
        </w:tc>
        <w:tc>
          <w:tcPr>
            <w:tcW w:w="120" w:type="dxa"/>
            <w:vAlign w:val="bottom"/>
          </w:tcPr>
          <w:p>
            <w:pPr>
              <w:spacing w:after="0"/>
              <w:rPr>
                <w:sz w:val="20"/>
                <w:szCs w:val="20"/>
                <w:color w:val="auto"/>
              </w:rPr>
            </w:pPr>
          </w:p>
        </w:tc>
        <w:tc>
          <w:tcPr>
            <w:tcW w:w="1380" w:type="dxa"/>
            <w:vAlign w:val="bottom"/>
            <w:gridSpan w:val="2"/>
          </w:tcPr>
          <w:p>
            <w:pPr>
              <w:ind w:left="46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Salary</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Compensation</w:t>
            </w:r>
          </w:p>
        </w:tc>
        <w:tc>
          <w:tcPr>
            <w:tcW w:w="10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Compensation</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Paid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 Chairman and President (1)</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585,402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47,396</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3,260,616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Raymond Ming Hui Lin, CEO and Director (2)</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37,379</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585,402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39,127</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3,260,617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3,299,744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Tian van Acken, CFO (3)</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8"/>
        <w:spacing w:after="0" w:line="258"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Appointed Chairman and President effective as of December 9, 2017. All other compensation amounts represent cash dividend payments in 2016 and 2017.</w:t>
      </w:r>
    </w:p>
    <w:p>
      <w:pPr>
        <w:spacing w:after="0" w:line="1" w:lineRule="exact"/>
        <w:rPr>
          <w:rFonts w:ascii="Arial" w:cs="Arial" w:eastAsia="Arial" w:hAnsi="Arial"/>
          <w:sz w:val="18"/>
          <w:szCs w:val="18"/>
          <w:color w:val="auto"/>
        </w:rPr>
      </w:pPr>
    </w:p>
    <w:p>
      <w:pPr>
        <w:ind w:right="380" w:firstLine="8"/>
        <w:spacing w:after="0" w:line="250"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Appointed Chief Executive Officer effective as of December 9, 2017. All other compensation amounts represent cash dividend payments in 2016 and 2017.</w:t>
      </w: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Appointed Chief Financial Officer effective as of December 9, 2017.</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Chinese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Xian Feng Yang Employment Agreement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Xian Feng Yang pursuant to which he agreed to serve as our President. The agreement provides for an annual base salary of RMB144,000 and HK$566,472 (a total of approximately USD$94,100) payable in accordance with the Company’s ordinary payroll practices.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Mr. Yang shall be entitled to receive severance payments equal to 9 months’ of his base salary and a pro rata portion of his target annual bonus for the year when termination occurs. Mr. Yang has agreed not to compete with us for 9 months after the termination of his employment; he also executed certain non-solicitation, confidentiality and other covenants customary for agreements of this nature.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Raymond Ming Hui Lin Employment Agreement</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3" w:name="page84"/>
    <w:bookmarkEnd w:id="8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Tian van Acken Employment Agreement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Tian van Acken pursuant to which she agreed to serve as our Chief Financial Officer. The agreement provides for an annual base salary of RMB144,000 and HK$558,000 (a total of approximately USD$93,010) payable in accordance with the Company’s ordinary payroll practices. Under the terms of the agreement, commencing with the year ended June 30, 2018, Ms. van Acken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his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Tian van Acken shall be entitled to receive severance payments equal to 9 months’ of her base salary and a pro rata portion of her target annual bonus for the year when termination occurs. Tian van Acken has agreed not to compete with us for 9 months after the termination of her employment; she also executed certain non-solicitation, confidentiality and other covenants customary for agreements of this 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Equity Incentive Plan</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have adopted a 2017 Equity Incentive Plan (the “Plan”). The Plan is a stock-based compensation plan that provides for discretionary grants of, among others, stock options, stock awards and stock unit awards to key employees and directors of the Company. The purpose of the Plan is to recognize contributions made to our company and its subsidiaries by such individuals and to provide them with additional incentive to achieve the objectives of our Company. No grants have been made under the plan as of the date hereof. The following is a summary of the Plan and is qualified by the full text of the Plan.</w:t>
      </w:r>
    </w:p>
    <w:p>
      <w:pPr>
        <w:spacing w:after="0" w:line="15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Plan will be administered by our board of directors, or, once constituted, the Compensation Committee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(we refer to body administering the Plan as the “Committee”).</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Number of Shares of Common Shares</w:t>
      </w:r>
      <w:r>
        <w:rPr>
          <w:rFonts w:ascii="Arial" w:cs="Arial" w:eastAsia="Arial" w:hAnsi="Arial"/>
          <w:sz w:val="17"/>
          <w:szCs w:val="17"/>
          <w:color w:val="auto"/>
        </w:rPr>
        <w:t>. The number of common shares that may be issued under the Plan is 2,210,000. Shares issuable under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may be authorized but unissued shares or treasury shares. If there is a lapse, forfeiture, expiration, termination or cancellation of any award made under the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Plan. The number of common shares issuable under the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Plan. No award granted under the Plan may be transferred, except by will, the laws of descent and distribution.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All key employees and directors of the Company are eligible to receive awards under the Plan.</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Awards to Participants</w:t>
      </w:r>
      <w:r>
        <w:rPr>
          <w:rFonts w:ascii="Arial" w:cs="Arial" w:eastAsia="Arial" w:hAnsi="Arial"/>
          <w:sz w:val="18"/>
          <w:szCs w:val="18"/>
          <w:color w:val="auto"/>
        </w:rPr>
        <w:t>. The Plan provides for discretionary awards of, among others, stock options, stock awards and stock unit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Each award made under the Plan will be evidenced by a written award agreement specifying the terms and conditions of the award as determined by the Committee in its sole discretion, consistent with the terms of the Plan.</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Committee has the discretion to grant non-qualified stock options or incentive stock options to participants and to set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9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The Committee has the discretion to grant stock awards to participants. Shares granted under the Plan will be effective and exercisable</w:t>
      </w:r>
      <w:r>
        <w:rPr>
          <w:rFonts w:ascii="Arial" w:cs="Arial" w:eastAsia="Arial" w:hAnsi="Arial"/>
          <w:sz w:val="16"/>
          <w:szCs w:val="16"/>
          <w:i w:val="1"/>
          <w:iCs w:val="1"/>
          <w:color w:val="auto"/>
        </w:rPr>
        <w:t xml:space="preserve"> </w:t>
      </w:r>
      <w:r>
        <w:rPr>
          <w:rFonts w:ascii="Arial" w:cs="Arial" w:eastAsia="Arial" w:hAnsi="Arial"/>
          <w:sz w:val="16"/>
          <w:szCs w:val="16"/>
          <w:color w:val="auto"/>
        </w:rPr>
        <w:t>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Key Employee in any calendar year is 250,000, or, in the event the award is settled in cash, an amount equal to the fair market value of such number of shares on the date on which the award is settled.</w:t>
      </w:r>
    </w:p>
    <w:p>
      <w:pPr>
        <w:sectPr>
          <w:pgSz w:w="11900" w:h="16838" w:orient="portrait"/>
          <w:cols w:equalWidth="0" w:num="1">
            <w:col w:w="11420"/>
          </w:cols>
          <w:pgMar w:left="240" w:top="226" w:right="239" w:bottom="1440" w:gutter="0" w:footer="0" w:header="0"/>
        </w:sect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4" w:name="page85"/>
    <w:bookmarkEnd w:id="8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Payment for Stock Options and Withholding Taxes</w:t>
      </w:r>
      <w:r>
        <w:rPr>
          <w:rFonts w:ascii="Arial" w:cs="Arial" w:eastAsia="Arial" w:hAnsi="Arial"/>
          <w:sz w:val="17"/>
          <w:szCs w:val="17"/>
          <w:color w:val="auto"/>
        </w:rPr>
        <w:t>. 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Amendment of Award Agreements; Amendment and Termination of the Plan; Term of the Plan</w:t>
      </w:r>
      <w:r>
        <w:rPr>
          <w:rFonts w:ascii="Arial" w:cs="Arial" w:eastAsia="Arial" w:hAnsi="Arial"/>
          <w:sz w:val="18"/>
          <w:szCs w:val="18"/>
          <w:color w:val="auto"/>
        </w:rPr>
        <w:t>. The Committee may amend any award agreement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(This prohibition on repricing without shareholder approval does not apply in case of an equitable adjustment to the awards to reflect changes in the capital structure of the company or similar events.)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awards may be granted under the Plan on or after the tenth anniversary of the effective date of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Transactions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w:t>
      </w:r>
    </w:p>
    <w:p>
      <w:pPr>
        <w:spacing w:after="0" w:line="18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and Borrowing</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directors may receive such remuneration as our board of directors may determine from time to time. For the services rendered by the independent director in any capacity the company will a cash fee in the amount of USD$1,500 per month.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Other Indemnification Matters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5" w:name="page86"/>
    <w:bookmarkEnd w:id="8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 Our directors received no compensation in 2017.</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following is a description of transactions since July 1, 2014, in which the amount involved in the transaction exceeded or will exceed the lesser of $120,000 or one percent of the average of our total assets as at the year-end for the last two completed fiscal years,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agreement with our shareholders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The considerations for these transfers are at a nominal amount.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Other related party transactions: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ind w:left="660"/>
              <w:spacing w:after="0"/>
              <w:rPr>
                <w:sz w:val="20"/>
                <w:szCs w:val="20"/>
                <w:color w:val="auto"/>
              </w:rPr>
            </w:pPr>
            <w:r>
              <w:rPr>
                <w:rFonts w:ascii="Arial" w:cs="Arial" w:eastAsia="Arial" w:hAnsi="Arial"/>
                <w:sz w:val="18"/>
                <w:szCs w:val="18"/>
                <w:color w:val="auto"/>
              </w:rPr>
              <w:t>The balances due to and due from related parties were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As of June 30,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shareholder of CLPS Beijing</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Affiliates of non-controlling interest shareholder of Judge China*</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Mr. Xiao Feng Yang, Chairman and President of the Company (ii)</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353,011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Mr. Raymond Ming Hui Lin, CEO of the Company (ii)</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1,094,367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1,447,378</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The amount was subsequently offset with the acquisition payable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Shanghai Qisheng Co., Ltd (“Qisheng”), controlled by the Chairman of the Company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7,742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7,222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Mr. Raymond Ming Hui Lin, CEO of the Company (i)</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1,140,975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7,742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1,148,197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1,729,791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Due to related parties mainly represents the unpaid dividends, wages and other benefit to the Company’s executives.</w:t>
      </w:r>
    </w:p>
    <w:p>
      <w:pPr>
        <w:spacing w:after="0" w:line="225" w:lineRule="exact"/>
        <w:rPr>
          <w:rFonts w:ascii="Arial" w:cs="Arial" w:eastAsia="Arial" w:hAnsi="Arial"/>
          <w:sz w:val="18"/>
          <w:szCs w:val="18"/>
          <w:color w:val="auto"/>
        </w:rPr>
      </w:pPr>
    </w:p>
    <w:p>
      <w:pPr>
        <w:ind w:left="340" w:right="30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due from Mr. Yang and Mr. Lin of $353,011 and $1,094,367 as of June 30, 2015, respectively, represented short term loans to them with annual interest of 6% and due on demand. These loans were fully repaid in August 2015. For the years ended June 30, 2016 and 2015, the interest income was $Nil and $ 107,662,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6" w:name="page87"/>
    <w:bookmarkEnd w:id="8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tables set forth certain information with respect to the beneficial ownership of our common shares and as adjusted to reflect the sale of the common shares offered by us in our initial public offering, for:</w:t>
      </w:r>
    </w:p>
    <w:p>
      <w:pPr>
        <w:spacing w:after="0" w:line="17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common shares;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[_], 2018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11,290,000 common shares outstanding as of [_], 2018. Unless otherwise indicated, the address of each beneficial owner listed in the table below is c/o CLPS Incorporation, c/o 2nd Floor, Building 18, Shanghai Pudong Software Park, 498 Guoshoujing Road, Pudong, Shanghai 201203. People’s Republic of China.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Beneficial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2"/>
              </w:rPr>
              <w:t>Ownership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Beneficial Ownership</w:t>
            </w:r>
          </w:p>
        </w:tc>
        <w:tc>
          <w:tcPr>
            <w:tcW w:w="12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9"/>
              </w:rPr>
              <w:t>After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Prior to Offering (1)</w:t>
            </w:r>
          </w:p>
        </w:tc>
        <w:tc>
          <w:tcPr>
            <w:tcW w:w="12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Offering (1)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gridSpan w:val="2"/>
          </w:tcPr>
          <w:p>
            <w:pPr>
              <w:ind w:left="160"/>
              <w:spacing w:after="0" w:line="198" w:lineRule="exact"/>
              <w:rPr>
                <w:sz w:val="20"/>
                <w:szCs w:val="20"/>
                <w:color w:val="auto"/>
              </w:rPr>
            </w:pPr>
            <w:r>
              <w:rPr>
                <w:rFonts w:ascii="Arial" w:cs="Arial" w:eastAsia="Arial" w:hAnsi="Arial"/>
                <w:sz w:val="18"/>
                <w:szCs w:val="18"/>
                <w:b w:val="1"/>
                <w:bCs w:val="1"/>
                <w:color w:val="auto"/>
              </w:rPr>
              <w:t>Common</w:t>
            </w:r>
          </w:p>
        </w:tc>
        <w:tc>
          <w:tcPr>
            <w:tcW w:w="10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112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Percentage</w:t>
            </w:r>
          </w:p>
        </w:tc>
        <w:tc>
          <w:tcPr>
            <w:tcW w:w="12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Xiao Feng Yang (2)</w:t>
            </w:r>
          </w:p>
        </w:tc>
        <w:tc>
          <w:tcPr>
            <w:tcW w:w="12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Raymond Ming Hui Lin (3)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44.29%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 van Acken</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[_]%</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Jin He Shao</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[_]%</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Kewei Huang</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[_]%</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Kathryn Amooi</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[_]%</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(6 persons)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[_]%</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Qinrui Ltd. (2)</w:t>
            </w:r>
          </w:p>
        </w:tc>
        <w:tc>
          <w:tcPr>
            <w:tcW w:w="1020" w:type="dxa"/>
            <w:vAlign w:val="bottom"/>
          </w:tcPr>
          <w:p>
            <w:pPr>
              <w:ind w:left="260"/>
              <w:spacing w:after="0"/>
              <w:rPr>
                <w:sz w:val="20"/>
                <w:szCs w:val="20"/>
                <w:color w:val="auto"/>
              </w:rPr>
            </w:pPr>
            <w:r>
              <w:rPr>
                <w:rFonts w:ascii="Arial" w:cs="Arial" w:eastAsia="Arial" w:hAnsi="Arial"/>
                <w:sz w:val="18"/>
                <w:szCs w:val="18"/>
                <w:color w:val="auto"/>
                <w:w w:val="92"/>
              </w:rPr>
              <w:t>5,000,000</w:t>
            </w: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44.29%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Qinhui Ltd. (3)</w:t>
            </w:r>
          </w:p>
        </w:tc>
        <w:tc>
          <w:tcPr>
            <w:tcW w:w="10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5,000,000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or greater beneficial owners as a group</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88.57%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490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4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right="100" w:hanging="332"/>
        <w:spacing w:after="0" w:line="250"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includes voting or investment power with respect to the common shares or the power to receive the economic benefit of the common shares. This calculation also assumes that the underwriters exercise their option to purchase additional shares in full for the purpose of covering over-allotments. See “Underwriting”.</w:t>
      </w:r>
    </w:p>
    <w:p>
      <w:pPr>
        <w:spacing w:after="0" w:line="1"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British Virgin Islands corporation with the mailing address of c/o Vistra Corporate Services Centre, WIskhams Cay II, Road Town, Tortola, VG 1110, British Virgin Islands, with Xian Feng Yang as its sole shareholder. As such, Mr. Yang is deemed to be the owner of all shares of the Company held by this entity.</w:t>
      </w:r>
    </w:p>
    <w:p>
      <w:pPr>
        <w:spacing w:after="0" w:line="1" w:lineRule="exact"/>
        <w:rPr>
          <w:rFonts w:ascii="Arial" w:cs="Arial" w:eastAsia="Arial" w:hAnsi="Arial"/>
          <w:sz w:val="18"/>
          <w:szCs w:val="18"/>
          <w:color w:val="auto"/>
        </w:rPr>
      </w:pPr>
    </w:p>
    <w:p>
      <w:pPr>
        <w:ind w:left="340" w:right="20" w:hanging="332"/>
        <w:spacing w:after="0" w:line="255"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British Virgin Islands corporation with the mailing address of c/o Vistra Corporate Services Centre, WIskhams Cay II, Road Town, Tortola, VG 1110, British Virgin Islands, with Raymond Ming Hui Lin as its sole shareholder. As such, Mr. Lin is deemed to be the owner of all shares of the Company held by this entity.</w:t>
      </w:r>
    </w:p>
    <w:p>
      <w:pPr>
        <w:spacing w:after="0" w:line="190"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As of December 7, 2017, there were 5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sectPr>
          <w:pgSz w:w="11900" w:h="16838" w:orient="portrait"/>
          <w:cols w:equalWidth="0" w:num="1">
            <w:col w:w="11420"/>
          </w:cols>
          <w:pgMar w:left="240" w:top="226" w:right="23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7" w:name="page88"/>
    <w:bookmarkEnd w:id="8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a Cayman Islands company and our affairs are governed by our Memorandum and Articles of Association and Companies Law of the Cayman Islands, which we refer to as the Companies Law below. As of the date hereof, our authorized share capital consists of 100,000,000 common shares with a par value of US$0.0001 per share. As of February 20, 2018, there are 11,290,000 common shares issued and outstanding. The following are summaries of material provisions of our memorandum and articles of association and the Companies Law insofar as they relate to the material terms of our common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Upon the completion of this offering, our authorized share capital will be US$[_] divided into [_] common shares of par value US$[_]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[_] shares of a par value of US$[_] each of such class (however designated) as the board of directors may determine in accordance with the Articles. All of our outstanding common shares are fully paid and non-assessable. Certificates representing the common shares are issued in registered form. Our shareholders, whether or not they are non-residents of the Cayman Islands, may freely hold and transfer their common shares in accordance with the Memorandum and Articles of Association.</w:t>
      </w:r>
    </w:p>
    <w:p>
      <w:pPr>
        <w:spacing w:after="0" w:line="188"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holders of our common shares are entitled to such dividends as may be declared by our board of directors. Our articles of association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our board of directors may declare and pay dividends if justified by our financial position and permitted by law.</w:t>
      </w:r>
    </w:p>
    <w:p>
      <w:pPr>
        <w:spacing w:after="0" w:line="147" w:lineRule="exact"/>
        <w:rPr>
          <w:sz w:val="20"/>
          <w:szCs w:val="20"/>
          <w:color w:val="auto"/>
        </w:rPr>
      </w:pPr>
    </w:p>
    <w:p>
      <w:pPr>
        <w:jc w:val="center"/>
        <w:ind w:right="60"/>
        <w:spacing w:after="0" w:line="285"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In respect of all matters subject to a shareholders’ vote, each common share is entitled to one vote. Voting at any meeting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b w:val="1"/>
          <w:bCs w:val="1"/>
          <w:i w:val="1"/>
          <w:iCs w:val="1"/>
          <w:color w:val="auto"/>
        </w:rPr>
        <w:t xml:space="preserve">Transfer of Common Shares. </w:t>
      </w:r>
      <w:r>
        <w:rPr>
          <w:rFonts w:ascii="Arial" w:cs="Arial" w:eastAsia="Arial" w:hAnsi="Arial"/>
          <w:sz w:val="17"/>
          <w:szCs w:val="17"/>
          <w:color w:val="auto"/>
        </w:rPr>
        <w:t>Subject to the restrictions set out below, any of our shareholders may transfer all or any of his or her common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1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Calls on Common Shares and Forfeiture of Common Shares. </w:t>
      </w:r>
      <w:r>
        <w:rPr>
          <w:rFonts w:ascii="Arial" w:cs="Arial" w:eastAsia="Arial" w:hAnsi="Arial"/>
          <w:sz w:val="18"/>
          <w:szCs w:val="18"/>
          <w:color w:val="auto"/>
        </w:rPr>
        <w:t>Our board of directors may from time to time make calls upon shareholders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unpaid on their common shares in a notice served to such shareholders at least 14 clear days prior to the specified time of payment. The common shares that have been called upon and remain unpaid are subject to forfeiture.</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b w:val="1"/>
          <w:bCs w:val="1"/>
          <w:i w:val="1"/>
          <w:iCs w:val="1"/>
          <w:color w:val="auto"/>
        </w:rPr>
        <w:t xml:space="preserve">Redemption of Common Shares. </w:t>
      </w:r>
      <w:r>
        <w:rPr>
          <w:rFonts w:ascii="Arial" w:cs="Arial" w:eastAsia="Arial" w:hAnsi="Arial"/>
          <w:sz w:val="17"/>
          <w:szCs w:val="17"/>
          <w:color w:val="auto"/>
        </w:rPr>
        <w:t>The Companies Law and our memorandum of association permit us to purchase our own shares.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Law have been satisfied, including out of capital, as may be determined by our board of directors.</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common shares have no general right under our articles of association to inspect or obtain copies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memorandum of association authorizes our board of directors to issue additional common shares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as our board of directors shall determine, to the extent of available authorized but unissued shares. Our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8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designation of the series to be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8" w:name="page89"/>
    <w:bookmarkEnd w:id="8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common shares.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memorandum and articles of association may discourage, delay or prevent a change of control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 – Exclusive Forum Provision</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Law,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Companies Law is modeled after that of English law but does not follow many recent English law statutory enactments. In addition, the Companies Law differs from laws applicable to United States corporations and their shareholders. Set forth below is a summary of some of the significant differences between the provisions of the Companies Law applicable to us and the laws applicable to companies incorporated in the State of Delaware.</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Mergers and Similar Arrangements. </w:t>
      </w:r>
      <w:r>
        <w:rPr>
          <w:rFonts w:ascii="Arial" w:cs="Arial" w:eastAsia="Arial" w:hAnsi="Arial"/>
          <w:sz w:val="18"/>
          <w:szCs w:val="18"/>
          <w:color w:val="auto"/>
        </w:rPr>
        <w:t>The Companies Law permits mergers and consolidations between Cayman Islands companies and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consolidated company and the vesting of the undertaking, property and liabilities of such companies to the consolidated company.</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w:t>
      </w:r>
    </w:p>
    <w:p>
      <w:pPr>
        <w:spacing w:after="0" w:line="18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under the Companies Law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9" w:name="page90"/>
    <w:bookmarkEnd w:id="8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170"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arrangement is such that an intelligent and honest man of that class acting in respect of his interest would reasonably approve;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When a take-over offer is made and accepted by holders of not less than 90% of the shares within four months, the offer, or may, within a two-month period conversing on the expiration of such four months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1"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 as a company and as a general rule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8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 and is therefore incapable of ratification by the shareholders;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duly effected if authorized by more than a simple majority vote that has not been obtained;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i w:val="1"/>
          <w:iCs w:val="1"/>
          <w:color w:val="auto"/>
        </w:rPr>
        <w:t xml:space="preserve">Indemnification of Directors and Executive Officers and Limitation of Liability. </w:t>
      </w:r>
      <w:r>
        <w:rPr>
          <w:rFonts w:ascii="Arial" w:cs="Arial" w:eastAsia="Arial" w:hAnsi="Arial"/>
          <w:sz w:val="16"/>
          <w:szCs w:val="16"/>
          <w:color w:val="auto"/>
        </w:rPr>
        <w:t>The Companies Law does not limit the extent to which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90" w:name="page91"/>
    <w:bookmarkEnd w:id="9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courts are moving towards an objective standard with regard to the required skill and care and these authorities are likely to be followed in the Cayman Islands.</w:t>
      </w:r>
    </w:p>
    <w:p>
      <w:pPr>
        <w:spacing w:after="0" w:line="39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Shareholder Action by Written Consent. </w:t>
      </w:r>
      <w:r>
        <w:rPr>
          <w:rFonts w:ascii="Arial" w:cs="Arial" w:eastAsia="Arial" w:hAnsi="Arial"/>
          <w:sz w:val="18"/>
          <w:szCs w:val="18"/>
          <w:color w:val="auto"/>
        </w:rPr>
        <w:t>Under the Delaware General Corporation Law, a corporation may eliminate the right of shareholders to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Law provides shareholders with only limited rights to requisition a general meeting and does not provide shareholders with any right to put any proposal before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Cumulative Voting. </w:t>
      </w:r>
      <w:r>
        <w:rPr>
          <w:rFonts w:ascii="Arial" w:cs="Arial" w:eastAsia="Arial" w:hAnsi="Arial"/>
          <w:sz w:val="18"/>
          <w:szCs w:val="18"/>
          <w:color w:val="auto"/>
        </w:rPr>
        <w:t>Under the Delaware General Corporation Law, cumulative voting for elections of directors is not permitted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Law but our articles of association do not provide for cumulative voting.</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Removal of Directors. </w:t>
      </w:r>
      <w:r>
        <w:rPr>
          <w:rFonts w:ascii="Arial" w:cs="Arial" w:eastAsia="Arial" w:hAnsi="Arial"/>
          <w:sz w:val="18"/>
          <w:szCs w:val="18"/>
          <w:color w:val="auto"/>
        </w:rPr>
        <w:t>Under the Delaware General Corporation Law, a director of a corporation with a may be removed with the approval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outstanding shares entitled to vote, unless the certificate of incorporation provides otherwise. Under our articles of association, directors may be removed with or without cause, by an ordinary resolution of our shareholders.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1" w:name="page92"/>
    <w:bookmarkEnd w:id="9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 Delaware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8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 dissolution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articles of association, our company may be dissolved, liquidated or wound up by a special resolution of our shareholders.</w:t>
      </w:r>
    </w:p>
    <w:p>
      <w:pPr>
        <w:spacing w:after="0" w:line="1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b w:val="1"/>
          <w:bCs w:val="1"/>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the Companies Law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Amendment of Governing Documents. </w:t>
      </w:r>
      <w:r>
        <w:rPr>
          <w:rFonts w:ascii="Arial" w:cs="Arial" w:eastAsia="Arial" w:hAnsi="Arial"/>
          <w:sz w:val="17"/>
          <w:szCs w:val="17"/>
          <w:color w:val="auto"/>
        </w:rPr>
        <w:t>Under the Delaware General Corporation Law, a corporation’s governing documents may be amended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approval of a majority of the outstanding shares entitled to vote, unless the certificate of incorporation provides otherwise. As permitted by the Companies Law, our memorandum and articles of association may only be amended with a special resolution of our shareholders.</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Rights of Non-resident or Foreign Shareholders. </w:t>
      </w:r>
      <w:r>
        <w:rPr>
          <w:rFonts w:ascii="Arial" w:cs="Arial" w:eastAsia="Arial" w:hAnsi="Arial"/>
          <w:sz w:val="18"/>
          <w:szCs w:val="18"/>
          <w:color w:val="auto"/>
        </w:rPr>
        <w:t>There are no limitations imposed by our memorandum and articles of association on the rights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Future sales of substantial amounts of common shares in the public market after this offering could adversely affect market prices prevailing from time to time and could impair our ability to raise capital through the sale of our equity securities. We are unable to estimate the number of shares that may be sold in the future.</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Upon the completion of this offering, we will have outstanding [_] common shares. The amount of shares outstanding upon completion of this offering assumes no exercise of the underwriters’ option to purchase additional shares. All of the shares sold in this offering will be freely tradable without restriction under the Securities Act unless purchased by one of our affiliates as that term is defined in Rule 144 under the Securities Act, which generally includes directors, officers or 10% stockholders.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2" w:name="page93"/>
    <w:bookmarkEnd w:id="9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and our executive officers and directors have agreed with the underwriters not to offer, sell, dispose of or hedge any shares of our common shares, subject to specified limited exceptions and extensions described elsewhere in this prospectus, during the period continuing through the date that is [_] months (subject to extension) after the date of this prospectus, except with the prior written consent of [_] on behalf of the underwriters. [_] in its sole discretion on behalf of the underwriters, may release any of the securities subject to these lock-up agreements at any time without notice. The lock-up period may be extended in the circumstances described under “Underwriting.”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Common shares held by any of our affiliates, as that term is defined in Rule 144 of the Securities Act, as well as shares held by our current stockholders, may be resold only pursuant to further registration under the Securities Act or in transactions that are exempt from registration under the Securities Act. In general, under Rule 144 as currently in effect, beginning 90 days after our Form F-1 Registration Statement becomes effective, any of our affiliates would be entitled to sell, without further registration, within any three-month period a number of shares that does not exceed the greater of:</w:t>
      </w:r>
    </w:p>
    <w:p>
      <w:pPr>
        <w:spacing w:after="0" w:line="154"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 of the number of common shares then outstanding, which will equal approximately shares immediately after this offering;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average weekly trading volume of the common shares during the four calendar weeks preceding the filing of a Form 144 with respect to the sale.</w:t>
      </w:r>
    </w:p>
    <w:p>
      <w:pPr>
        <w:spacing w:after="0" w:line="24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Sales under Rule 144 by our affiliates will also be subject to manner of sale provisions and notice requirements and to the availability of current public information about us.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The following summary of the material Cayman Islands, PRC and U.S. federal income tax consequences of an investment in our common shares is based upon laws and relevant interpretations thereof in effect as of the date of this prospectus, all of which are subject to change. This summary does not deal with all possible tax consequences relating to an investment in our common shares, such as the tax consequences under state, local and other tax 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93" w:name="page94"/>
    <w:bookmarkEnd w:id="9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PRC Income Tax Considerations</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spacing w:after="0" w:line="17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spacing w:after="0" w:line="16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 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following is a summary of the material U.S. federal income tax consequences of owning and disposing of our ordinary shares. The discussion below of the U.S. federal income tax consequences to “U.S. Holders” will apply to a beneficial owner of our shares that is for U.S. federal income tax purposes:</w:t>
      </w:r>
    </w:p>
    <w:p>
      <w:pPr>
        <w:spacing w:after="0" w:line="18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that is created or organized (or treated as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4" w:name="page95"/>
    <w:bookmarkEnd w:id="9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If a beneficial owner of our shares is not described as a U.S. Holder in one of the four bullet points below and is not an entity treated as a partnership or other pass-through entity for U.S. federal income tax purposes, such owner will be considered a “Non-U.S. Holder.” The U.S. federal income tax consequences applicable to Non-U.S. Holders is described below under the heading “Tax Consequences to Non-U.S. Holders of Common Shares.”</w:t>
      </w:r>
    </w:p>
    <w:p>
      <w:pPr>
        <w:spacing w:after="0" w:line="14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spacing w:after="0" w:line="18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persons that actually or constructively own 5% or more of our voting shares;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persons that acquired our shares pursuant to the exercise of employee stock options, in connection with employee stock incentive plans or otherwise as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persons that hold our shares as part of a straddle, constructive sale, hedging, conversion or other integrated transaction;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95" w:name="page96"/>
    <w:bookmarkEnd w:id="9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8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 of Common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Taxation of Distributions Paid on Common Shares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spacing w:after="0" w:line="15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(see “— Taxation on the Disposition of Common Shares” below)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spacing w:after="0" w:line="16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Taxation on the Disposition of Common Shares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96" w:name="page97"/>
    <w:bookmarkEnd w:id="9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spacing w:after="0" w:line="18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gain recognized by the U.S. Holder on the sale or other disposition of its common shares; and</w:t>
      </w:r>
    </w:p>
    <w:p>
      <w:pPr>
        <w:spacing w:after="0" w:line="225"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Under these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common shares;</w:t>
      </w:r>
    </w:p>
    <w:p>
      <w:pPr>
        <w:spacing w:after="0" w:line="225" w:lineRule="exact"/>
        <w:rPr>
          <w:rFonts w:ascii="Arial" w:cs="Arial" w:eastAsia="Arial" w:hAnsi="Arial"/>
          <w:sz w:val="18"/>
          <w:szCs w:val="18"/>
          <w:color w:val="auto"/>
        </w:rPr>
      </w:pPr>
    </w:p>
    <w:p>
      <w:pPr>
        <w:jc w:val="both"/>
        <w:ind w:left="660" w:right="320" w:hanging="328"/>
        <w:spacing w:after="0" w:line="342"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2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interest charge generally applicable to underpayments of tax will be imposed in respect of the tax attributable to each such year of the U.S. Holder.</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97" w:name="page98"/>
    <w:bookmarkEnd w:id="9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spacing w:after="0" w:line="179"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16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 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spacing w:after="0" w:line="18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98" w:name="page99"/>
    <w:bookmarkEnd w:id="9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 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 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 of Common Shares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 (c) 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spacing w:after="0" w:line="18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9" w:name="page100"/>
    <w:bookmarkEnd w:id="9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Individual U.S. Holders may be required to report ownership of our common shares and certain related information on their individual federal income tax returns in certain circumstances. Generally, this reporting requirement will apply if (1) the common shares are held in an account of the individual U.S. Holder maintained with a “foreign financial institution” or (2) the common shares are not held in an account maintained with a “financial institution,” as such terms are defined in the Code. The reporting obligation will not apply to an individual, however, unless the total aggregate value of the individual’s foreign financial assets exceeds US$50,000 during a taxable year. For avoidance of doubt, this reporting requirement should not apply to common shares held in an account with a U.S. brokerage firm. Failure to comply with this reporting requirement, if it applies, will result in substantial penalties. In certain circumstances, additional tax and other reporting requirements may apply, and U.S. Holders of our common shares are advised to consult with their own tax advisors concerning all such reporting requirements.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incorporated in the Cayman Islands in order to enjoy the following benefits: (1) political and economic stability; (2) an effective judicial system; (3) a favorable tax system; (4) the absence of exchange control or currency restrictions; and (5) the availability of professional and support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w:t>
      </w:r>
    </w:p>
    <w:p>
      <w:pPr>
        <w:spacing w:after="0" w:line="46" w:lineRule="exact"/>
        <w:rPr>
          <w:sz w:val="20"/>
          <w:szCs w:val="20"/>
          <w:color w:val="auto"/>
        </w:rPr>
      </w:pPr>
    </w:p>
    <w:p>
      <w:pPr>
        <w:ind w:right="440" w:firstLine="8"/>
        <w:spacing w:after="0" w:line="323" w:lineRule="auto"/>
        <w:tabs>
          <w:tab w:leader="none" w:pos="2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Cayman Islands has a less developed body of securities laws as compared to the United States and these securities laws provide significantly less protection to investors; and (2) Cayman Islands companies may not have standing to sue before the federal courts of the United States.</w:t>
      </w:r>
    </w:p>
    <w:p>
      <w:pPr>
        <w:spacing w:after="0" w:line="13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All of our operations are conducted outside the United States, and all of our assets are located outside the United States. All of our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appointed [Vcorp Services, LLC, located at 25 Robert Pitt Drive, Suite 204, Monsey, NY 10952,] as our agent upon whom process may be served in any action brought against us under the securities laws of the United States.</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Ogier, our counsel as to Cayman Islands law, and Hansen &amp; Partners, our counsel as to PRC law, have advised us, respectively, that there is uncertainty as to whether the courts of the Cayman Islands and China, respectively, would:</w:t>
      </w:r>
    </w:p>
    <w:p>
      <w:pPr>
        <w:spacing w:after="0" w:line="170" w:lineRule="exact"/>
        <w:rPr>
          <w:sz w:val="20"/>
          <w:szCs w:val="20"/>
          <w:color w:val="auto"/>
        </w:rPr>
      </w:pPr>
    </w:p>
    <w:p>
      <w:pPr>
        <w:ind w:left="660" w:right="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0" w:name="page101"/>
    <w:bookmarkEnd w:id="10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Hansen &amp; Partners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connection with this offering, we will enter into an underwriting agreement with The Benchmark Company, LLC and Cuttone &amp; Co., LLC as representatives for the underwriters in this offering. Each underwriter named below has severally agreed to purchase from us, on a firm commitment basis, the number of shares of common shares set forth opposite its name below, at the public offering price, less the underwriting discount set forth on the cover page of this prospectus.</w:t>
      </w:r>
    </w:p>
    <w:p>
      <w:pPr>
        <w:sectPr>
          <w:pgSz w:w="11900" w:h="16838" w:orient="portrait"/>
          <w:cols w:equalWidth="0" w:num="1">
            <w:col w:w="11420"/>
          </w:cols>
          <w:pgMar w:left="240" w:top="226" w:right="23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27940</wp:posOffset>
            </wp:positionV>
            <wp:extent cx="72466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9480" w:space="720"/>
            <w:col w:w="1220"/>
          </w:cols>
          <w:pgMar w:left="240" w:top="226"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Benchmark Company,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Cuttone &amp; Co.,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underwriting agreement will provide that the underwriters are obligated to purchase all of the common shares offered by this prospectus, other than those covered by the over-allotment option, if any common shares are purchased. The underwriters are offering the common shares when, as and if issued to and accepted by them, subject to a number of conditions. These conditions include, among other things, the requirements that no stop order suspending the effectiveness of the registration statement be in effect and that no proceedings for this purpose have been initiated or threatened by the SEC.</w:t>
      </w:r>
    </w:p>
    <w:p>
      <w:pPr>
        <w:spacing w:after="0" w:line="15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representatives of the underwriters have advised us that the underwriters propose to offer our common shares to the public at the offering price set forth on the cover page of this prospectus and to selected dealers at that price less a concession of not more than $[●] per share. The underwriters and selected dealers may re-allow a concession to other dealers, including the underwriters, of not more than $[●] per share. After completion of the public offering of the common shares, the offering price, the concessions to selected dealers and the reallowance to their dealers may be changed by the underwriters.</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been advised by the representatives of the underwriters that the underwriters intend to make a market in our securities but that they are not obligated to do so and may discontinue making a market at any time without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offering, the underwriters or certain of the securities dealers may distribute prospectuses electronically.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have granted a 45-day option to the underwriters, exercisable one or more times in whole or in part, to purchase up to an additional [ ] common shares on the same terms as the other shares being purchased by the underwriters from us, underwriting discounts and commissions to cover over-allotments, if any. The underwriters may exercise this option only to cover over-allotments made in connection with this offering. If the underwriters exercise this option in whole or in part, then the underwriters will be committed, subject to the conditions described in the underwriting agreement, to purchase the additional offered securities in proportion to each of their commitments set forth in the prior table.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Underwriters’ Compensation</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Except as disclosed in this prospectus, the underwriters have not received and will not receive from us any other item of compensation or expense in connection with this offering considered by the Financial Industry Regulatory Authority, Inc. (“FINRA”), to be underwriting compensation under its rule of fair price.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01" w:name="page102"/>
    <w:bookmarkEnd w:id="10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Discount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underwriting discount is equal to the public offering price per share, less the amount paid by the underwriters to us per share. The underwriting discount was determined through an arms’ length negotiation between us and the underwriters.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agreed to sell the common shares to the underwriters, (i) with respect to sales of common shares to investors introduced by the underwriters in this offering, at the initial offering price of $[●] per share, which represents the initial public offering price of the common shares of common stock set forth on the cover page of this prospectus less a 6.5% underwriting discount; and (ii) with respect to sales of common shares to investors introduced by Company in this offering, at the initial offering price of $[●] per share, which represents the initial public offering price of the common shares of common stock set forth on the cover page of this prospectus less a 4% underwriting discount.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per share price and total underwriting discounts and commissions to be paid to the underwriters. Such amounts 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w w:val="91"/>
              </w:rPr>
              <w:t>shown assuming both no exercise and full exercise of the underwriters’ option to purchase [  ] additional common shares.</w:t>
            </w: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0"/>
        </w:trPr>
        <w:tc>
          <w:tcPr>
            <w:tcW w:w="7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Total Without</w:t>
            </w:r>
          </w:p>
        </w:tc>
        <w:tc>
          <w:tcPr>
            <w:tcW w:w="10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Total With</w:t>
            </w:r>
          </w:p>
        </w:tc>
      </w:tr>
      <w:tr>
        <w:trPr>
          <w:trHeight w:val="216"/>
        </w:trPr>
        <w:tc>
          <w:tcPr>
            <w:tcW w:w="7480" w:type="dxa"/>
            <w:vAlign w:val="bottom"/>
          </w:tcPr>
          <w:p>
            <w:pPr>
              <w:jc w:val="center"/>
              <w:ind w:left="5770"/>
              <w:spacing w:after="0"/>
              <w:rPr>
                <w:sz w:val="20"/>
                <w:szCs w:val="20"/>
                <w:color w:val="auto"/>
              </w:rPr>
            </w:pPr>
            <w:r>
              <w:rPr>
                <w:rFonts w:ascii="Arial" w:cs="Arial" w:eastAsia="Arial" w:hAnsi="Arial"/>
                <w:sz w:val="18"/>
                <w:szCs w:val="18"/>
                <w:b w:val="1"/>
                <w:bCs w:val="1"/>
                <w:color w:val="auto"/>
                <w:w w:val="89"/>
              </w:rPr>
              <w:t>Per</w:t>
            </w:r>
          </w:p>
        </w:tc>
        <w:tc>
          <w:tcPr>
            <w:tcW w:w="13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Exercise of</w:t>
            </w:r>
          </w:p>
        </w:tc>
        <w:tc>
          <w:tcPr>
            <w:tcW w:w="104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Exercise of</w:t>
            </w:r>
          </w:p>
        </w:tc>
      </w:tr>
      <w:tr>
        <w:trPr>
          <w:trHeight w:val="216"/>
        </w:trPr>
        <w:tc>
          <w:tcPr>
            <w:tcW w:w="7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Over-</w:t>
            </w:r>
          </w:p>
        </w:tc>
        <w:tc>
          <w:tcPr>
            <w:tcW w:w="104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Over-</w:t>
            </w:r>
          </w:p>
        </w:tc>
      </w:tr>
      <w:tr>
        <w:trPr>
          <w:trHeight w:val="216"/>
        </w:trPr>
        <w:tc>
          <w:tcPr>
            <w:tcW w:w="748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Per</w:t>
            </w: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allotment</w:t>
            </w:r>
          </w:p>
        </w:tc>
        <w:tc>
          <w:tcPr>
            <w:tcW w:w="10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allotment</w:t>
            </w:r>
          </w:p>
        </w:tc>
      </w:tr>
      <w:tr>
        <w:trPr>
          <w:trHeight w:val="234"/>
        </w:trPr>
        <w:tc>
          <w:tcPr>
            <w:tcW w:w="7480" w:type="dxa"/>
            <w:vAlign w:val="bottom"/>
          </w:tcPr>
          <w:p>
            <w:pPr>
              <w:jc w:val="center"/>
              <w:ind w:left="5770"/>
              <w:spacing w:after="0"/>
              <w:rPr>
                <w:sz w:val="20"/>
                <w:szCs w:val="20"/>
                <w:color w:val="auto"/>
              </w:rPr>
            </w:pPr>
            <w:r>
              <w:rPr>
                <w:rFonts w:ascii="Arial" w:cs="Arial" w:eastAsia="Arial" w:hAnsi="Arial"/>
                <w:sz w:val="18"/>
                <w:szCs w:val="18"/>
                <w:b w:val="1"/>
                <w:bCs w:val="1"/>
                <w:u w:val="single" w:color="auto"/>
                <w:color w:val="auto"/>
                <w:w w:val="90"/>
              </w:rPr>
              <w:t>Common share</w:t>
            </w: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Warrant</w:t>
            </w: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option</w:t>
            </w:r>
          </w:p>
        </w:tc>
        <w:tc>
          <w:tcPr>
            <w:tcW w:w="104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option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Discounts &amp; commissions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Non-accountable expense allowance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proceeds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Reimbursement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have agreed to pay a non-accountable expense allowance to the underwriters equal to 0.5% of the gross proceeds received in this offering. In addition to the 0.5% non-accountable expense allowance, we have also agreed to pay or reimburse the underwriters for certain of the underwriters’ out-of-pocket expenses relating to the offering, including all reasonable fees and expenses of the underwriters’ outside legal counsel, which shall not exceed $75,000 ($10,000 of which was already paid). All fees already paid shall be reimbursable to us to the extent not actually incurred. Furthermore, pursuant to the underwriting agreement, the underwriters’ obligations are subject to customary conditions, representations and warranties contained in the underwriting agreement, such as receipt by the underwriters of officers’ certificates and legal opinions.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 [  ].</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the closing of this offering, we have agreed to sell to the underwriters a warrant to purchase: (i) up to 5% of the number of common shares sold to investors introduced by the underwriters in this offering; and (ii) up to 3% of the number of common shares issued to investors identified by us in this offering. The warrant will be exercisable at a per share and warrant exercise price equal to 120% of the public offering price per common share and warrant sold pursuant to this offering, subject to standard anti-dilution adjustments for share splits and similar transactions. The warrant will be exercisable at any time, and from time to time, in whole or in part, during the period from the effective date of the offering, which period shall not extend further than five years from the effective date of the offering in compliance with FINRA Rule 5110(f)(2)(G)(i). The warrant is also exercisable on a cashless basis. The warrants have been deemed compensation by FINRA and are therefore subject to a 180-day lock-up pursuant to FINRA Rule 5110(g)(1). Except as permitted by Rule 5110(g)(1), the underwriters (or permitted assignees under the Rule) will not sell, transfer, assign, pledge, or hypothecate the warrants or the securities underlying the warrants, nor will any, of them engage in any hedging, short sale, derivative, put, or call transaction that would result in the effective economic disposition of the option or the underlying securities for a period of 180 days from the date of effectiveness of the registration statement of which this prospectus forms a part or the commencement of sales under this prospectus. Although the warrants and the underlying common shares have been registered in the registration statement of which this prospectus forms a part, we have also agreed on only one occasion to register all of such underlying common shares at such time as we become eligible to file a resale registration statement on Form F-3. These registration rights apply to all of the securities directly and indirectly issuable upon exercise of the warrants, and shall expire on the fifth anniversary of the effective date of the registration statement of which this prospectus forms a part. We will bear all fees and expenses attendant to registering the securities issuable on exercise of the warrants, other than underwriting commissions incurred and payable by the holders.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[______], we placed an escrow fund in the amount of USD $200,000 in an escrow account to be released to the underwriters in the connection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 the payments of our indemnification pursuant to the underwriting agreement. The escrow account will remain in place for a period of 18 months.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2" w:name="page103"/>
    <w:bookmarkEnd w:id="10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have agreed with the underwriters that we will not, without the prior consent The Benchmark Company, LLC, and Cuttone &amp; Co., LLC, as representatives of the underwriters, directly or indirectly sell, offer, contract or grant any option to sell, pledge, transfer, or otherwise dispose of or enter into any transaction which may result in the disposition of any common shares or securities convertible into, exchangeable or exercisable for any common shares (excluding the exercise of certain warrants and or options currently outstanding and exercisable) for a period of six months after the date of this prospectus.</w:t>
      </w:r>
    </w:p>
    <w:p>
      <w:pPr>
        <w:spacing w:after="0" w:line="15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addition, each of our executive officers and directors and holders of all of our common shares and warrants outstanding prior to the effective date of this offering, holding an aggregate of [ ] common shares, have agreed with the underwriters not to directly or indirectly sell, offer, contract or grant any option to sell, pledge, transfer (excluding intra-family transfers, transfers to a trust for estate planning purposes or to beneficiaries of officers, directors and shareholders upon their death), or otherwise dispose of or enter into any transaction which may result in the disposition of any common shares or securities convertible into, exchangeable or exercisable for any common shares, without the prior written consent of The Benchmark Company, LLC, and Cuttone &amp; Co,, LLC, as representatives of the underwriters, for a period of six months after the date of this prospectus.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Stabilization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connection with this offering, the underwriters may engage in transactions that stabilize, maintain or otherwise affect the price of our common shares. Specifically, the underwriters may over-allot in connection with this offering by selling more common shares than they are obligated to purchase under the underwriting agreement, creating a short position in our common shares. The short position may be either a covered short position or a naked short position. In a covered short position, the number of shares common of stock over-allotted by the underwriters is not greater than the number of common shares that they may purchase in the over-allotment option. In a naked short position, the number of shares of common shares involved is greater than the number of common shares in the over-allotment option. To close out a short position or to stabilize the price per share of our common shares the underwriters may bid for, and purchase, common shares in the open market. The underwriters may also elect to reduce any short position by exercising all or part of the over-allotment option. In determining the source of common shares to close out the short position, the underwriters will consider, among other things, the price of common share available for purchase in the open market as compared to the price at which it may purchase common shares through the over-allotment option. If the underwriters sell more than could be covered by the over-allotment option, a naked short position, the position can only be closed out by buying common shares in the open market. A naked short position is more likely to be created if the underwriters are concerned that there could be downward pressure on the price of the common shares in the open market after pricing that could adversely affect investors who purchase in the offering.</w:t>
      </w:r>
    </w:p>
    <w:p>
      <w:pPr>
        <w:spacing w:after="0" w:line="16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common shares sold by or for the account of such underwriter in stabilizing or short covering transactions.</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Finally, the underwriters may bid for, and purchase, common shares in market making transactions, including “passive” market making transactions as described below.</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foregoing transactions may stabilize or maintain the market price of our common shares at a price that is higher than the price that might otherwise exist in the absence of these activities. The underwriters are not required to engage in these activities, and may discontinue any of these activities at any time without notice. These transactions may be effected on the Nasdaq Capital Market or otherwise.</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connection with this offering, the underwriters and selling group members, if any, or their affiliates may engage in passive market making transactions in common shares on the Nasdaq Capital Market immediately prior to the commencement of sales in this offering, in accordance with Rule 103 of Regulation M under the Exchange Act of 1934. Rule 103 generally provides that:</w:t>
      </w:r>
    </w:p>
    <w:p>
      <w:pPr>
        <w:spacing w:after="0" w:line="181" w:lineRule="exact"/>
        <w:rPr>
          <w:sz w:val="20"/>
          <w:szCs w:val="20"/>
          <w:color w:val="auto"/>
        </w:rPr>
      </w:pPr>
    </w:p>
    <w:p>
      <w:pPr>
        <w:ind w:left="660" w:right="260" w:hanging="328"/>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passive market maker may not effect transactions or display bids for our common share and or warrants in excess of the highest independent bid price by persons who are not passive market makers; net purchases by a passive market maker on each day are generally limited to 30% of the passive market maker’s average daily trading volume in our common share during a specified two-month prior period or 200 shares, whichever is greater, and must be discontinued when that limit is reached;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passive market making bids must be identified as such.</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Passive market making may stabilize or maintain the market price of our common shares at a level above that which might otherwise prevail and, if commenced, may be discontinued at any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common shares offered.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3" w:name="page104"/>
    <w:bookmarkEnd w:id="10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Participation in Future Offerings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Until twelve months from the closing of the offering, the underwriters shall have a right of first refusal to act on our behalf as lead or managing underwriters or exclusive financial advisors for any offering of securities, merger, acquisition or similar transaction.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Prior to this offering, there has not been a public market for our common shares. The public offering price of the common shares offered by this prospectus has been determined by negotiation between us and the underwriters. Among the factors considered in determining the public offering price of the common shares were:</w:t>
      </w:r>
    </w:p>
    <w:p>
      <w:pPr>
        <w:spacing w:after="0" w:line="18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history and our prospects;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financial information and historical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industry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status and development prospects for our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experience and skills of our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offering price stated on the cover page of this prospectus should not be considered an indication of the actual value of the common shares. That price is subject to change as a result of market conditions and other factors, and we cannot assure you that the common shares can be resold at or above the public offering price.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common shares have been approved for listing on The Nasdaq Capital Market under the symbol “CLPS”.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 prospectus in electronic format may be made available on websites or through other online services maintained by the underwriter of this offering, or by its affiliates. Other than the prospectus in electronic format, the information on the underwriters’ website and any information contained in any other website maintained by an underwriter is not part of this prospectus or the registration statement of which this prospectus forms a part, has not been approved and/or endorsed by us or the underwriter in its capacity as underwriter, and should not be relied upon by investors.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underwriters have informed us that they do not expect to confirm sales of our common shares offered by this prospectus to any accounts over which they exercise discretionary authority.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Some of the underwriters and their affiliates may in the future engage in investment banking and other commercial dealings in the ordinary course of business with us or our affiliates. They may in the future receive customary fees and commissions for these transactions.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8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[Selling Restrictions Outside the United States]</w:t>
      </w:r>
    </w:p>
    <w:p>
      <w:pPr>
        <w:sectPr>
          <w:pgSz w:w="11900" w:h="16838" w:orient="portrait"/>
          <w:cols w:equalWidth="0" w:num="1">
            <w:col w:w="11380"/>
          </w:cols>
          <w:pgMar w:left="240" w:top="226" w:right="27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type w:val="continuous"/>
        </w:sectPr>
      </w:pPr>
    </w:p>
    <w:bookmarkStart w:id="104" w:name="page105"/>
    <w:bookmarkEnd w:id="10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placement discounts and commissions) will be as follows. With the exception of the filing fees for the U.S. Securities Exchange Commission, FINRA and NASDAQ, all amounts are estimates.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7"/>
              </w:rPr>
              <w:t>U.S. Securities and Exchange Commission registration fee</w:t>
            </w:r>
          </w:p>
        </w:tc>
        <w:tc>
          <w:tcPr>
            <w:tcW w:w="5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FINRA filing fee</w:t>
            </w:r>
          </w:p>
        </w:tc>
        <w:tc>
          <w:tcPr>
            <w:tcW w:w="5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5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Legal fees and expenses for Chinese counsel</w:t>
            </w:r>
          </w:p>
        </w:tc>
        <w:tc>
          <w:tcPr>
            <w:tcW w:w="5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for Cayman Islands counsel</w:t>
            </w:r>
          </w:p>
        </w:tc>
        <w:tc>
          <w:tcPr>
            <w:tcW w:w="5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Legal fees and expenses for U.S. counsel</w:t>
            </w:r>
          </w:p>
        </w:tc>
        <w:tc>
          <w:tcPr>
            <w:tcW w:w="5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5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Printing fees and expenses</w:t>
            </w:r>
          </w:p>
        </w:tc>
        <w:tc>
          <w:tcPr>
            <w:tcW w:w="5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w:t>
            </w:r>
          </w:p>
        </w:tc>
        <w:tc>
          <w:tcPr>
            <w:tcW w:w="5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5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4"/>
                <w:szCs w:val="24"/>
                <w:color w:val="auto"/>
              </w:rPr>
            </w:pPr>
          </w:p>
        </w:tc>
        <w:tc>
          <w:tcPr>
            <w:tcW w:w="5960" w:type="dxa"/>
            <w:vAlign w:val="bottom"/>
            <w:gridSpan w:val="2"/>
          </w:tcPr>
          <w:p>
            <w:pPr>
              <w:jc w:val="right"/>
              <w:ind w:right="4060"/>
              <w:spacing w:after="0"/>
              <w:rPr>
                <w:sz w:val="20"/>
                <w:szCs w:val="20"/>
                <w:color w:val="auto"/>
              </w:rPr>
            </w:pPr>
            <w:r>
              <w:rPr>
                <w:rFonts w:ascii="Arial" w:cs="Arial" w:eastAsia="Arial" w:hAnsi="Arial"/>
                <w:sz w:val="18"/>
                <w:szCs w:val="18"/>
                <w:b w:val="1"/>
                <w:bCs w:val="1"/>
                <w:color w:val="auto"/>
              </w:rPr>
              <w:t>LEGAL MATTERS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Certain matters as to U.S. federal law in connection with this offering will be passed upon for us by Schiff Hardin LLP. The validity of the shares and certain legal matters relating to the offering as to Cayman Islands law will be passed upon for us by Ogier. Certain legal matters relating to the offering as to Chinese law will be passed upon for us by Hansen &amp; Partners of People’s Republic of China. Hunter Taubman Fischer &amp; Li LLC has acted as counsel for the underwriters with respect to this offering.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Financial statements as of June 30, 2017 and 2016, respectively, and for the years then ended appearing in this prospectus, have been included herein and in the registration statement in reliance upon the report of Friedman LLP an independent registered public accounting firm, appearing elsewhere herein, and upon the authority of that firm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We have filed with the SEC a registration statement on Form F-1 under the Securities Act with respect to the common shares offered hereby. This prospectus, which constitutes a part of the registration statement, does not contain all of the information set forth in the registration statement or the exhibits filed therewith. For further information about us and the common shares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closing of our initial public offering, we will be required to file periodic reports (including an annual report on Form 20-F, which we will be required to file within 120 days from the end of each fiscal year),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t>
      </w:r>
      <w:r>
        <w:rPr>
          <w:rFonts w:ascii="Arial" w:cs="Arial" w:eastAsia="Arial" w:hAnsi="Arial"/>
          <w:sz w:val="17"/>
          <w:szCs w:val="17"/>
          <w:i w:val="1"/>
          <w:iCs w:val="1"/>
          <w:color w:val="auto"/>
        </w:rPr>
        <w:t>www.sec.gov.</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5" w:name="page106"/>
    <w:bookmarkEnd w:id="10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right"/>
        <w:ind w:right="2419"/>
        <w:spacing w:after="0"/>
        <w:rPr>
          <w:sz w:val="20"/>
          <w:szCs w:val="20"/>
          <w:color w:val="auto"/>
        </w:rPr>
      </w:pPr>
      <w:r>
        <w:rPr>
          <w:rFonts w:ascii="Arial" w:cs="Arial" w:eastAsia="Arial" w:hAnsi="Arial"/>
          <w:sz w:val="18"/>
          <w:szCs w:val="18"/>
          <w:b w:val="1"/>
          <w:bCs w:val="1"/>
          <w:color w:val="auto"/>
        </w:rPr>
        <w:t>FOR THE YEARS ENDED JUNE 30,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6" w:right="1440" w:bottom="1440" w:gutter="0" w:footer="0" w:header="0"/>
        </w:sectPr>
      </w:pPr>
    </w:p>
    <w:bookmarkStart w:id="106" w:name="page107"/>
    <w:bookmarkEnd w:id="10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gridSpan w:val="2"/>
          </w:tcPr>
          <w:p>
            <w:pPr>
              <w:jc w:val="center"/>
              <w:ind w:right="4570"/>
              <w:spacing w:after="0"/>
              <w:rPr>
                <w:sz w:val="20"/>
                <w:szCs w:val="20"/>
                <w:color w:val="auto"/>
              </w:rPr>
            </w:pPr>
            <w:r>
              <w:rPr>
                <w:rFonts w:ascii="Arial" w:cs="Arial" w:eastAsia="Arial" w:hAnsi="Arial"/>
                <w:sz w:val="18"/>
                <w:szCs w:val="18"/>
                <w:b w:val="1"/>
                <w:bCs w:val="1"/>
                <w:color w:val="auto"/>
                <w:w w:val="99"/>
              </w:rPr>
              <w:t>CLPS INCORPORATION</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gridSpan w:val="2"/>
          </w:tcPr>
          <w:p>
            <w:pPr>
              <w:jc w:val="center"/>
              <w:ind w:right="4570"/>
              <w:spacing w:after="0"/>
              <w:rPr>
                <w:sz w:val="20"/>
                <w:szCs w:val="20"/>
                <w:color w:val="auto"/>
              </w:rPr>
            </w:pPr>
            <w:r>
              <w:rPr>
                <w:rFonts w:ascii="Arial" w:cs="Arial" w:eastAsia="Arial" w:hAnsi="Arial"/>
                <w:sz w:val="18"/>
                <w:szCs w:val="18"/>
                <w:color w:val="auto"/>
                <w:w w:val="95"/>
              </w:rPr>
              <w:t>TABLE OF CONTENTS</w:t>
            </w:r>
          </w:p>
        </w:tc>
        <w:tc>
          <w:tcPr>
            <w:tcW w:w="0" w:type="dxa"/>
            <w:vAlign w:val="bottom"/>
          </w:tcPr>
          <w:p>
            <w:pPr>
              <w:spacing w:after="0"/>
              <w:rPr>
                <w:sz w:val="1"/>
                <w:szCs w:val="1"/>
                <w:color w:val="auto"/>
              </w:rPr>
            </w:pPr>
          </w:p>
        </w:tc>
      </w:tr>
      <w:tr>
        <w:trPr>
          <w:trHeight w:val="439"/>
        </w:trPr>
        <w:tc>
          <w:tcPr>
            <w:tcW w:w="466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8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03"/>
        </w:trPr>
        <w:tc>
          <w:tcPr>
            <w:tcW w:w="4660" w:type="dxa"/>
            <w:vAlign w:val="bottom"/>
            <w:gridSpan w:val="8"/>
            <w:vMerge w:val="continue"/>
          </w:tcPr>
          <w:p>
            <w:pPr>
              <w:spacing w:after="0"/>
              <w:rPr>
                <w:sz w:val="17"/>
                <w:szCs w:val="17"/>
                <w:color w:val="auto"/>
              </w:rPr>
            </w:pPr>
          </w:p>
        </w:tc>
        <w:tc>
          <w:tcPr>
            <w:tcW w:w="5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7"/>
            <w:shd w:val="clear" w:color="auto" w:fill="CCEEFF"/>
          </w:tcPr>
          <w:p>
            <w:pPr>
              <w:spacing w:after="0" w:line="189" w:lineRule="exact"/>
              <w:rPr>
                <w:rFonts w:ascii="Arial" w:cs="Arial" w:eastAsia="Arial" w:hAnsi="Arial"/>
                <w:sz w:val="18"/>
                <w:szCs w:val="18"/>
                <w:color w:val="0000EE"/>
              </w:rPr>
            </w:pPr>
            <w:hyperlink w:anchor="page108">
              <w:r>
                <w:rPr>
                  <w:rFonts w:ascii="Arial" w:cs="Arial" w:eastAsia="Arial" w:hAnsi="Arial"/>
                  <w:sz w:val="18"/>
                  <w:szCs w:val="18"/>
                  <w:color w:val="0000EE"/>
                </w:rPr>
                <w:t>Report of Independent Registered Public Accounting Firm</w:t>
              </w:r>
            </w:hyperlink>
          </w:p>
        </w:tc>
        <w:tc>
          <w:tcPr>
            <w:tcW w:w="58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Consolidated Balance Sheets</w:t>
              </w:r>
            </w:hyperlink>
          </w:p>
        </w:tc>
        <w:tc>
          <w:tcPr>
            <w:tcW w:w="440" w:type="dxa"/>
            <w:vAlign w:val="bottom"/>
            <w:tcBorders>
              <w:top w:val="single" w:sz="8" w:color="CCEEFF"/>
            </w:tcBorders>
            <w:gridSpan w:val="3"/>
          </w:tcPr>
          <w:p>
            <w:pPr>
              <w:spacing w:after="0"/>
              <w:rPr>
                <w:sz w:val="15"/>
                <w:szCs w:val="15"/>
                <w:color w:val="auto"/>
              </w:rPr>
            </w:pPr>
          </w:p>
        </w:tc>
        <w:tc>
          <w:tcPr>
            <w:tcW w:w="586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Consolidated Statements of Income and Comprehensive Income</w:t>
              </w:r>
            </w:hyperlink>
          </w:p>
        </w:tc>
        <w:tc>
          <w:tcPr>
            <w:tcW w:w="2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7"/>
          </w:tcPr>
          <w:p>
            <w:pPr>
              <w:spacing w:after="0" w:line="176" w:lineRule="exact"/>
              <w:rPr>
                <w:rFonts w:ascii="Arial" w:cs="Arial" w:eastAsia="Arial" w:hAnsi="Arial"/>
                <w:sz w:val="18"/>
                <w:szCs w:val="18"/>
                <w:color w:val="0000EE"/>
                <w:w w:val="94"/>
              </w:rPr>
            </w:pPr>
            <w:hyperlink w:anchor="page111">
              <w:r>
                <w:rPr>
                  <w:rFonts w:ascii="Arial" w:cs="Arial" w:eastAsia="Arial" w:hAnsi="Arial"/>
                  <w:sz w:val="18"/>
                  <w:szCs w:val="18"/>
                  <w:color w:val="0000EE"/>
                  <w:w w:val="94"/>
                </w:rPr>
                <w:t>Consolidated Statements of Changes in Shareholders’ Equity</w:t>
              </w:r>
            </w:hyperlink>
          </w:p>
        </w:tc>
        <w:tc>
          <w:tcPr>
            <w:tcW w:w="586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8"/>
              </w:rPr>
            </w:pPr>
            <w:hyperlink w:anchor="page112">
              <w:r>
                <w:rPr>
                  <w:rFonts w:ascii="Arial" w:cs="Arial" w:eastAsia="Arial" w:hAnsi="Arial"/>
                  <w:sz w:val="18"/>
                  <w:szCs w:val="18"/>
                  <w:color w:val="0000EE"/>
                  <w:w w:val="88"/>
                </w:rPr>
                <w:t>Consolidated Statements of Cash Flows</w:t>
              </w:r>
            </w:hyperlink>
          </w:p>
        </w:tc>
        <w:tc>
          <w:tcPr>
            <w:tcW w:w="1780" w:type="dxa"/>
            <w:vAlign w:val="bottom"/>
            <w:tcBorders>
              <w:bottom w:val="single" w:sz="8" w:color="CCEEFF"/>
            </w:tcBorders>
            <w:gridSpan w:val="5"/>
            <w:shd w:val="clear" w:color="auto" w:fill="CCEEFF"/>
          </w:tcPr>
          <w:p>
            <w:pPr>
              <w:spacing w:after="0"/>
              <w:rPr>
                <w:sz w:val="17"/>
                <w:szCs w:val="17"/>
                <w:color w:val="auto"/>
              </w:rPr>
            </w:pPr>
          </w:p>
        </w:tc>
        <w:tc>
          <w:tcPr>
            <w:tcW w:w="58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7"/>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Notes to Consolidated Financial Statements</w:t>
              </w:r>
            </w:hyperlink>
          </w:p>
        </w:tc>
        <w:tc>
          <w:tcPr>
            <w:tcW w:w="586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2"/>
              </w:rPr>
              <w:t>F-8 - F-31</w:t>
            </w: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gridSpan w:val="2"/>
          </w:tcPr>
          <w:p>
            <w:pPr>
              <w:jc w:val="center"/>
              <w:ind w:right="4570"/>
              <w:spacing w:after="0"/>
              <w:rPr>
                <w:sz w:val="20"/>
                <w:szCs w:val="20"/>
                <w:color w:val="auto"/>
              </w:rPr>
            </w:pPr>
            <w:r>
              <w:rPr>
                <w:rFonts w:ascii="Arial" w:cs="Arial" w:eastAsia="Arial" w:hAnsi="Arial"/>
                <w:sz w:val="22"/>
                <w:szCs w:val="22"/>
                <w:color w:val="auto"/>
                <w:w w:val="90"/>
              </w:rPr>
              <w:t>F-2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07" w:name="page108"/>
    <w:bookmarkEnd w:id="10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950210" cy="4286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502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audited the accompanying consolidated balance sheets of CLPS Incorporation and Subsidiaries (collectively, the “Company”) as of June 30, 2017 and 2016, and the related consolidated statements of income and comprehensive income, changes in shareholders’ equity, and cash flows for the years then ended. The Company’s management is responsible for these consolidated financial statements. Our responsibility is to express an opinion on these consolidated financial statements based on our audits.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CLPS Incorporation and Subsidiaries as of June 30, 2017 and 2016, and the consolidated results of their operations and their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8, 2017, except for Notes 1, 2, 16 and 17 which are dated January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142875</wp:posOffset>
            </wp:positionV>
            <wp:extent cx="5368290" cy="523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6829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08" w:name="page109"/>
    <w:bookmarkEnd w:id="10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7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4,814,568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5,277,196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6,644,774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4,373,489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578,391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Prepaid income tax</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169,557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related parties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118,006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12,325,296</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9,910,841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273,347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326,820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305,464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195,080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Long-term investment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298,953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13,521,923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10,471,529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239,165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640,864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110,631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5,392,434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4,578,928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1,729,791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8,210,625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6,264,005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share, $0.0001 par value; 100,000,000 shares authorized; 11,290,000 shares issued and outstanding as of June</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30, 2017 and 2016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7,120,943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7,120,943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Statuary reserves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680,671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(2,521,285)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(2,984,943)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(447,270)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4,834,188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4,203,490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Non-controlling Interests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477,110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5,311,298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4,207,524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13,521,923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10,471,529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09" w:name="page110"/>
    <w:bookmarkEnd w:id="10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0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5715</wp:posOffset>
            </wp:positionV>
            <wp:extent cx="158623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1" w:lineRule="exact"/>
        <w:rPr>
          <w:sz w:val="20"/>
          <w:szCs w:val="20"/>
          <w:color w:val="auto"/>
        </w:rPr>
      </w:pPr>
    </w:p>
    <w:p>
      <w:pPr>
        <w:jc w:val="both"/>
        <w:ind w:left="9200"/>
        <w:spacing w:after="0"/>
        <w:tabs>
          <w:tab w:leader="none" w:pos="105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17145</wp:posOffset>
            </wp:positionV>
            <wp:extent cx="158623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Cost of revenues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General and administrative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Subsidies and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Less: 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CLPS Incorporation’s shareholders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347" w:hanging="347"/>
        <w:spacing w:after="0"/>
        <w:tabs>
          <w:tab w:leader="none" w:pos="3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31,361,976   $   29,024,178</w:t>
      </w:r>
    </w:p>
    <w:p>
      <w:pPr>
        <w:spacing w:after="0" w:line="23" w:lineRule="exact"/>
        <w:rPr>
          <w:rFonts w:ascii="Arial" w:cs="Arial" w:eastAsia="Arial" w:hAnsi="Arial"/>
          <w:sz w:val="18"/>
          <w:szCs w:val="18"/>
          <w:color w:val="auto"/>
        </w:rPr>
      </w:pPr>
    </w:p>
    <w:p>
      <w:pPr>
        <w:ind w:left="287"/>
        <w:spacing w:after="0"/>
        <w:rPr>
          <w:rFonts w:ascii="Arial" w:cs="Arial" w:eastAsia="Arial" w:hAnsi="Arial"/>
          <w:sz w:val="18"/>
          <w:szCs w:val="18"/>
          <w:color w:val="auto"/>
        </w:rPr>
      </w:pPr>
      <w:r>
        <w:rPr>
          <w:rFonts w:ascii="Arial" w:cs="Arial" w:eastAsia="Arial" w:hAnsi="Arial"/>
          <w:sz w:val="18"/>
          <w:szCs w:val="18"/>
          <w:color w:val="auto"/>
        </w:rPr>
        <w:t>(18,669,812)</w:t>
      </w:r>
      <w:r>
        <w:rPr>
          <w:rFonts w:ascii="Arial" w:cs="Arial" w:eastAsia="Arial" w:hAnsi="Arial"/>
          <w:sz w:val="16"/>
          <w:szCs w:val="16"/>
          <w:color w:val="auto"/>
        </w:rPr>
        <w:t>(17,463,416)</w:t>
      </w:r>
    </w:p>
    <w:p>
      <w:pPr>
        <w:spacing w:after="0" w:line="35" w:lineRule="exact"/>
        <w:rPr>
          <w:rFonts w:ascii="Arial" w:cs="Arial" w:eastAsia="Arial" w:hAnsi="Arial"/>
          <w:sz w:val="18"/>
          <w:szCs w:val="18"/>
          <w:color w:val="auto"/>
        </w:rPr>
      </w:pPr>
    </w:p>
    <w:p>
      <w:pPr>
        <w:ind w:left="347"/>
        <w:spacing w:after="0"/>
        <w:rPr>
          <w:rFonts w:ascii="Arial" w:cs="Arial" w:eastAsia="Arial" w:hAnsi="Arial"/>
          <w:sz w:val="18"/>
          <w:szCs w:val="18"/>
          <w:color w:val="auto"/>
        </w:rPr>
      </w:pPr>
      <w:r>
        <w:rPr>
          <w:rFonts w:ascii="Arial" w:cs="Arial" w:eastAsia="Arial" w:hAnsi="Arial"/>
          <w:sz w:val="18"/>
          <w:szCs w:val="18"/>
          <w:color w:val="auto"/>
        </w:rPr>
        <w:t>12,692,164</w:t>
      </w:r>
      <w:r>
        <w:rPr>
          <w:rFonts w:ascii="Arial" w:cs="Arial" w:eastAsia="Arial" w:hAnsi="Arial"/>
          <w:sz w:val="16"/>
          <w:szCs w:val="16"/>
          <w:color w:val="auto"/>
        </w:rPr>
        <w:t>11,560,762</w:t>
      </w:r>
    </w:p>
    <w:p>
      <w:pPr>
        <w:spacing w:after="0" w:line="200" w:lineRule="exact"/>
        <w:rPr>
          <w:sz w:val="20"/>
          <w:szCs w:val="20"/>
          <w:color w:val="auto"/>
        </w:rPr>
      </w:pPr>
    </w:p>
    <w:p>
      <w:pPr>
        <w:spacing w:after="0" w:line="268" w:lineRule="exact"/>
        <w:rPr>
          <w:sz w:val="20"/>
          <w:szCs w:val="20"/>
          <w:color w:val="auto"/>
        </w:rPr>
      </w:pPr>
    </w:p>
    <w:p>
      <w:pPr>
        <w:ind w:left="427"/>
        <w:spacing w:after="0"/>
        <w:tabs>
          <w:tab w:leader="none" w:pos="1886" w:val="left"/>
        </w:tabs>
        <w:rPr>
          <w:sz w:val="20"/>
          <w:szCs w:val="20"/>
          <w:color w:val="auto"/>
        </w:rPr>
      </w:pPr>
      <w:r>
        <w:rPr>
          <w:rFonts w:ascii="Arial" w:cs="Arial" w:eastAsia="Arial" w:hAnsi="Arial"/>
          <w:sz w:val="18"/>
          <w:szCs w:val="18"/>
          <w:color w:val="auto"/>
        </w:rPr>
        <w:t>1,206,493</w:t>
      </w:r>
      <w:r>
        <w:rPr>
          <w:sz w:val="20"/>
          <w:szCs w:val="20"/>
          <w:color w:val="auto"/>
        </w:rPr>
        <w:tab/>
      </w:r>
      <w:r>
        <w:rPr>
          <w:rFonts w:ascii="Arial" w:cs="Arial" w:eastAsia="Arial" w:hAnsi="Arial"/>
          <w:sz w:val="18"/>
          <w:szCs w:val="18"/>
          <w:color w:val="auto"/>
        </w:rPr>
        <w:t>413,016</w:t>
      </w:r>
    </w:p>
    <w:p>
      <w:pPr>
        <w:spacing w:after="0" w:line="23" w:lineRule="exact"/>
        <w:rPr>
          <w:sz w:val="20"/>
          <w:szCs w:val="20"/>
          <w:color w:val="auto"/>
        </w:rPr>
      </w:pPr>
    </w:p>
    <w:p>
      <w:pPr>
        <w:ind w:left="427"/>
        <w:spacing w:after="0"/>
        <w:tabs>
          <w:tab w:leader="none" w:pos="1766" w:val="left"/>
        </w:tabs>
        <w:rPr>
          <w:sz w:val="20"/>
          <w:szCs w:val="20"/>
          <w:color w:val="auto"/>
        </w:rPr>
      </w:pPr>
      <w:r>
        <w:rPr>
          <w:rFonts w:ascii="Arial" w:cs="Arial" w:eastAsia="Arial" w:hAnsi="Arial"/>
          <w:sz w:val="17"/>
          <w:szCs w:val="17"/>
          <w:color w:val="auto"/>
        </w:rPr>
        <w:t>4,232,788</w:t>
      </w:r>
      <w:r>
        <w:rPr>
          <w:sz w:val="20"/>
          <w:szCs w:val="20"/>
          <w:color w:val="auto"/>
        </w:rPr>
        <w:tab/>
      </w:r>
      <w:r>
        <w:rPr>
          <w:rFonts w:ascii="Arial" w:cs="Arial" w:eastAsia="Arial" w:hAnsi="Arial"/>
          <w:sz w:val="17"/>
          <w:szCs w:val="17"/>
          <w:color w:val="auto"/>
        </w:rPr>
        <w:t>5,579,058</w:t>
      </w:r>
    </w:p>
    <w:p>
      <w:pPr>
        <w:spacing w:after="0" w:line="21" w:lineRule="exact"/>
        <w:rPr>
          <w:sz w:val="20"/>
          <w:szCs w:val="20"/>
          <w:color w:val="auto"/>
        </w:rPr>
      </w:pPr>
    </w:p>
    <w:p>
      <w:pPr>
        <w:ind w:left="427"/>
        <w:spacing w:after="0"/>
        <w:tabs>
          <w:tab w:leader="none" w:pos="1766" w:val="left"/>
        </w:tabs>
        <w:rPr>
          <w:sz w:val="20"/>
          <w:szCs w:val="20"/>
          <w:color w:val="auto"/>
        </w:rPr>
      </w:pPr>
      <w:r>
        <w:rPr>
          <w:rFonts w:ascii="Arial" w:cs="Arial" w:eastAsia="Arial" w:hAnsi="Arial"/>
          <w:sz w:val="17"/>
          <w:szCs w:val="17"/>
          <w:color w:val="auto"/>
        </w:rPr>
        <w:t>5,647,790</w:t>
      </w:r>
      <w:r>
        <w:rPr>
          <w:sz w:val="20"/>
          <w:szCs w:val="20"/>
          <w:color w:val="auto"/>
        </w:rPr>
        <w:tab/>
      </w:r>
      <w:r>
        <w:rPr>
          <w:rFonts w:ascii="Arial" w:cs="Arial" w:eastAsia="Arial" w:hAnsi="Arial"/>
          <w:sz w:val="17"/>
          <w:szCs w:val="17"/>
          <w:color w:val="auto"/>
        </w:rPr>
        <w:t>4,955,037</w:t>
      </w:r>
    </w:p>
    <w:p>
      <w:pPr>
        <w:spacing w:after="0" w:line="47" w:lineRule="exact"/>
        <w:rPr>
          <w:sz w:val="20"/>
          <w:szCs w:val="20"/>
          <w:color w:val="auto"/>
        </w:rPr>
      </w:pPr>
    </w:p>
    <w:p>
      <w:pPr>
        <w:ind w:left="347"/>
        <w:spacing w:after="0"/>
        <w:tabs>
          <w:tab w:leader="none" w:pos="1686" w:val="left"/>
        </w:tabs>
        <w:rPr>
          <w:sz w:val="20"/>
          <w:szCs w:val="20"/>
          <w:color w:val="auto"/>
        </w:rPr>
      </w:pPr>
      <w:r>
        <w:rPr>
          <w:rFonts w:ascii="Arial" w:cs="Arial" w:eastAsia="Arial" w:hAnsi="Arial"/>
          <w:sz w:val="17"/>
          <w:szCs w:val="17"/>
          <w:color w:val="auto"/>
        </w:rPr>
        <w:t>11,087,071</w:t>
      </w:r>
      <w:r>
        <w:rPr>
          <w:sz w:val="20"/>
          <w:szCs w:val="20"/>
          <w:color w:val="auto"/>
        </w:rPr>
        <w:tab/>
      </w:r>
      <w:r>
        <w:rPr>
          <w:rFonts w:ascii="Arial" w:cs="Arial" w:eastAsia="Arial" w:hAnsi="Arial"/>
          <w:sz w:val="17"/>
          <w:szCs w:val="17"/>
          <w:color w:val="auto"/>
        </w:rPr>
        <w:t>10,947,111</w:t>
      </w:r>
    </w:p>
    <w:p>
      <w:pPr>
        <w:spacing w:after="0" w:line="48" w:lineRule="exact"/>
        <w:rPr>
          <w:sz w:val="20"/>
          <w:szCs w:val="20"/>
          <w:color w:val="auto"/>
        </w:rPr>
      </w:pPr>
    </w:p>
    <w:p>
      <w:pPr>
        <w:ind w:left="427"/>
        <w:spacing w:after="0"/>
        <w:tabs>
          <w:tab w:leader="none" w:pos="1886" w:val="left"/>
        </w:tabs>
        <w:rPr>
          <w:sz w:val="20"/>
          <w:szCs w:val="20"/>
          <w:color w:val="auto"/>
        </w:rPr>
      </w:pPr>
      <w:r>
        <w:rPr>
          <w:rFonts w:ascii="Arial" w:cs="Arial" w:eastAsia="Arial" w:hAnsi="Arial"/>
          <w:sz w:val="18"/>
          <w:szCs w:val="18"/>
          <w:color w:val="auto"/>
        </w:rPr>
        <w:t>1,605,093</w:t>
      </w:r>
      <w:r>
        <w:rPr>
          <w:sz w:val="20"/>
          <w:szCs w:val="20"/>
          <w:color w:val="auto"/>
        </w:rPr>
        <w:tab/>
      </w:r>
      <w:r>
        <w:rPr>
          <w:rFonts w:ascii="Arial" w:cs="Arial" w:eastAsia="Arial" w:hAnsi="Arial"/>
          <w:sz w:val="18"/>
          <w:szCs w:val="18"/>
          <w:color w:val="auto"/>
        </w:rPr>
        <w:t>613,651</w:t>
      </w:r>
    </w:p>
    <w:p>
      <w:pPr>
        <w:spacing w:after="0" w:line="23" w:lineRule="exact"/>
        <w:rPr>
          <w:sz w:val="20"/>
          <w:szCs w:val="20"/>
          <w:color w:val="auto"/>
        </w:rPr>
      </w:pPr>
    </w:p>
    <w:p>
      <w:pPr>
        <w:ind w:left="567"/>
        <w:spacing w:after="0"/>
        <w:tabs>
          <w:tab w:leader="none" w:pos="1766" w:val="left"/>
        </w:tabs>
        <w:rPr>
          <w:sz w:val="20"/>
          <w:szCs w:val="20"/>
          <w:color w:val="auto"/>
        </w:rPr>
      </w:pPr>
      <w:r>
        <w:rPr>
          <w:rFonts w:ascii="Arial" w:cs="Arial" w:eastAsia="Arial" w:hAnsi="Arial"/>
          <w:sz w:val="17"/>
          <w:szCs w:val="17"/>
          <w:color w:val="auto"/>
        </w:rPr>
        <w:t>508,187</w:t>
      </w:r>
      <w:r>
        <w:rPr>
          <w:sz w:val="20"/>
          <w:szCs w:val="20"/>
          <w:color w:val="auto"/>
        </w:rPr>
        <w:tab/>
      </w:r>
      <w:r>
        <w:rPr>
          <w:rFonts w:ascii="Arial" w:cs="Arial" w:eastAsia="Arial" w:hAnsi="Arial"/>
          <w:sz w:val="17"/>
          <w:szCs w:val="17"/>
          <w:color w:val="auto"/>
        </w:rPr>
        <w:t>1,446,408</w:t>
      </w:r>
    </w:p>
    <w:p>
      <w:pPr>
        <w:spacing w:after="0" w:line="21" w:lineRule="exact"/>
        <w:rPr>
          <w:sz w:val="20"/>
          <w:szCs w:val="20"/>
          <w:color w:val="auto"/>
        </w:rPr>
      </w:pPr>
    </w:p>
    <w:p>
      <w:pPr>
        <w:jc w:val="right"/>
        <w:ind w:right="40"/>
        <w:spacing w:after="0"/>
        <w:tabs>
          <w:tab w:leader="none" w:pos="520" w:val="left"/>
        </w:tabs>
        <w:rPr>
          <w:sz w:val="20"/>
          <w:szCs w:val="20"/>
          <w:color w:val="auto"/>
        </w:rPr>
      </w:pPr>
      <w:r>
        <w:rPr>
          <w:rFonts w:ascii="Arial" w:cs="Arial" w:eastAsia="Arial" w:hAnsi="Arial"/>
          <w:sz w:val="18"/>
          <w:szCs w:val="18"/>
          <w:color w:val="auto"/>
        </w:rPr>
        <w:t>(10,469)</w:t>
      </w:r>
      <w:r>
        <w:rPr>
          <w:sz w:val="20"/>
          <w:szCs w:val="20"/>
          <w:color w:val="auto"/>
        </w:rPr>
        <w:tab/>
      </w:r>
      <w:r>
        <w:rPr>
          <w:rFonts w:ascii="Arial" w:cs="Arial" w:eastAsia="Arial" w:hAnsi="Arial"/>
          <w:sz w:val="17"/>
          <w:szCs w:val="17"/>
          <w:color w:val="auto"/>
        </w:rPr>
        <w:t>(5,935)</w:t>
      </w:r>
    </w:p>
    <w:p>
      <w:pPr>
        <w:spacing w:after="0" w:line="251" w:lineRule="exact"/>
        <w:rPr>
          <w:sz w:val="20"/>
          <w:szCs w:val="20"/>
          <w:color w:val="auto"/>
        </w:rPr>
      </w:pPr>
    </w:p>
    <w:p>
      <w:pPr>
        <w:ind w:left="427"/>
        <w:spacing w:after="0"/>
        <w:tabs>
          <w:tab w:leader="none" w:pos="1766" w:val="left"/>
        </w:tabs>
        <w:rPr>
          <w:sz w:val="20"/>
          <w:szCs w:val="20"/>
          <w:color w:val="auto"/>
        </w:rPr>
      </w:pPr>
      <w:r>
        <w:rPr>
          <w:rFonts w:ascii="Arial" w:cs="Arial" w:eastAsia="Arial" w:hAnsi="Arial"/>
          <w:sz w:val="17"/>
          <w:szCs w:val="17"/>
          <w:color w:val="auto"/>
        </w:rPr>
        <w:t>2,102,811</w:t>
      </w:r>
      <w:r>
        <w:rPr>
          <w:sz w:val="20"/>
          <w:szCs w:val="20"/>
          <w:color w:val="auto"/>
        </w:rPr>
        <w:tab/>
      </w:r>
      <w:r>
        <w:rPr>
          <w:rFonts w:ascii="Arial" w:cs="Arial" w:eastAsia="Arial" w:hAnsi="Arial"/>
          <w:sz w:val="17"/>
          <w:szCs w:val="17"/>
          <w:color w:val="auto"/>
        </w:rPr>
        <w:t>2,054,124</w:t>
      </w:r>
    </w:p>
    <w:p>
      <w:pPr>
        <w:spacing w:after="0" w:line="35" w:lineRule="exact"/>
        <w:rPr>
          <w:sz w:val="20"/>
          <w:szCs w:val="20"/>
          <w:color w:val="auto"/>
        </w:rPr>
      </w:pPr>
    </w:p>
    <w:p>
      <w:pPr>
        <w:ind w:left="507"/>
        <w:spacing w:after="0"/>
        <w:tabs>
          <w:tab w:leader="none" w:pos="1886" w:val="left"/>
        </w:tabs>
        <w:rPr>
          <w:sz w:val="20"/>
          <w:szCs w:val="20"/>
          <w:color w:val="auto"/>
        </w:rPr>
      </w:pPr>
      <w:r>
        <w:rPr>
          <w:rFonts w:ascii="Arial" w:cs="Arial" w:eastAsia="Arial" w:hAnsi="Arial"/>
          <w:sz w:val="18"/>
          <w:szCs w:val="18"/>
          <w:color w:val="auto"/>
        </w:rPr>
        <w:t>(118,546)</w:t>
      </w:r>
      <w:r>
        <w:rPr>
          <w:sz w:val="20"/>
          <w:szCs w:val="20"/>
          <w:color w:val="auto"/>
        </w:rPr>
        <w:tab/>
      </w:r>
      <w:r>
        <w:rPr>
          <w:rFonts w:ascii="Arial" w:cs="Arial" w:eastAsia="Arial" w:hAnsi="Arial"/>
          <w:sz w:val="16"/>
          <w:szCs w:val="16"/>
          <w:color w:val="auto"/>
        </w:rPr>
        <w:t>269,153</w:t>
      </w:r>
    </w:p>
    <w:p>
      <w:pPr>
        <w:spacing w:after="0" w:line="35" w:lineRule="exact"/>
        <w:rPr>
          <w:sz w:val="20"/>
          <w:szCs w:val="20"/>
          <w:color w:val="auto"/>
        </w:rPr>
      </w:pPr>
    </w:p>
    <w:p>
      <w:pPr>
        <w:ind w:left="427"/>
        <w:spacing w:after="0"/>
        <w:tabs>
          <w:tab w:leader="none" w:pos="1766" w:val="left"/>
        </w:tabs>
        <w:rPr>
          <w:sz w:val="20"/>
          <w:szCs w:val="20"/>
          <w:color w:val="auto"/>
        </w:rPr>
      </w:pPr>
      <w:r>
        <w:rPr>
          <w:rFonts w:ascii="Arial" w:cs="Arial" w:eastAsia="Arial" w:hAnsi="Arial"/>
          <w:sz w:val="17"/>
          <w:szCs w:val="17"/>
          <w:color w:val="auto"/>
        </w:rPr>
        <w:t>2,221,357</w:t>
      </w:r>
      <w:r>
        <w:rPr>
          <w:sz w:val="20"/>
          <w:szCs w:val="20"/>
          <w:color w:val="auto"/>
        </w:rPr>
        <w:tab/>
      </w:r>
      <w:r>
        <w:rPr>
          <w:rFonts w:ascii="Arial" w:cs="Arial" w:eastAsia="Arial" w:hAnsi="Arial"/>
          <w:sz w:val="17"/>
          <w:szCs w:val="17"/>
          <w:color w:val="auto"/>
        </w:rPr>
        <w:t>1,784,971</w:t>
      </w:r>
    </w:p>
    <w:p>
      <w:pPr>
        <w:spacing w:after="0" w:line="35" w:lineRule="exact"/>
        <w:rPr>
          <w:sz w:val="20"/>
          <w:szCs w:val="20"/>
          <w:color w:val="auto"/>
        </w:rPr>
      </w:pPr>
    </w:p>
    <w:p>
      <w:pPr>
        <w:jc w:val="both"/>
        <w:ind w:left="567"/>
        <w:spacing w:after="0"/>
        <w:tabs>
          <w:tab w:leader="none" w:pos="1926" w:val="left"/>
        </w:tabs>
        <w:rPr>
          <w:sz w:val="20"/>
          <w:szCs w:val="20"/>
          <w:color w:val="auto"/>
        </w:rPr>
      </w:pPr>
      <w:r>
        <w:rPr>
          <w:rFonts w:ascii="Arial" w:cs="Arial" w:eastAsia="Arial" w:hAnsi="Arial"/>
          <w:sz w:val="18"/>
          <w:szCs w:val="18"/>
          <w:color w:val="auto"/>
        </w:rPr>
        <w:t>173,912</w:t>
      </w:r>
      <w:r>
        <w:rPr>
          <w:sz w:val="20"/>
          <w:szCs w:val="20"/>
          <w:color w:val="auto"/>
        </w:rPr>
        <w:tab/>
      </w:r>
      <w:r>
        <w:rPr>
          <w:rFonts w:ascii="Arial" w:cs="Arial" w:eastAsia="Arial" w:hAnsi="Arial"/>
          <w:sz w:val="18"/>
          <w:szCs w:val="18"/>
          <w:color w:val="auto"/>
        </w:rPr>
        <w:t>(41,141)</w:t>
      </w:r>
    </w:p>
    <w:p>
      <w:pPr>
        <w:spacing w:after="0" w:line="58" w:lineRule="exact"/>
        <w:rPr>
          <w:sz w:val="20"/>
          <w:szCs w:val="20"/>
          <w:color w:val="auto"/>
        </w:rPr>
      </w:pPr>
    </w:p>
    <w:p>
      <w:pPr>
        <w:ind w:left="7"/>
        <w:spacing w:after="0"/>
        <w:tabs>
          <w:tab w:leader="none" w:pos="406" w:val="left"/>
          <w:tab w:leader="none" w:pos="1346" w:val="left"/>
          <w:tab w:leader="none" w:pos="1766"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2,047,445</w:t>
        <w:tab/>
        <w:t>$</w:t>
      </w:r>
      <w:r>
        <w:rPr>
          <w:sz w:val="20"/>
          <w:szCs w:val="20"/>
          <w:color w:val="auto"/>
        </w:rPr>
        <w:tab/>
      </w:r>
      <w:r>
        <w:rPr>
          <w:rFonts w:ascii="Arial" w:cs="Arial" w:eastAsia="Arial" w:hAnsi="Arial"/>
          <w:sz w:val="16"/>
          <w:szCs w:val="16"/>
          <w:b w:val="1"/>
          <w:bCs w:val="1"/>
          <w:color w:val="auto"/>
        </w:rPr>
        <w:t>1,826,112</w:t>
      </w:r>
    </w:p>
    <w:p>
      <w:pPr>
        <w:spacing w:after="0" w:line="27" w:lineRule="exact"/>
        <w:rPr>
          <w:sz w:val="20"/>
          <w:szCs w:val="20"/>
          <w:color w:val="auto"/>
        </w:rPr>
      </w:pPr>
    </w:p>
    <w:p>
      <w:pPr>
        <w:sectPr>
          <w:pgSz w:w="11900" w:h="16838" w:orient="portrait"/>
          <w:cols w:equalWidth="0" w:num="2">
            <w:col w:w="8093" w:space="720"/>
            <w:col w:w="2607"/>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74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(93,177)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foreign currency translation (loss) gain attributable to Non-controlling interest</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 comprehensive loss attributable to CLPS Incorporation’s shareholders</w:t>
            </w:r>
          </w:p>
        </w:tc>
        <w:tc>
          <w:tcPr>
            <w:tcW w:w="13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vMerge w:val="continue"/>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(94,909</w:t>
            </w:r>
          </w:p>
        </w:tc>
        <w:tc>
          <w:tcPr>
            <w:tcW w:w="140" w:type="dxa"/>
            <w:vAlign w:val="bottom"/>
            <w:vMerge w:val="continue"/>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(385,629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1,952,536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1,440,483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175,644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2,128,180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1,397,871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Basic and diluted earnings per common share *</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 and diluted</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11,290,000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10" w:name="page111"/>
    <w:bookmarkEnd w:id="1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JUNE 30,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Retained</w:t>
            </w: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2220" w:type="dxa"/>
            <w:vAlign w:val="bottom"/>
            <w:gridSpan w:val="6"/>
            <w:vMerge w:val="restart"/>
          </w:tcPr>
          <w:p>
            <w:pPr>
              <w:jc w:val="right"/>
              <w:ind w:right="620"/>
              <w:spacing w:after="0"/>
              <w:rPr>
                <w:sz w:val="20"/>
                <w:szCs w:val="20"/>
                <w:color w:val="auto"/>
              </w:rPr>
            </w:pPr>
            <w:r>
              <w:rPr>
                <w:rFonts w:ascii="Arial" w:cs="Arial" w:eastAsia="Arial" w:hAnsi="Arial"/>
                <w:sz w:val="18"/>
                <w:szCs w:val="18"/>
                <w:b w:val="1"/>
                <w:bCs w:val="1"/>
                <w:color w:val="auto"/>
              </w:rPr>
              <w:t>Common Share</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Earnings</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p>
        </w:tc>
        <w:tc>
          <w:tcPr>
            <w:tcW w:w="2220" w:type="dxa"/>
            <w:vAlign w:val="bottom"/>
            <w:gridSpan w:val="6"/>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Paid-in</w:t>
            </w:r>
          </w:p>
        </w:tc>
        <w:tc>
          <w:tcPr>
            <w:tcW w:w="80" w:type="dxa"/>
            <w:vAlign w:val="bottom"/>
          </w:tcPr>
          <w:p>
            <w:pPr>
              <w:spacing w:after="0"/>
              <w:rPr>
                <w:sz w:val="20"/>
                <w:szCs w:val="20"/>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Statutory</w:t>
            </w:r>
          </w:p>
        </w:tc>
        <w:tc>
          <w:tcPr>
            <w:tcW w:w="8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Income</w:t>
            </w: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Surplus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Deficit)</w:t>
            </w:r>
          </w:p>
        </w:tc>
        <w:tc>
          <w:tcPr>
            <w:tcW w:w="2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(Loss)</w:t>
            </w:r>
          </w:p>
        </w:tc>
        <w:tc>
          <w:tcPr>
            <w:tcW w:w="14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interest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2015</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11,290,000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2,696,377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2,639,885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5,913,141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Shareholder’s contribution</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3,377,813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3,377,813</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Recapitalization of</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Shanghai CLPS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1,051,952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(551,684)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(500,268)</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rPr>
              <w:t>Non-controlling</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180"/>
              <w:spacing w:after="0"/>
              <w:rPr>
                <w:sz w:val="20"/>
                <w:szCs w:val="20"/>
                <w:color w:val="auto"/>
              </w:rPr>
            </w:pPr>
            <w:r>
              <w:rPr>
                <w:rFonts w:ascii="Arial" w:cs="Arial" w:eastAsia="Arial" w:hAnsi="Arial"/>
                <w:sz w:val="18"/>
                <w:szCs w:val="18"/>
                <w:color w:val="auto"/>
              </w:rPr>
              <w:t>contribution</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46,919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46,919</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Non-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Dividends declared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(6,521,233)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(6,521,233)</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1,826,112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1,784,971</w:t>
            </w:r>
          </w:p>
        </w:tc>
        <w:tc>
          <w:tcPr>
            <w:tcW w:w="0" w:type="dxa"/>
            <w:vAlign w:val="bottom"/>
          </w:tcPr>
          <w:p>
            <w:pPr>
              <w:spacing w:after="0"/>
              <w:rPr>
                <w:sz w:val="1"/>
                <w:szCs w:val="1"/>
                <w:color w:val="auto"/>
              </w:rPr>
            </w:pP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rPr>
              <w:t>Appropriation of statutory</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180"/>
              <w:spacing w:after="0"/>
              <w:rPr>
                <w:sz w:val="20"/>
                <w:szCs w:val="20"/>
                <w:color w:val="auto"/>
              </w:rPr>
            </w:pPr>
            <w:r>
              <w:rPr>
                <w:rFonts w:ascii="Arial" w:cs="Arial" w:eastAsia="Arial" w:hAnsi="Arial"/>
                <w:sz w:val="18"/>
                <w:szCs w:val="18"/>
                <w:color w:val="auto"/>
              </w:rPr>
              <w:t>reserve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429,439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(429,439)</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Foreign currency translation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(385,629)</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(387,100)</w:t>
            </w:r>
          </w:p>
        </w:tc>
        <w:tc>
          <w:tcPr>
            <w:tcW w:w="0" w:type="dxa"/>
            <w:vAlign w:val="bottom"/>
          </w:tcPr>
          <w:p>
            <w:pPr>
              <w:spacing w:after="0"/>
              <w:rPr>
                <w:sz w:val="1"/>
                <w:szCs w:val="1"/>
                <w:color w:val="auto"/>
              </w:rPr>
            </w:pPr>
          </w:p>
        </w:tc>
      </w:tr>
      <w:tr>
        <w:trPr>
          <w:trHeight w:val="203"/>
        </w:trPr>
        <w:tc>
          <w:tcPr>
            <w:tcW w:w="2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June 30, 2016</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11,290,000</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1,129</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7,120,943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418,722</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(2,984,943)</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(352,361)</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4,034</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4,207,524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Non-controlling</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rPr>
              <w:t>Non-controlling interest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180"/>
              <w:spacing w:after="0"/>
              <w:rPr>
                <w:sz w:val="20"/>
                <w:szCs w:val="20"/>
                <w:color w:val="auto"/>
              </w:rPr>
            </w:pPr>
            <w:r>
              <w:rPr>
                <w:rFonts w:ascii="Arial" w:cs="Arial" w:eastAsia="Arial" w:hAnsi="Arial"/>
                <w:sz w:val="18"/>
                <w:szCs w:val="18"/>
                <w:color w:val="auto"/>
              </w:rPr>
              <w:t>through acquisition</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290,994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290,994</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(1,321,838)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(1,321,838)</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2,047,445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173,912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2,221,357</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Appropriation of statutory</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261,949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(261,949)</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w w:val="95"/>
              </w:rPr>
              <w:t>Foreign currency translation</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14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(94,909)</w:t>
            </w: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(93,177)</w:t>
            </w:r>
          </w:p>
        </w:tc>
        <w:tc>
          <w:tcPr>
            <w:tcW w:w="0" w:type="dxa"/>
            <w:vAlign w:val="bottom"/>
          </w:tcPr>
          <w:p>
            <w:pPr>
              <w:spacing w:after="0"/>
              <w:rPr>
                <w:sz w:val="1"/>
                <w:szCs w:val="1"/>
                <w:color w:val="auto"/>
              </w:rPr>
            </w:pPr>
          </w:p>
        </w:tc>
      </w:tr>
      <w:tr>
        <w:trPr>
          <w:trHeight w:val="188"/>
        </w:trPr>
        <w:tc>
          <w:tcPr>
            <w:tcW w:w="21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w:t>
            </w: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2017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11,290,000</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7,120,943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680,671</w:t>
            </w:r>
          </w:p>
        </w:tc>
        <w:tc>
          <w:tcPr>
            <w:tcW w:w="140" w:type="dxa"/>
            <w:vAlign w:val="bottom"/>
            <w:shd w:val="clear" w:color="auto" w:fill="CCEEFF"/>
          </w:tcPr>
          <w:p>
            <w:pPr>
              <w:spacing w:after="0"/>
              <w:rPr>
                <w:sz w:val="24"/>
                <w:szCs w:val="24"/>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line="271" w:lineRule="exact"/>
              <w:rPr>
                <w:sz w:val="20"/>
                <w:szCs w:val="20"/>
                <w:color w:val="auto"/>
              </w:rPr>
            </w:pPr>
            <w:r>
              <w:rPr>
                <w:rFonts w:ascii="Arial" w:cs="Arial" w:eastAsia="Arial" w:hAnsi="Arial"/>
                <w:sz w:val="16"/>
                <w:szCs w:val="16"/>
                <w:color w:val="auto"/>
              </w:rPr>
              <w:t>(2,521,285</w:t>
            </w:r>
            <w:r>
              <w:rPr>
                <w:rFonts w:ascii="Arial" w:cs="Arial" w:eastAsia="Arial" w:hAnsi="Arial"/>
                <w:sz w:val="31"/>
                <w:szCs w:val="31"/>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line="271" w:lineRule="exact"/>
              <w:rPr>
                <w:sz w:val="20"/>
                <w:szCs w:val="20"/>
                <w:color w:val="auto"/>
              </w:rPr>
            </w:pPr>
            <w:r>
              <w:rPr>
                <w:rFonts w:ascii="Arial" w:cs="Arial" w:eastAsia="Arial" w:hAnsi="Arial"/>
                <w:sz w:val="16"/>
                <w:szCs w:val="16"/>
                <w:color w:val="auto"/>
              </w:rPr>
              <w:t>(447,270</w:t>
            </w:r>
            <w:r>
              <w:rPr>
                <w:rFonts w:ascii="Arial" w:cs="Arial" w:eastAsia="Arial" w:hAnsi="Arial"/>
                <w:sz w:val="31"/>
                <w:szCs w:val="31"/>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477,110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5,311,298</w:t>
            </w:r>
          </w:p>
        </w:tc>
        <w:tc>
          <w:tcPr>
            <w:tcW w:w="0" w:type="dxa"/>
            <w:vAlign w:val="bottom"/>
          </w:tcPr>
          <w:p>
            <w:pPr>
              <w:spacing w:after="0"/>
              <w:rPr>
                <w:sz w:val="1"/>
                <w:szCs w:val="1"/>
                <w:color w:val="auto"/>
              </w:rPr>
            </w:pPr>
          </w:p>
        </w:tc>
      </w:tr>
      <w:tr>
        <w:trPr>
          <w:trHeight w:val="21"/>
        </w:trPr>
        <w:tc>
          <w:tcPr>
            <w:tcW w:w="2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1" w:name="page112"/>
    <w:bookmarkEnd w:id="1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2,221,357</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Deferred tax benefit</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(221,114)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doubtful accounts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Changes in assets and liabilities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(2,410,155)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Prepayment, deposits and other assets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(357,761)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income tax</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(168,825)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Accounts payable and other current liabilities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52,574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Customer deposits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Salaries and benefits payable</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899,462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957,167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110,153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Taxes payable</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219,672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208,772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(62,518)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(327,768)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for business acquisition</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(349,617)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acquired from acquisition</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266,856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Disposition (acquisition) of long term investment</w:t>
            </w:r>
          </w:p>
        </w:tc>
        <w:tc>
          <w:tcPr>
            <w:tcW w:w="1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44,061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3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(101,218</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(374,348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contribution by shareholders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Non-controlling interest shareholder’s contribution</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6,438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46,919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non-controlling interest</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due from related parties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Amounts due to related parties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(102,754)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77,590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paid</w:t>
            </w:r>
          </w:p>
        </w:tc>
        <w:tc>
          <w:tcPr>
            <w:tcW w:w="1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(736,436)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(5,279,093)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13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(832,752</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(378,837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(153,002)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(227,771)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increase in cash</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(462,628)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3,481,312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5,277,196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1,795,884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6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4,814,568</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5,277,196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tax paid</w:t>
            </w:r>
          </w:p>
        </w:tc>
        <w:tc>
          <w:tcPr>
            <w:tcW w:w="16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335,143</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285,019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Non-Cash Transactions of Investing and Financing Activities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 included in due to related parties</w:t>
            </w:r>
          </w:p>
        </w:tc>
        <w:tc>
          <w:tcPr>
            <w:tcW w:w="16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585,402</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Payable for business acquisition</w:t>
            </w: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vMerge w:val="continue"/>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128,371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Dividend contributed to capital</w:t>
            </w:r>
          </w:p>
        </w:tc>
        <w:tc>
          <w:tcPr>
            <w:tcW w:w="13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1,242,140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12" w:name="page113"/>
    <w:bookmarkEnd w:id="1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Chairman and president, together with Mr. Raymond Ming Hui Lin, the Company’s Chief Executive Officer (“CEO”) are the controlling shareholders of the Company. (the “controlling shareholder”).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together with Mr. Raymond Ming Hui Lin, the Company’s Chief Executive Officer (“CEO”) are the controlling shareholders of the Company (the “Controlling shareholders”).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reorganization of the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Prior to the reorganization, CLPS Shanghai’s equity interests were 100% controlled by the same group of the controlling shareholders of CLPS.</w:t>
      </w:r>
    </w:p>
    <w:p>
      <w:pPr>
        <w:spacing w:after="0" w:line="23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5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association of CLPS and a nominal share issuance to the existing shareholders. As a result, the existing shareholders own the same percentage of ownership in CLPS as their ownership interests in CLPS Shanghai prior to the reorganization.</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the Company and its subsidiaries are effectively controlled by the same group of the shareholders before and after the reorganization, they are considered under common control. The above 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13" w:name="page114"/>
    <w:bookmarkEnd w:id="1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 continued</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Upon the reorganization, the Company has subsidiaries in PRC, Hong Kong, Taiwan, British Virgin Islands, Australia and Singapore. Details of the subsidiaries of the Company are set out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 of Incorporation/</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3"/>
        </w:trPr>
        <w:tc>
          <w:tcPr>
            <w:tcW w:w="2480" w:type="dxa"/>
            <w:vAlign w:val="bottom"/>
            <w:gridSpan w:val="2"/>
          </w:tcPr>
          <w:p>
            <w:pPr>
              <w:spacing w:after="0"/>
              <w:rPr>
                <w:sz w:val="20"/>
                <w:szCs w:val="20"/>
                <w:color w:val="auto"/>
              </w:rPr>
            </w:pPr>
            <w:r>
              <w:rPr>
                <w:rFonts w:ascii="Arial" w:cs="Arial" w:eastAsia="Arial" w:hAnsi="Arial"/>
                <w:sz w:val="16"/>
                <w:szCs w:val="16"/>
                <w:b w:val="1"/>
                <w:bCs w:val="1"/>
                <w:color w:val="auto"/>
              </w:rPr>
              <w:t>Name of Entity</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acquisition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Place of Incorporation</w:t>
            </w:r>
          </w:p>
        </w:tc>
        <w:tc>
          <w:tcPr>
            <w:tcW w:w="3620" w:type="dxa"/>
            <w:vAlign w:val="bottom"/>
            <w:gridSpan w:val="3"/>
          </w:tcPr>
          <w:p>
            <w:pPr>
              <w:ind w:left="920"/>
              <w:spacing w:after="0"/>
              <w:rPr>
                <w:sz w:val="20"/>
                <w:szCs w:val="20"/>
                <w:color w:val="auto"/>
              </w:rPr>
            </w:pPr>
            <w:r>
              <w:rPr>
                <w:rFonts w:ascii="Arial" w:cs="Arial" w:eastAsia="Arial" w:hAnsi="Arial"/>
                <w:sz w:val="16"/>
                <w:szCs w:val="16"/>
                <w:b w:val="1"/>
                <w:bCs w:val="1"/>
                <w:color w:val="auto"/>
              </w:rPr>
              <w:t>% of Equity Ownership</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3"/>
              </w:rPr>
              <w:t>Principal Activities</w:t>
            </w:r>
          </w:p>
        </w:tc>
      </w:tr>
      <w:tr>
        <w:trPr>
          <w:trHeight w:val="193"/>
        </w:trPr>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CLPS Incorporation (“CLPS” or</w:t>
            </w: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Incorporated on</w:t>
            </w:r>
          </w:p>
        </w:tc>
        <w:tc>
          <w:tcPr>
            <w:tcW w:w="1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Cayman Islands</w:t>
            </w:r>
          </w:p>
        </w:tc>
        <w:tc>
          <w:tcPr>
            <w:tcW w:w="10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Parent</w:t>
            </w:r>
          </w:p>
        </w:tc>
        <w:tc>
          <w:tcPr>
            <w:tcW w:w="1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Holding Company</w:t>
            </w:r>
          </w:p>
        </w:tc>
      </w:tr>
      <w:tr>
        <w:trPr>
          <w:trHeight w:val="212"/>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“Company”)</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May 11, 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Qinheng Co., Limited (“Qinheng”)</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Hong Kong, China</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jc w:val="center"/>
              <w:spacing w:after="0"/>
              <w:rPr>
                <w:sz w:val="20"/>
                <w:szCs w:val="20"/>
                <w:color w:val="auto"/>
              </w:rPr>
            </w:pPr>
            <w:r>
              <w:rPr>
                <w:rFonts w:ascii="Arial" w:cs="Arial" w:eastAsia="Arial" w:hAnsi="Arial"/>
                <w:sz w:val="16"/>
                <w:szCs w:val="16"/>
                <w:color w:val="auto"/>
                <w:w w:val="95"/>
              </w:rPr>
              <w:t>Holding Company</w:t>
            </w:r>
          </w:p>
        </w:tc>
      </w:tr>
      <w:tr>
        <w:trPr>
          <w:trHeight w:val="206"/>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9, 2017</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Qiner Co., Limited (“Qiner”)</w:t>
            </w:r>
          </w:p>
        </w:tc>
        <w:tc>
          <w:tcPr>
            <w:tcW w:w="18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Hong Kong, China</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Holding Company</w:t>
            </w:r>
          </w:p>
        </w:tc>
      </w:tr>
      <w:tr>
        <w:trPr>
          <w:trHeight w:val="212"/>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April 21, 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Shanghai Qincheng Information</w:t>
            </w: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Shanghai, China</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jc w:val="center"/>
              <w:spacing w:after="0"/>
              <w:rPr>
                <w:sz w:val="20"/>
                <w:szCs w:val="20"/>
                <w:color w:val="auto"/>
              </w:rPr>
            </w:pPr>
            <w:r>
              <w:rPr>
                <w:rFonts w:ascii="Arial" w:cs="Arial" w:eastAsia="Arial" w:hAnsi="Arial"/>
                <w:sz w:val="16"/>
                <w:szCs w:val="16"/>
                <w:color w:val="auto"/>
                <w:w w:val="95"/>
              </w:rPr>
              <w:t>Holding Company</w:t>
            </w:r>
          </w:p>
        </w:tc>
      </w:tr>
      <w:tr>
        <w:trPr>
          <w:trHeight w:val="203"/>
        </w:trPr>
        <w:tc>
          <w:tcPr>
            <w:tcW w:w="2480" w:type="dxa"/>
            <w:vAlign w:val="bottom"/>
            <w:gridSpan w:val="2"/>
          </w:tcPr>
          <w:p>
            <w:pPr>
              <w:spacing w:after="0"/>
              <w:rPr>
                <w:sz w:val="20"/>
                <w:szCs w:val="20"/>
                <w:color w:val="auto"/>
              </w:rPr>
            </w:pPr>
            <w:r>
              <w:rPr>
                <w:rFonts w:ascii="Arial" w:cs="Arial" w:eastAsia="Arial" w:hAnsi="Arial"/>
                <w:sz w:val="16"/>
                <w:szCs w:val="16"/>
                <w:color w:val="auto"/>
              </w:rPr>
              <w:t>Technology Co., Ltd (“CLPS QC”</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August 4, 2017</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6"/>
        </w:trPr>
        <w:tc>
          <w:tcPr>
            <w:tcW w:w="2480" w:type="dxa"/>
            <w:vAlign w:val="bottom"/>
            <w:gridSpan w:val="2"/>
          </w:tcPr>
          <w:p>
            <w:pPr>
              <w:spacing w:after="0"/>
              <w:rPr>
                <w:sz w:val="20"/>
                <w:szCs w:val="20"/>
                <w:color w:val="auto"/>
              </w:rPr>
            </w:pPr>
            <w:r>
              <w:rPr>
                <w:rFonts w:ascii="Arial" w:cs="Arial" w:eastAsia="Arial" w:hAnsi="Arial"/>
                <w:sz w:val="16"/>
                <w:szCs w:val="16"/>
                <w:color w:val="auto"/>
              </w:rPr>
              <w:t>or “WOFE”)</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ChinaLink Professional Service</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Incorporated on August</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Shanghai, China</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12"/>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 Ltd (“CLPS Shanghai”)</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30, 2005</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CLPS Dalian Co., Ltd (“CLPS</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Incorporated on May 25,</w:t>
            </w:r>
          </w:p>
        </w:tc>
        <w:tc>
          <w:tcPr>
            <w:tcW w:w="182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Dalian, China</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6"/>
        </w:trPr>
        <w:tc>
          <w:tcPr>
            <w:tcW w:w="2480" w:type="dxa"/>
            <w:vAlign w:val="bottom"/>
            <w:gridSpan w:val="2"/>
          </w:tcPr>
          <w:p>
            <w:pPr>
              <w:spacing w:after="0"/>
              <w:rPr>
                <w:sz w:val="20"/>
                <w:szCs w:val="20"/>
                <w:color w:val="auto"/>
              </w:rPr>
            </w:pPr>
            <w:r>
              <w:rPr>
                <w:rFonts w:ascii="Arial" w:cs="Arial" w:eastAsia="Arial" w:hAnsi="Arial"/>
                <w:sz w:val="16"/>
                <w:szCs w:val="16"/>
                <w:color w:val="auto"/>
              </w:rPr>
              <w:t>Dalian”)</w:t>
            </w:r>
          </w:p>
        </w:tc>
        <w:tc>
          <w:tcPr>
            <w:tcW w:w="1700" w:type="dxa"/>
            <w:vAlign w:val="bottom"/>
          </w:tcPr>
          <w:p>
            <w:pPr>
              <w:jc w:val="center"/>
              <w:spacing w:after="0"/>
              <w:rPr>
                <w:sz w:val="20"/>
                <w:szCs w:val="20"/>
                <w:color w:val="auto"/>
              </w:rPr>
            </w:pPr>
            <w:r>
              <w:rPr>
                <w:rFonts w:ascii="Arial" w:cs="Arial" w:eastAsia="Arial" w:hAnsi="Arial"/>
                <w:sz w:val="16"/>
                <w:szCs w:val="16"/>
                <w:color w:val="auto"/>
                <w:w w:val="84"/>
              </w:rPr>
              <w:t>2011</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CLPS Ruicheng Co., Ltd (“CLPS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Shanghai, China</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12"/>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RC”)</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June 26, 2013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CLPS Beijing Hengtong Co., Ltd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Beijing, China</w:t>
            </w:r>
          </w:p>
        </w:tc>
        <w:tc>
          <w:tcPr>
            <w:tcW w:w="1780" w:type="dxa"/>
            <w:vAlign w:val="bottom"/>
          </w:tcPr>
          <w:p>
            <w:pPr>
              <w:jc w:val="center"/>
              <w:ind w:right="19"/>
              <w:spacing w:after="0"/>
              <w:rPr>
                <w:sz w:val="20"/>
                <w:szCs w:val="20"/>
                <w:color w:val="auto"/>
              </w:rPr>
            </w:pPr>
            <w:r>
              <w:rPr>
                <w:rFonts w:ascii="Arial" w:cs="Arial" w:eastAsia="Arial" w:hAnsi="Arial"/>
                <w:sz w:val="16"/>
                <w:szCs w:val="16"/>
                <w:color w:val="auto"/>
                <w:w w:val="92"/>
              </w:rPr>
              <w:t>70% owned by CLPS</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tcPr>
          <w:p>
            <w:pPr>
              <w:spacing w:after="0"/>
              <w:rPr>
                <w:sz w:val="20"/>
                <w:szCs w:val="20"/>
                <w:color w:val="auto"/>
              </w:rPr>
            </w:pPr>
            <w:r>
              <w:rPr>
                <w:rFonts w:ascii="Arial" w:cs="Arial" w:eastAsia="Arial" w:hAnsi="Arial"/>
                <w:sz w:val="16"/>
                <w:szCs w:val="16"/>
                <w:color w:val="auto"/>
              </w:rPr>
              <w:t>(“CLPS Beijing”)</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March 30, 2015</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0"/>
              </w:rPr>
              <w:t>Shanghai and 30% owned</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4"/>
              </w:rPr>
              <w:t>by unrelated individual</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6"/>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8"/>
              </w:rPr>
              <w:t>shareholders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CLPS TECHNOLOGY</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Incorporated on August</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Singapore</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(SINGAPORE) PTE.LTD (“CLPS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18, 2015</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2"/>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SG”)</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CLPS TECHNOLOGY</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Incorporated</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Australia</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tcPr>
          <w:p>
            <w:pPr>
              <w:spacing w:after="0"/>
              <w:rPr>
                <w:sz w:val="20"/>
                <w:szCs w:val="20"/>
                <w:color w:val="auto"/>
              </w:rPr>
            </w:pPr>
            <w:r>
              <w:rPr>
                <w:rFonts w:ascii="Arial" w:cs="Arial" w:eastAsia="Arial" w:hAnsi="Arial"/>
                <w:sz w:val="16"/>
                <w:szCs w:val="16"/>
                <w:color w:val="auto"/>
              </w:rPr>
              <w:t>(AUSTRALIA) PTY LTD (“CLPS</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on November 10, 2015</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6"/>
        </w:trPr>
        <w:tc>
          <w:tcPr>
            <w:tcW w:w="2480" w:type="dxa"/>
            <w:vAlign w:val="bottom"/>
            <w:gridSpan w:val="2"/>
          </w:tcPr>
          <w:p>
            <w:pPr>
              <w:spacing w:after="0"/>
              <w:rPr>
                <w:sz w:val="20"/>
                <w:szCs w:val="20"/>
                <w:color w:val="auto"/>
              </w:rPr>
            </w:pPr>
            <w:r>
              <w:rPr>
                <w:rFonts w:ascii="Arial" w:cs="Arial" w:eastAsia="Arial" w:hAnsi="Arial"/>
                <w:sz w:val="16"/>
                <w:szCs w:val="16"/>
                <w:color w:val="auto"/>
              </w:rPr>
              <w:t>AU”)</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CLPS Technology (Hong Kong)</w:t>
            </w:r>
          </w:p>
        </w:tc>
        <w:tc>
          <w:tcPr>
            <w:tcW w:w="18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1"/>
              </w:rPr>
              <w:t>Incorporated on January</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Hong Kong, China</w:t>
            </w:r>
          </w:p>
        </w:tc>
        <w:tc>
          <w:tcPr>
            <w:tcW w:w="17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80% owned by CLPS</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 Limited (“CLPS Hong Kong”)</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7, 2016</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Shanghai and 20% owned</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03"/>
        </w:trPr>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by unrelated individual</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2"/>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shareholders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Judge (Shanghai) Co., Ltd (“Judge</w:t>
            </w: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Acquired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Shanghai, China</w:t>
            </w:r>
          </w:p>
        </w:tc>
        <w:tc>
          <w:tcPr>
            <w:tcW w:w="1780" w:type="dxa"/>
            <w:vAlign w:val="bottom"/>
          </w:tcPr>
          <w:p>
            <w:pPr>
              <w:jc w:val="center"/>
              <w:ind w:right="19"/>
              <w:spacing w:after="0"/>
              <w:rPr>
                <w:sz w:val="20"/>
                <w:szCs w:val="20"/>
                <w:color w:val="auto"/>
              </w:rPr>
            </w:pPr>
            <w:r>
              <w:rPr>
                <w:rFonts w:ascii="Arial" w:cs="Arial" w:eastAsia="Arial" w:hAnsi="Arial"/>
                <w:sz w:val="16"/>
                <w:szCs w:val="16"/>
                <w:color w:val="auto"/>
                <w:w w:val="92"/>
              </w:rPr>
              <w:t>60% owned by CLPS</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tcPr>
          <w:p>
            <w:pPr>
              <w:spacing w:after="0"/>
              <w:rPr>
                <w:sz w:val="20"/>
                <w:szCs w:val="20"/>
                <w:color w:val="auto"/>
              </w:rPr>
            </w:pPr>
            <w:r>
              <w:rPr>
                <w:rFonts w:ascii="Arial" w:cs="Arial" w:eastAsia="Arial" w:hAnsi="Arial"/>
                <w:sz w:val="16"/>
                <w:szCs w:val="16"/>
                <w:color w:val="auto"/>
              </w:rPr>
              <w:t>China”)</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November 9, 2016</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0"/>
              </w:rPr>
              <w:t>Shanghai and 40% owned</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8"/>
              </w:rPr>
              <w:t>by an unrelated</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6"/>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Judge (Shanghai) Human Resource</w:t>
            </w:r>
          </w:p>
        </w:tc>
        <w:tc>
          <w:tcPr>
            <w:tcW w:w="18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Acquired 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Shanghai, China</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70% owned by Judge</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 Ltd (“Judge HR”)</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November 9, 2016</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China and 30% owned by</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2"/>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an unrelated company</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CLPS Shenzhen Co., Ltd (“CLPS</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Shenzhen, China</w:t>
            </w:r>
          </w:p>
        </w:tc>
        <w:tc>
          <w:tcPr>
            <w:tcW w:w="1780" w:type="dxa"/>
            <w:vAlign w:val="bottom"/>
          </w:tcPr>
          <w:p>
            <w:pPr>
              <w:jc w:val="center"/>
              <w:ind w:right="19"/>
              <w:spacing w:after="0"/>
              <w:rPr>
                <w:sz w:val="20"/>
                <w:szCs w:val="20"/>
                <w:color w:val="auto"/>
              </w:rPr>
            </w:pPr>
            <w:r>
              <w:rPr>
                <w:rFonts w:ascii="Arial" w:cs="Arial" w:eastAsia="Arial" w:hAnsi="Arial"/>
                <w:sz w:val="16"/>
                <w:szCs w:val="16"/>
                <w:color w:val="auto"/>
                <w:w w:val="92"/>
              </w:rPr>
              <w:t>70% owned by CLPS</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tcPr>
          <w:p>
            <w:pPr>
              <w:spacing w:after="0"/>
              <w:rPr>
                <w:sz w:val="20"/>
                <w:szCs w:val="20"/>
                <w:color w:val="auto"/>
              </w:rPr>
            </w:pPr>
            <w:r>
              <w:rPr>
                <w:rFonts w:ascii="Arial" w:cs="Arial" w:eastAsia="Arial" w:hAnsi="Arial"/>
                <w:sz w:val="16"/>
                <w:szCs w:val="16"/>
                <w:color w:val="auto"/>
              </w:rPr>
              <w:t>Shenzhen”)</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April 7, 2017</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0"/>
              </w:rPr>
              <w:t>Shanghai and 30% owned</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6"/>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by CLPS Hong Kong</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CLPS Guangzhou Co., Ltd(“CLPS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Guangzhou, China</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12"/>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Guangzhou”) *</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Tianjin Huanyu Qinshang Network</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Tianjin, China</w:t>
            </w: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30%</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Equity investment</w:t>
            </w:r>
          </w:p>
        </w:tc>
        <w:tc>
          <w:tcPr>
            <w:tcW w:w="1700" w:type="dxa"/>
            <w:vAlign w:val="bottom"/>
          </w:tcPr>
          <w:p>
            <w:pPr>
              <w:jc w:val="center"/>
              <w:spacing w:after="0"/>
              <w:rPr>
                <w:sz w:val="20"/>
                <w:szCs w:val="20"/>
                <w:color w:val="auto"/>
              </w:rPr>
            </w:pPr>
            <w:r>
              <w:rPr>
                <w:rFonts w:ascii="Arial" w:cs="Arial" w:eastAsia="Arial" w:hAnsi="Arial"/>
                <w:sz w:val="16"/>
                <w:szCs w:val="16"/>
                <w:color w:val="auto"/>
                <w:w w:val="95"/>
              </w:rPr>
              <w:t>Network technology</w:t>
            </w:r>
          </w:p>
        </w:tc>
      </w:tr>
      <w:tr>
        <w:trPr>
          <w:trHeight w:val="206"/>
        </w:trPr>
        <w:tc>
          <w:tcPr>
            <w:tcW w:w="2480" w:type="dxa"/>
            <w:vAlign w:val="bottom"/>
            <w:gridSpan w:val="2"/>
          </w:tcPr>
          <w:p>
            <w:pPr>
              <w:spacing w:after="0"/>
              <w:rPr>
                <w:sz w:val="20"/>
                <w:szCs w:val="20"/>
                <w:color w:val="auto"/>
              </w:rPr>
            </w:pPr>
            <w:r>
              <w:rPr>
                <w:rFonts w:ascii="Arial" w:cs="Arial" w:eastAsia="Arial" w:hAnsi="Arial"/>
                <w:sz w:val="16"/>
                <w:szCs w:val="16"/>
                <w:color w:val="auto"/>
              </w:rPr>
              <w:t>Technology Co., Ltd (“Huan Yu”) *</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CLIVST Ltd. (“CLIVST”) *</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British Virgin Islands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Holding Company</w:t>
            </w:r>
          </w:p>
        </w:tc>
      </w:tr>
      <w:tr>
        <w:trPr>
          <w:trHeight w:val="212"/>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July 25, 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FDT-CL Financial Technology</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Hong Kong, China</w:t>
            </w:r>
          </w:p>
        </w:tc>
        <w:tc>
          <w:tcPr>
            <w:tcW w:w="1780" w:type="dxa"/>
            <w:vAlign w:val="bottom"/>
          </w:tcPr>
          <w:p>
            <w:pPr>
              <w:jc w:val="center"/>
              <w:spacing w:after="0"/>
              <w:rPr>
                <w:sz w:val="20"/>
                <w:szCs w:val="20"/>
                <w:color w:val="auto"/>
              </w:rPr>
            </w:pPr>
            <w:r>
              <w:rPr>
                <w:rFonts w:ascii="Arial" w:cs="Arial" w:eastAsia="Arial" w:hAnsi="Arial"/>
                <w:sz w:val="16"/>
                <w:szCs w:val="16"/>
                <w:color w:val="auto"/>
                <w:w w:val="95"/>
              </w:rPr>
              <w:t>52% owned by CLIVST,</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tcPr>
          <w:p>
            <w:pPr>
              <w:spacing w:after="0"/>
              <w:rPr>
                <w:sz w:val="20"/>
                <w:szCs w:val="20"/>
                <w:color w:val="auto"/>
              </w:rPr>
            </w:pPr>
            <w:r>
              <w:rPr>
                <w:rFonts w:ascii="Arial" w:cs="Arial" w:eastAsia="Arial" w:hAnsi="Arial"/>
                <w:sz w:val="16"/>
                <w:szCs w:val="16"/>
                <w:color w:val="auto"/>
              </w:rPr>
              <w:t>Services Limited (“FDT-CL”) *</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24, 2017</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48% owned by an</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6"/>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4"/>
              </w:rPr>
              <w:t>unrelated individual</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JQ Technology Co., Limited(“JQ”)</w:t>
            </w:r>
          </w:p>
        </w:tc>
        <w:tc>
          <w:tcPr>
            <w:tcW w:w="18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Acquired 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Hong Kong, China</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55% owned by Qiner,</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17, 2017</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45% owned by an</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2"/>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unrelated individuals</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JIALIN Technology Limited (“JL”)</w:t>
            </w: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Acquired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Taiwan</w:t>
            </w:r>
          </w:p>
        </w:tc>
        <w:tc>
          <w:tcPr>
            <w:tcW w:w="1780" w:type="dxa"/>
            <w:vAlign w:val="bottom"/>
          </w:tcPr>
          <w:p>
            <w:pPr>
              <w:jc w:val="center"/>
              <w:spacing w:after="0"/>
              <w:rPr>
                <w:sz w:val="20"/>
                <w:szCs w:val="20"/>
                <w:color w:val="auto"/>
              </w:rPr>
            </w:pPr>
            <w:r>
              <w:rPr>
                <w:rFonts w:ascii="Arial" w:cs="Arial" w:eastAsia="Arial" w:hAnsi="Arial"/>
                <w:sz w:val="16"/>
                <w:szCs w:val="16"/>
                <w:color w:val="auto"/>
                <w:w w:val="90"/>
              </w:rPr>
              <w:t>100% owned by JQ</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6"/>
        </w:trPr>
        <w:tc>
          <w:tcPr>
            <w:tcW w:w="238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17, 2017</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spacing w:after="0"/>
              <w:rPr>
                <w:sz w:val="17"/>
                <w:szCs w:val="17"/>
                <w:color w:val="auto"/>
              </w:rPr>
            </w:pPr>
          </w:p>
        </w:tc>
      </w:tr>
    </w:tbl>
    <w:p>
      <w:pPr>
        <w:spacing w:after="0" w:line="208" w:lineRule="exact"/>
        <w:rPr>
          <w:sz w:val="20"/>
          <w:szCs w:val="20"/>
          <w:color w:val="auto"/>
        </w:rPr>
      </w:pPr>
    </w:p>
    <w:p>
      <w:pPr>
        <w:ind w:left="460" w:right="260" w:hanging="452"/>
        <w:spacing w:after="0" w:line="27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Entities incorporated or acquired subsequent to June 30, 2017 are not included in the Company’s consolidated financial statement for years end June 30, 2017 and 2016.</w:t>
      </w:r>
    </w:p>
    <w:p>
      <w:pPr>
        <w:sectPr>
          <w:pgSz w:w="11900" w:h="16838" w:orient="portrait"/>
          <w:cols w:equalWidth="0" w:num="1">
            <w:col w:w="11420"/>
          </w:cols>
          <w:pgMar w:left="240" w:top="226" w:right="239" w:bottom="782"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782" w:gutter="0" w:footer="0" w:header="0"/>
          <w:type w:val="continuous"/>
        </w:sectPr>
      </w:pPr>
    </w:p>
    <w:bookmarkStart w:id="114" w:name="page115"/>
    <w:bookmarkEnd w:id="1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pursuant to the rules and requirements of the Securities Exchange Commission (“SEC”).</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accompanying consolidated financial statements include the financial statements of CLPS, Qinheng, Qiner, CLPS QC, CLPS Shanghai, CLPS Beijing, CLPS RC, CLPS Dalian, CLPS AU, CLPS SG, CLPS Hong Kong, CLPS Shenzhen, Judge China and Judge HR. All inter-company balances and transactions have been eliminated upon consolidation.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intangible assets, goodwill impairment, the impairment of long-lived assets, provision for contingent liabilities, revenue recognition, accrued expenses and other current liabilities and realization of deferred tax assets. Actual results could differ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7"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225" w:lineRule="exact"/>
        <w:rPr>
          <w:rFonts w:ascii="Arial" w:cs="Arial" w:eastAsia="Arial" w:hAnsi="Arial"/>
          <w:sz w:val="18"/>
          <w:szCs w:val="18"/>
          <w:color w:val="auto"/>
        </w:rPr>
      </w:pPr>
    </w:p>
    <w:p>
      <w:pPr>
        <w:ind w:left="580" w:hanging="572"/>
        <w:spacing w:after="0" w:line="264"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Unless otherwise disclosed, the fair value of the Company’s financial instruments including cash and cash equivalents, accounts receivable, other receivables and other current assets, accounts payable, customer deposits, accrued expenses and other current liabilities approximates their recorded values due to their short-term maturities.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5" w:name="page116"/>
    <w:bookmarkEnd w:id="11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considers all highly liquid investment instruments with an original maturity of three months or less from the date of purchase to be cash equivalents. The Company maintains most of its bank accounts in the PRC. Cash balances in bank accounts in PRC are not insured by the Federal Deposit Insurance Corporation or other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Accounts receivable are recorded at original invoice.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deposit and other assets</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Prepayment, deposit and other assets primarily consists of advances to suppliers for purchasing goods or services that have not been received or provided and advances to employees. These advances are interest free, unsecured and short-term in nature and are reviewed periodically to determine whether their carrying value has become impaired.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contract costs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Deferred contract costs represent costs incurred in advance of revenue recognition arising from direct and incremental staff costs in respect of the fixed fee contracts according to the customer’s requirements prior to the delivery of services, and such deferred costs will be recognized upon the recognition of the related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investment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Investee companies over which the Company has the ability to exercise significant influence, but does not have a controlling interest are accounted for using the equity method. Significant influence is generally considered to exist when the Company has an ownership interest in the voting shares of the investee between 20% and 50%, and other factors, such as representation in the investee’s Board of Directors, voting rights and the impact of commercial arrangements, are considered in determining whether the equity method of accounting is appropriate.</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sectPr>
      </w:pPr>
    </w:p>
    <w:bookmarkStart w:id="116" w:name="page117"/>
    <w:bookmarkEnd w:id="11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Business combinations are recorded using the business acquisition method of accounting. The assets acquired, the liabilities assumed, and any non-controlling interest of the acquiree at the acquisition date, if any, are measured at their fair values as of that date. Goodwill is recognized and measured as the excess of the total consideration transferred plus the fair value of any non-controlling interest of the acquiree, if any, at the acquisition date over the fair values of the identifiable net assets acquired.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income and comprehensive income as an allocation of the total income or loss for the year between non-controlling interest holders and the shareholders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Property and equipment, net, are stated at cost less accumulated depreciation and amortization. The straight-line method is used to compute depreciation and amortization over the estimated useful lives of the assets,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Useful life</w:t>
            </w:r>
          </w:p>
        </w:tc>
      </w:tr>
      <w:tr>
        <w:trPr>
          <w:trHeight w:val="202"/>
        </w:trPr>
        <w:tc>
          <w:tcPr>
            <w:tcW w:w="7440" w:type="dxa"/>
            <w:vAlign w:val="bottom"/>
            <w:shd w:val="clear" w:color="auto" w:fill="CCEEFF"/>
          </w:tcPr>
          <w:p>
            <w:pPr>
              <w:spacing w:after="0"/>
              <w:rPr>
                <w:sz w:val="17"/>
                <w:szCs w:val="17"/>
                <w:color w:val="auto"/>
              </w:rPr>
            </w:pPr>
          </w:p>
        </w:tc>
        <w:tc>
          <w:tcPr>
            <w:tcW w:w="3980" w:type="dxa"/>
            <w:vAlign w:val="bottom"/>
            <w:shd w:val="clear" w:color="auto" w:fill="CCEEFF"/>
          </w:tcPr>
          <w:p>
            <w:pPr>
              <w:ind w:left="960"/>
              <w:spacing w:after="0" w:line="201" w:lineRule="exact"/>
              <w:rPr>
                <w:sz w:val="20"/>
                <w:szCs w:val="20"/>
                <w:color w:val="auto"/>
              </w:rPr>
            </w:pPr>
            <w:r>
              <w:rPr>
                <w:rFonts w:ascii="Arial" w:cs="Arial" w:eastAsia="Arial" w:hAnsi="Arial"/>
                <w:sz w:val="18"/>
                <w:szCs w:val="18"/>
                <w:color w:val="auto"/>
              </w:rPr>
              <w:t>the shorter of lease terms or</w:t>
            </w: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the estimated useful lives</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Machinery equipment</w:t>
            </w:r>
          </w:p>
        </w:tc>
        <w:tc>
          <w:tcPr>
            <w:tcW w:w="3980" w:type="dxa"/>
            <w:vAlign w:val="bottom"/>
          </w:tcPr>
          <w:p>
            <w:pPr>
              <w:jc w:val="center"/>
              <w:spacing w:after="0"/>
              <w:rPr>
                <w:sz w:val="20"/>
                <w:szCs w:val="20"/>
                <w:color w:val="auto"/>
              </w:rPr>
            </w:pPr>
            <w:r>
              <w:rPr>
                <w:rFonts w:ascii="Arial" w:cs="Arial" w:eastAsia="Arial" w:hAnsi="Arial"/>
                <w:sz w:val="18"/>
                <w:szCs w:val="18"/>
                <w:color w:val="auto"/>
                <w:w w:val="87"/>
              </w:rPr>
              <w:t>5–10 years</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vehicles</w:t>
            </w: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3980" w:type="dxa"/>
            <w:vAlign w:val="bottom"/>
          </w:tcPr>
          <w:p>
            <w:pPr>
              <w:jc w:val="center"/>
              <w:spacing w:after="0"/>
              <w:rPr>
                <w:sz w:val="20"/>
                <w:szCs w:val="20"/>
                <w:color w:val="auto"/>
              </w:rPr>
            </w:pPr>
            <w:r>
              <w:rPr>
                <w:rFonts w:ascii="Arial" w:cs="Arial" w:eastAsia="Arial" w:hAnsi="Arial"/>
                <w:sz w:val="18"/>
                <w:szCs w:val="18"/>
                <w:color w:val="auto"/>
                <w:w w:val="84"/>
              </w:rPr>
              <w:t>5 years</w:t>
            </w:r>
          </w:p>
        </w:tc>
      </w:tr>
    </w:tbl>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statement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22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Intangible assets, other than goodwill, are initially measured and recorded at their fair values. Intangible assets primarily consists of customer contacts acquired by Judge China. Customer contacts are amortized using the estimated attrition pattern which is estimated over 10 years.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7" w:name="page118"/>
    <w:bookmarkEnd w:id="1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and other indefinite-lived intangible assets. This test is performed by management annually or more frequently if the Company believes impairment indicators are present. There was only one reporting unit (that also represented the operating segment) as of June 30, 2017. Goodwill was allocated to the one reporting unit as of June 30,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assessed discounted cash flow amount.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Company reviews the carrying value of intangible assets not subject to amortization, including goodwill, to determine whether impairment may exist annually or more frequently if events and circumstances indicate that it is more likely than not that an impairment has occurred. The Company has the option to assess qualitative factors to determine whether it is necessary to perform the two-step in accordance with ASC 350-20. If the Company believes, as a result of the qualitative assessment, that it is more likely than not that the fair value of the reporting unit is less than its carrying amount, the two-step quantities impairment test described below is required. The first step compares the fair values of each reporting unit to its carrying amount, including goodwill. If the fair value of each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acquisition with the allocation of the assessed fair value determined in the first step to the assets and liabilities of the reporting unit. The excess of the fair value of the reporting unit over the amounts assigned to the assets and liabilities is the implied fair value of goodwill. An impairment loss is recognized for any excess in the carrying value of goodwill over the implied fair value of goodwill. Estimating fair value is performed by utilizing various valuation techniques, with the primary technique being a discounted cash flow.</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18" w:name="page119"/>
    <w:bookmarkEnd w:id="1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a comprehensive range of IT services and solutions, which primarily are on a time-and-expense basis, or fixed-price basis</w:t>
      </w:r>
    </w:p>
    <w:p>
      <w:pPr>
        <w:spacing w:after="0" w:line="23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Time-and-expense basis contracts</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Fixed-price basis contracts</w:t>
      </w:r>
    </w:p>
    <w:p>
      <w:pPr>
        <w:spacing w:after="0" w:line="22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there are following separated service elements in the fixed-fee customized solution contract:</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Solution development service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Specific service such as training, if applicable</w:t>
      </w:r>
    </w:p>
    <w:p>
      <w:pPr>
        <w:spacing w:after="0" w:line="2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For multiple-element arrangements that include application customized services and PCS as well as specific service component, if applicable, the Company allocates contract revenue to all deliverables based on their relative selling prices. The Company uses a hierarchy to determine the selling price to be used for allocating revenue to the deliverables: (i) vendor-specific objective evidence of fair value (“VSOE”), (ii) third-party evidence of the selling price (“TPE”) and</w:t>
      </w:r>
    </w:p>
    <w:p>
      <w:pPr>
        <w:ind w:firstLine="8"/>
        <w:spacing w:after="0" w:line="269" w:lineRule="auto"/>
        <w:tabs>
          <w:tab w:leader="none" w:pos="315" w:val="left"/>
        </w:tabs>
        <w:numPr>
          <w:ilvl w:val="0"/>
          <w:numId w:val="63"/>
        </w:numPr>
        <w:rPr>
          <w:rFonts w:ascii="Arial" w:cs="Arial" w:eastAsia="Arial" w:hAnsi="Arial"/>
          <w:sz w:val="17"/>
          <w:szCs w:val="17"/>
          <w:color w:val="auto"/>
        </w:rPr>
      </w:pPr>
      <w:r>
        <w:rPr>
          <w:rFonts w:ascii="Arial" w:cs="Arial" w:eastAsia="Arial" w:hAnsi="Arial"/>
          <w:sz w:val="17"/>
          <w:szCs w:val="17"/>
          <w:color w:val="auto"/>
        </w:rPr>
        <w:t>best estimate of the selling price (“BESP”). The Company uses VSOE of selling price in the selling price allocation in all instances where it exists. VSOE of selling price for products and services is determined when a substantial majority of the selling prices fall within a reasonable range when sold separately. Otherwise, BESP is used because the Company’s customized application differs substantially from that of competitors, it is difficult to obtain the reliable standalone competitive pricing necessary to establish TPE. Accordingly, the Company uses its best estimate of selling prices of solution development service and PCS (and specific service if applicable) as the basis of revenue allocation. In estimating its selling price for solution development service and PCS (and specific service if applicable), the Company considers the internal estimated cost to provide such services adjusted by reasonable profit margin for similar arrangements, customer demand, and the historical pricing as significant factors to determine the BESP.</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19" w:name="page120"/>
    <w:bookmarkEnd w:id="11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(continued)</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Revenue allocates to solution development service component is recognized using contract accounting in accordance with Accounting Standards Codification (“ASC”) 605-35-25. The revenue recognition for these contracts varies depending on the terms of the individual contracts, and may be recognized proportionally over the term of the contract or deferred until the end of the contract term and recognized when our obligations have been fulfilled with the customer. For contacts with development period within three months, the related revenue is recognized on the completed contract method. Otherwise,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the input measurement, is the best available indicator of the pattern and timing in which contract obligations are fulfilled. The Company has a long history of providing these services resulting in its ability to reasonably estimate the service hours expected to be incurred and the progress toward completion on each fixed-price customized contract based on the proportion of service hours incurred to date relative to total estimated service hours at completion. Estimated contract costs are based on the budgeted service hours, which are updated based on the progress toward completion on a monthly basis. Pursuant to the contract terms, the Company has enforceable right on payments for the work performed. Provisions for estimated losses, if any, on uncompleted contracts are recorded in the period in which such losses become probable based on the current contract estimates. In instances where substantive acceptance provisions are specified in customer contracts, revenues are deferred until all acceptance criteria have been met.</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fixed-priced customized solution arrangement provides customers with rights to unspecified PCS, if and when available. These services grant the customers on line and telephone access to technical support personnel during the term of the service. The revenue allocated to unspecific PCS component is deferred and recognized on a straight-line basis over the PCS period. Revenue allocates to the specific PCS or other services is recognized as the related services are rendered.</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date, the Company has not incurred a material loss on any contracts. However, as a policy, provisions for estimated losses on such engagements will be made during the period in which a loss becomes probable and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Differences between the timing of billings and the recognition of revenue based on various methods of accounting are recorded as deferred revenue.</w:t>
      </w:r>
    </w:p>
    <w:p>
      <w:pPr>
        <w:spacing w:after="0" w:line="23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Revenue includes reimbursements of travel and out-of-pocket expense, with equivalent amounts of expense recorded in cost of revenue. The Company reports revenues net of value added tax (“VAT”). The Company’s subsidiaries in the PRC are subject to a 6% to 17% value added tax (“VAT”) and related surcharges on the revenues earned from providing services.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20" w:name="page121"/>
    <w:bookmarkEnd w:id="12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Research and development incur in the development of new software modules and products, either as part of internally used software or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when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subsidies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 Total government subsidies amounted to $385,448 and $1,282,882 for the years ended June 30, 2017 and 2016, respectively, and were included in other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expenditures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Advertising expenditures are expensed as incurred and such expenses were minimal for the periods presented. Advertising expenditures have been included as part of selling and marketing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 lease for which substantially all the benefits and risks incidental to ownership remain with the lessor is classified by the lessee as an operating lease. All leases of the Company are currently classified as operating leases. The Company records the total expenses on a straight-line basis over the lease 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defined contribution plan</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Full time employees of the Company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was expensed as incurred.</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sectPr>
      </w:pPr>
    </w:p>
    <w:bookmarkStart w:id="121" w:name="page122"/>
    <w:bookmarkEnd w:id="12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June 30, 2017 and 2016. All of the tax returns of the Company’s subsidiaries in China remain subject to examination by the tax authorities for five years from the date of filing through year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added tax (“VAT”)</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Revenue represents the invoiced value of service, net of VAT. The VAT is based on gross sales price and VAT rates range up to 17%, depending on the type of service provided. Entities that are VAT general taxpayers are allowed to offset qualified input VAT paid to suppliers against their output VAT liabilities. Net VAT balance between input VAT and output VAT is recorded in tax payable. All of the VAT returns filed by the company’s subsidiaries in China, have been and remain subject to examination by the tax authorities for five years from the date of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computes earnings per share (“EPS”) in accordance with ASC 260, “Earnings per Share”. ASC 260 requires companies to present basic and diluted EPS. Basic EPS is measured as net income divided by the weighted average common share outstanding for the period. Diluted EPS presents the dilutive effect on a per share basis of the potential common shares (e.g., convertible securities, options and warrants) as if they had been converted at the beginning of the periods presented, or issuance date, if later. Potential common shares that have an anti-dilutive effect (i.e., those that increase income per share or decrease loss per share) are excluded from the calculation of diluted EPS.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22" w:name="page123"/>
    <w:bookmarkEnd w:id="12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functional currencies of the Company are the local currency of the county in which the subsidiary operates. The Company’s financial statements are reported using U.S. Dollars. The results of operations and the consolidated statements of cash flows denominated in foreign currencies are translated at the average rates of exchange during the reporting period. Assets and liabilities denominated in foreign currencies at the balance sheet date are translated at the applicable rates of exchange in effect at that date. The equity denominated in the functional currencies is translated at the historical rates of exchange at the time of capital contributions. Because cash flows are translated based on the average translation rates,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changes in shareholders’ equity. Gains and losses from foreign currency transactions are included in the consolidated statement of income and comprehensive income.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Comprehensive income (loss) consists of two components, net income (loss) and other comprehensive income (loss). Other comprehensive income (loss) refers to revenue, expenses, gains and losses that under GAAP are recorded as an element of shareholders’ equity but are excluded from net income. Other comprehensive income (loss) consists of a foreign currency translation adjustment resulting from the Company not using the U.S. dollar as its functional currencies.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Foreign currency risk</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functional currency is the RMB, and our financial statements are presented in U.S. dollars. The RMB depreciated by 7.2% in fiscal year 2016 and further depreciated by 2.0% in fiscal 2017.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54" w:lineRule="exact"/>
        <w:rPr>
          <w:sz w:val="20"/>
          <w:szCs w:val="20"/>
          <w:color w:val="auto"/>
        </w:rPr>
      </w:pPr>
    </w:p>
    <w:p>
      <w:pPr>
        <w:ind w:left="300" w:hanging="292"/>
        <w:spacing w:after="0"/>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Concentration of credit risk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2017 and 2016, $4,199,905 and $4,890,214 of the Company’s cash and cash equivalents was on deposit at financial institutions in the PRC where there currently is no rule or regulation requiring such financial institutions to maintain insurance to cover bank deposits in the event of bank failure. As of June 30, 2017, the Company had $130,614, $130,413 and $353,636 of cash and cash equivalents on deposit at financial institutions in Singapore, Australia and Hong Kong, respectively. As of June 30, 2016, the Company had $224,292, $136,914 and $25,776 of cash and cash equivalents on deposit at financial institutions in Singapore, Australia and Hong Kong, respectively.</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23" w:name="page124"/>
    <w:bookmarkEnd w:id="12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 (continued)</w:t>
      </w:r>
    </w:p>
    <w:p>
      <w:pPr>
        <w:spacing w:after="0" w:line="229" w:lineRule="exact"/>
        <w:rPr>
          <w:sz w:val="20"/>
          <w:szCs w:val="20"/>
          <w:color w:val="auto"/>
        </w:rPr>
      </w:pPr>
    </w:p>
    <w:p>
      <w:pPr>
        <w:ind w:left="300" w:hanging="29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Significant customers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June 30, 2017 and 2016, one customer with its affiliates accounted for 38.6% and 59.2% of the Company’s total revenues,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June 30, 2017, one customer and its affiliates accounted for 39.1% of the Company’s total accounts receivable balance.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2016, two customers and its affiliates accounted for 47.3% and 10.0% of the Company’s total accounts receivable balance.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accordance with ASC 230, “Statement of Cash Flows,”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significant operations of the Company are located in the PRC.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may not be indicative of future results.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24" w:name="page125"/>
    <w:bookmarkEnd w:id="12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(Topic 606)”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w:t>
      </w:r>
    </w:p>
    <w:p>
      <w:pPr>
        <w:spacing w:after="0" w:line="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2015-14, “Deferral of the Effective Date”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the Company’s fiscal year beginning July 1, 2018. In March 2016, the FASB issued ASU No. 2016-08, “Principal versus Agent Considerations (Reporting Revenue versus Net)” (“ASU 2016-08”), which clarifies the implementation guidance on principal versus agent considerations in the new revenue recognition standard. In April 2016, the FASB issued ASU No. 2016-10, “Identifying Performance Obligations and Licensing” (“ASU 2016-10”), which reduces the complexity when applying the guidance for identifying performance obligations and improves the operability and understandability of the license implementation guidance. In May 2016, the FASB issued ASU No. 2016-12 “Narrow-Scope Improvements and Practical Expedients” (“ASU 2016-12”), which amends the guidance on transition, collectability, noncash consideration and the presentation of sales and other similar taxes. In December 2016, the FASB further issued ASU 2016-20, “Technical Corrections and Improvements to Topic 606, Revenue from Contracts with Customers” (“ASU 2016-20”), which makes minor corrections or minor improvements to the Codification that are not expected to have a significant effect on current accounting practice or create a significant administrative cost to most entities. The amendments are intended to address implementation and provide additional practical expedients to reduce the cost and complexity of applying the new revenue standard. These amendments have the same effective date as the new revenue standard. We are planning to adopt Topic 606 in the first quarter of our fiscal 2019 using the retrospective transition method, and are continuing to evaluate the impact our pending adoption of Topic 606 will have on our unaudited condensed consolidated financial statements. The Company’s current revenue recognition policies are generally consistent with the new revenue recognition standards set forth in ASU 2014-</w:t>
      </w:r>
    </w:p>
    <w:p>
      <w:pPr>
        <w:spacing w:after="0" w:line="10" w:lineRule="exact"/>
        <w:rPr>
          <w:sz w:val="20"/>
          <w:szCs w:val="20"/>
          <w:color w:val="auto"/>
        </w:rPr>
      </w:pPr>
    </w:p>
    <w:p>
      <w:pPr>
        <w:ind w:right="460" w:firstLine="8"/>
        <w:spacing w:after="0" w:line="255" w:lineRule="auto"/>
        <w:tabs>
          <w:tab w:leader="none" w:pos="3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Potential adjustments to input measures are not expected to be pervasive to the majority of the Company’s contracts. While no significant impact is expected upon adoption of the new guidance, the Company will not be able to make that determination until the time of adoption based upon outstanding contracts at that time.</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2015, the FASB issued ASU No. 2015-17 (“ASU 2015-17”), Income Taxes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 The amendments in this update are effective for fiscal years beginning after December 15, 2016, and interim periods therein and may be applied either prospectively or retrospectively to all periods presented. Early adoption is permitted. The Company elected to early adopt the ASU 2015-17 in 2016 on a retrospective basis. The adoption of ASU 2015-17 did not have material impact on the consolidated financial statements.</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February 2016, the FASB issued ASU No. 2016-02, Leases (Topic 842), to increase the transparency and comparability about leases among entities. The new guidance requires lessees to recognize a lease liability and a corresponding lease asset for virtually all lease contracts. It also requires additional disclosures about leasing arrangements. ASU 2016-02 is effective for interim and annual periods beginning after December 15, 2018, and requires a modified retrospective approach to adoption assuming the Company will remain an emerging growth company at that date. Early adoption is permitted. The Company has not early adopted this update and it will become effective on July 1, 2019. The Company is currently evaluating the impact of this new standard on its consolidated financial statements and related disclosures.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5" w:name="page126"/>
    <w:bookmarkEnd w:id="12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August, 2016, the FASB issued a new pronouncement ASU 2016-15, Statement of Cash Flows (Topic 230): Classification of Certain Cash Receipts and Cash Payments, which amends the guidance in ASC 230 on the classification of certain cash receipts and payments in the statement of cash flows. The primary purpose of the ASU is to reduce the diversity in practice that has resulted from the lack of consistent principles on this topic. The ASU’s amendments add or clarify guidance on eight cash flow issues: (1)Debt prepayment or debt extinguishment costs; (2)Settlement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(8) Separately identifiable cash flows and application of the predominance principle. For public business entities, the guidance in the ASU is effective for fiscal years beginning after December 15, 2017, including interim periods within those fiscal years assuming the Company will remain as emerging growth company at that date. Early adoption is permitted for all entities. Entities must apply the guidance retrospectively to all periods presented but may apply it prospectively from the earliest date practicable if retrospective application would be impracticable. The Company has not early adopted this update and it will become effective on July 1, 2018. The Company is in the process of evaluating the impact that this guidance will have on its consolidated financial statements.</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October 2016, FASB issued ASU 2016-16, “Income Taxes: Intra-Entity Transfers of Assets Other than Inventory” which amends the accounting for income taxes. The new guidance requires the recognition of the income tax consequences of an intra-entity asset transfer, other than transfers of inventory, when the transfer occurs. For intra-entity transfers of inventory, the income tax effects will continue to be deferred until the inventory has been sold to a third party. The ASU is effective for reporting periods beginning after December 15, 2017 assuming the Company will remain as emerging growth company at the date, with early adoption permitted. The new guidance is required to be applied on a modified retrospective basis through a cumulative-effect adjustment directly to retained earnings as of the beginning of the period of adoption. The Company has not early adopted this update and it will become effective on July 1, 2018. The Company is currently evaluating the effects, if any, that the adoption of this guidance will have on the Company’s consolidated financial position, results of operations and cash flows.</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October 2016, the FASB issued ASU No. 2016-17, Consolidation (Topic 810): Interest Held through Related Parties That Are under Common Control, to provide guidance on the evaluation of whether a reporting entity is the primary beneficiary of a VIE by amending how a reporting entity, that is a single decision maker of a VIE, treats indirect interests in that entity held through related parties that are under common control. The amendments are effective for public business entities for fiscal years beginning after December 15, 2016, including interim periods within those fiscal years assuming the Company will remain an emerging growth company at that date. Early adoption is permitted, including adoption in an interim period. The Company has not early adopted this update and it will become effective on July 1, 2017. The Company is currently evaluating the impact of this new standard on its consolidated financial statements and related disclosures.</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or businesses. These amendments take effect for public businesses for fiscal years beginning after December 15, 2017 and interim periods within those periods assuming the Company will remain an emerging growth company at that date. The Company has not early adopted this update and it will become effective on July 1, 2018. The Company does not expect that the adoption of this guidance will have a material impact on its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26" w:name="page127"/>
    <w:bookmarkEnd w:id="12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January 2017 the FASB issued ASU No. 2017-04, “Intangibles—Goodwill and Other (Topic 350): Simplifying the Test for Goodwill Impairment.” This new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which means that it will be effective for us in the first quarter of our fiscal year beginning July 1, 2020 assuming the Company still remains an emerging growth company at that date. Early adoption is permitted. The Company is currently evaluating the impact of our pending adoption of ASU 2017-04 on its consolidated financial statements.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2017, the FASB issued ASU No. 2017-09, Scope of Modification Accounting, to provide guidance to clarify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changes in terms or conditions. ASU 2017-09 is effective for all entities for annual periods, and interim periods within those annual periods, beginning after December 15, 2017 assuming the Company still remains an emerging growth company at that date. Early adoption is permitted and application is prospective. The Company has not early adopted this update and it will become effective on July 1, 2018. The Company does not expect that the adoption of this guidance will have a material impact on its consolidated financial statements.</w:t>
      </w:r>
    </w:p>
    <w:p>
      <w:pPr>
        <w:spacing w:after="0" w:line="18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Company does not believe other recently issued but not yet effective accounting statements, if recently adopted, would have a material effect on the Company’s consolidated balance sheets, statements of income and comprehensive income and statements of cash flows.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27" w:name="page128"/>
    <w:bookmarkEnd w:id="12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Judge China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November 9, 2016, CLPS Shanghai acquired 60% of Judge China and its 70% owned subsidiary Judge HR from Judge Company Asia Limited (“Judge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Asia”) with the final purchase price of $480,061 (RMB 3.25 million). The Company funded the acquisition with cash and a payable to Judge Asia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$128,928 (RMB 0.9 million), of which $103,255 was subsequently offset with the Company’s receivables from Judge Asia. The Company believes that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 will allow it to better manage opportunities and capitalize on the growth potential in the human resource related industries.</w:t>
      </w:r>
    </w:p>
    <w:p>
      <w:pPr>
        <w:spacing w:after="0" w:line="21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3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Accounts receivable</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Prepayment and other receivable</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Intangible – customer relationship, net</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Wages payable and accruals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payable and other current liabilities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(290,994)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7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intangible assets include customer contacts of $339,883, which was acquired by Judge China in 2013 with an estimated useful life of 10 years. The goodwill is mainly attributable to the excess of the consideration paid over the fair value of the net assets acquired that cannot be recognized separately as identifiable assets under U.S. GAAP, and comprise (a) the assembled work force and (b) the expected but unidentifiable business growth as a result of the synergy resulting from the acquisition.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8" w:name="page129"/>
    <w:bookmarkEnd w:id="12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Arial" w:cs="Arial" w:eastAsia="Arial" w:hAnsi="Arial"/>
                <w:sz w:val="18"/>
                <w:szCs w:val="18"/>
                <w:b w:val="1"/>
                <w:bCs w:val="1"/>
                <w:color w:val="auto"/>
              </w:rPr>
              <w:t>NOTE 4 – ACCOUNTS RECEIVABLE, NET</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Accounts receivable consisted of the following:</w:t>
            </w: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6160" w:type="dxa"/>
            <w:vAlign w:val="bottom"/>
            <w:tcBorders>
              <w:bottom w:val="single" w:sz="8" w:color="CCEEFF"/>
            </w:tcBorders>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6,753,891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(109,117)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(46,774)</w:t>
            </w:r>
          </w:p>
        </w:tc>
        <w:tc>
          <w:tcPr>
            <w:tcW w:w="0" w:type="dxa"/>
            <w:vAlign w:val="bottom"/>
          </w:tcPr>
          <w:p>
            <w:pPr>
              <w:spacing w:after="0"/>
              <w:rPr>
                <w:sz w:val="1"/>
                <w:szCs w:val="1"/>
                <w:color w:val="auto"/>
              </w:rPr>
            </w:pPr>
          </w:p>
        </w:tc>
      </w:tr>
      <w:tr>
        <w:trPr>
          <w:trHeight w:val="27"/>
        </w:trPr>
        <w:tc>
          <w:tcPr>
            <w:tcW w:w="6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vMerge w:val="continue"/>
            <w:shd w:val="clear" w:color="auto" w:fill="CCEEFF"/>
          </w:tcPr>
          <w:p>
            <w:pPr>
              <w:spacing w:after="0"/>
              <w:rPr>
                <w:sz w:val="21"/>
                <w:szCs w:val="21"/>
                <w:color w:val="auto"/>
              </w:rPr>
            </w:pPr>
          </w:p>
        </w:tc>
        <w:tc>
          <w:tcPr>
            <w:tcW w:w="29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6,644,774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4,373,489</w:t>
            </w:r>
          </w:p>
        </w:tc>
        <w:tc>
          <w:tcPr>
            <w:tcW w:w="0" w:type="dxa"/>
            <w:vAlign w:val="bottom"/>
          </w:tcPr>
          <w:p>
            <w:pPr>
              <w:spacing w:after="0"/>
              <w:rPr>
                <w:sz w:val="1"/>
                <w:szCs w:val="1"/>
                <w:color w:val="auto"/>
              </w:rPr>
            </w:pPr>
          </w:p>
        </w:tc>
      </w:tr>
      <w:tr>
        <w:trPr>
          <w:trHeight w:val="21"/>
        </w:trPr>
        <w:tc>
          <w:tcPr>
            <w:tcW w:w="61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Unbilled accounts receivable included in trade accounts receivable above amounted to $263,434 and $0 as of June 30, 2017 and 2016,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Movement of the allowance for doubtful accounts is as follows: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46,774</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62,990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end of year</w:t>
            </w: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vMerge w:val="continue"/>
          </w:tcPr>
          <w:p>
            <w:pPr>
              <w:spacing w:after="0"/>
              <w:rPr>
                <w:sz w:val="20"/>
                <w:szCs w:val="20"/>
                <w:color w:val="auto"/>
              </w:rPr>
            </w:pPr>
          </w:p>
        </w:tc>
        <w:tc>
          <w:tcPr>
            <w:tcW w:w="19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109,117</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46,774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NOTE 5 – PREPAYMENTS, DEPOSITS AND OTHER ASSETS, NET</w:t>
            </w: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1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40" w:type="dxa"/>
            <w:vAlign w:val="bottom"/>
          </w:tcPr>
          <w:p>
            <w:pPr>
              <w:spacing w:after="0"/>
              <w:rPr>
                <w:sz w:val="20"/>
                <w:szCs w:val="20"/>
                <w:color w:val="auto"/>
              </w:rPr>
            </w:pPr>
            <w:r>
              <w:rPr>
                <w:rFonts w:ascii="Arial" w:cs="Arial" w:eastAsia="Arial" w:hAnsi="Arial"/>
                <w:sz w:val="18"/>
                <w:szCs w:val="18"/>
                <w:color w:val="auto"/>
              </w:rPr>
              <w:t>Prepayments, deposits and other assets consisted of the following:</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263,065</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Advances and deposits to suppliers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231,731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179,384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Note receivable</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21,813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Advances to employees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47,783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(41,602)</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(18,390)</w:t>
            </w:r>
          </w:p>
        </w:tc>
        <w:tc>
          <w:tcPr>
            <w:tcW w:w="0" w:type="dxa"/>
            <w:vAlign w:val="bottom"/>
          </w:tcPr>
          <w:p>
            <w:pPr>
              <w:spacing w:after="0"/>
              <w:rPr>
                <w:sz w:val="1"/>
                <w:szCs w:val="1"/>
                <w:color w:val="auto"/>
              </w:rPr>
            </w:pPr>
          </w:p>
        </w:tc>
      </w:tr>
      <w:tr>
        <w:trPr>
          <w:trHeight w:val="216"/>
        </w:trPr>
        <w:tc>
          <w:tcPr>
            <w:tcW w:w="7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702,174</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374,404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Less: Long term portion</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(123,783)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(114,248)</w:t>
            </w:r>
          </w:p>
        </w:tc>
        <w:tc>
          <w:tcPr>
            <w:tcW w:w="0" w:type="dxa"/>
            <w:vAlign w:val="bottom"/>
          </w:tcPr>
          <w:p>
            <w:pPr>
              <w:spacing w:after="0"/>
              <w:rPr>
                <w:sz w:val="1"/>
                <w:szCs w:val="1"/>
                <w:color w:val="auto"/>
              </w:rPr>
            </w:pPr>
          </w:p>
        </w:tc>
      </w:tr>
      <w:tr>
        <w:trPr>
          <w:trHeight w:val="27"/>
        </w:trPr>
        <w:tc>
          <w:tcPr>
            <w:tcW w:w="7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Prepayments, deposits and other assets – current portion</w:t>
            </w:r>
          </w:p>
        </w:tc>
        <w:tc>
          <w:tcPr>
            <w:tcW w:w="1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vMerge w:val="continue"/>
            <w:shd w:val="clear" w:color="auto" w:fill="CCEEFF"/>
          </w:tcPr>
          <w:p>
            <w:pPr>
              <w:spacing w:after="0"/>
              <w:rPr>
                <w:sz w:val="21"/>
                <w:szCs w:val="21"/>
                <w:color w:val="auto"/>
              </w:rPr>
            </w:pPr>
          </w:p>
        </w:tc>
        <w:tc>
          <w:tcPr>
            <w:tcW w:w="19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578,391</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260,156</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Movement of the allowance for doubtful accounts is as follows:</w:t>
            </w: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1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23,473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end of year</w:t>
            </w: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vMerge w:val="continue"/>
          </w:tcPr>
          <w:p>
            <w:pPr>
              <w:spacing w:after="0"/>
              <w:rPr>
                <w:sz w:val="20"/>
                <w:szCs w:val="20"/>
                <w:color w:val="auto"/>
              </w:rPr>
            </w:pPr>
          </w:p>
        </w:tc>
        <w:tc>
          <w:tcPr>
            <w:tcW w:w="19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41,602</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 TERM INVESTMENT</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February 2016, the Company’s subsidiary CLPS Shanghai invested $45,141 (or RMB 300,000) in Guangzhou Rongzhuan Technology Co., Ltd (“Guangzhou Rongzhuan”) to acquire a 30% equity interest in Guangzhou Rongzhuan. The balance of 70% of the equity of Guangzhou Rongzhuan was held by three independent shareholders. Rongzhuan provides system training and software development business in Guangzhou, PRC. As the Company has the ability to exercise significant influence over the operating and financial decisions, the equity method was used to account for the investment. Due to Guangzhou Ronghuan’s slow business development, CLPS Shanghai in March 2017 sold its investment to the other existing shareholders of Guangzhou Rongzhuan at cost.</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9" w:name="page130"/>
    <w:bookmarkEnd w:id="12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NOTE 7 – PROPERTY AND EQUIPMENT, NET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4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634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Office Furniture</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100,524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104,817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36,422</w:t>
            </w: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r>
              <w:rPr>
                <w:rFonts w:ascii="Arial" w:cs="Arial" w:eastAsia="Arial" w:hAnsi="Arial"/>
                <w:sz w:val="18"/>
                <w:szCs w:val="18"/>
                <w:color w:val="auto"/>
              </w:rPr>
              <w:t>Leasehold improvement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66,157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67,485</w:t>
            </w:r>
          </w:p>
        </w:tc>
        <w:tc>
          <w:tcPr>
            <w:tcW w:w="0" w:type="dxa"/>
            <w:vAlign w:val="bottom"/>
          </w:tcPr>
          <w:p>
            <w:pPr>
              <w:spacing w:after="0"/>
              <w:rPr>
                <w:sz w:val="1"/>
                <w:szCs w:val="1"/>
                <w:color w:val="auto"/>
              </w:rPr>
            </w:pPr>
          </w:p>
        </w:tc>
      </w:tr>
      <w:tr>
        <w:trPr>
          <w:trHeight w:val="216"/>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(315,630)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(209,929)</w:t>
            </w:r>
          </w:p>
        </w:tc>
        <w:tc>
          <w:tcPr>
            <w:tcW w:w="0" w:type="dxa"/>
            <w:vAlign w:val="bottom"/>
          </w:tcPr>
          <w:p>
            <w:pPr>
              <w:spacing w:after="0"/>
              <w:rPr>
                <w:sz w:val="1"/>
                <w:szCs w:val="1"/>
                <w:color w:val="auto"/>
              </w:rPr>
            </w:pPr>
          </w:p>
        </w:tc>
      </w:tr>
      <w:tr>
        <w:trPr>
          <w:trHeight w:val="27"/>
        </w:trPr>
        <w:tc>
          <w:tcPr>
            <w:tcW w:w="6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vMerge w:val="continue"/>
            <w:shd w:val="clear" w:color="auto" w:fill="CCEEFF"/>
          </w:tcPr>
          <w:p>
            <w:pPr>
              <w:spacing w:after="0"/>
              <w:rPr>
                <w:sz w:val="21"/>
                <w:szCs w:val="21"/>
                <w:color w:val="auto"/>
              </w:rPr>
            </w:pPr>
          </w:p>
        </w:tc>
        <w:tc>
          <w:tcPr>
            <w:tcW w:w="2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273,347</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326,820</w:t>
            </w:r>
          </w:p>
        </w:tc>
        <w:tc>
          <w:tcPr>
            <w:tcW w:w="0" w:type="dxa"/>
            <w:vAlign w:val="bottom"/>
          </w:tcPr>
          <w:p>
            <w:pPr>
              <w:spacing w:after="0"/>
              <w:rPr>
                <w:sz w:val="1"/>
                <w:szCs w:val="1"/>
                <w:color w:val="auto"/>
              </w:rPr>
            </w:pPr>
          </w:p>
        </w:tc>
      </w:tr>
      <w:tr>
        <w:trPr>
          <w:trHeight w:val="21"/>
        </w:trPr>
        <w:tc>
          <w:tcPr>
            <w:tcW w:w="63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$109,356 and $54,105 for the years ended June 30, 2017 and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 consisted of customer contacts acquired by Judge China. Judge China was acquired by the Company on November 9, 2016 (Note 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8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contacts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(34,419)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right w:val="single" w:sz="8" w:color="CCEEFF"/>
            </w:tcBorders>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305,464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0"/>
              </w:rPr>
              <w:t>Amortization expense was $34,270 for the year ended June 30, 2017. Estimated future amortization expense is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r>
              <w:rPr>
                <w:rFonts w:ascii="Arial" w:cs="Arial" w:eastAsia="Arial" w:hAnsi="Arial"/>
                <w:sz w:val="18"/>
                <w:szCs w:val="18"/>
                <w:b w:val="1"/>
                <w:bCs w:val="1"/>
                <w:color w:val="auto"/>
              </w:rPr>
              <w:t>Year ending June 30,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expense</w:t>
            </w:r>
          </w:p>
        </w:tc>
        <w:tc>
          <w:tcPr>
            <w:tcW w:w="0" w:type="dxa"/>
            <w:vAlign w:val="bottom"/>
          </w:tcPr>
          <w:p>
            <w:pPr>
              <w:spacing w:after="0"/>
              <w:rPr>
                <w:sz w:val="1"/>
                <w:szCs w:val="1"/>
                <w:color w:val="auto"/>
              </w:rPr>
            </w:pPr>
          </w:p>
        </w:tc>
      </w:tr>
      <w:tr>
        <w:trPr>
          <w:trHeight w:val="216"/>
        </w:trPr>
        <w:tc>
          <w:tcPr>
            <w:tcW w:w="882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51,405</w:t>
            </w:r>
          </w:p>
        </w:tc>
        <w:tc>
          <w:tcPr>
            <w:tcW w:w="0" w:type="dxa"/>
            <w:vAlign w:val="bottom"/>
          </w:tcPr>
          <w:p>
            <w:pPr>
              <w:spacing w:after="0"/>
              <w:rPr>
                <w:sz w:val="1"/>
                <w:szCs w:val="1"/>
                <w:color w:val="auto"/>
              </w:rPr>
            </w:pPr>
          </w:p>
        </w:tc>
      </w:tr>
      <w:tr>
        <w:trPr>
          <w:trHeight w:val="216"/>
        </w:trPr>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51,405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51,405</w:t>
            </w:r>
          </w:p>
        </w:tc>
        <w:tc>
          <w:tcPr>
            <w:tcW w:w="0" w:type="dxa"/>
            <w:vAlign w:val="bottom"/>
          </w:tcPr>
          <w:p>
            <w:pPr>
              <w:spacing w:after="0"/>
              <w:rPr>
                <w:sz w:val="1"/>
                <w:szCs w:val="1"/>
                <w:color w:val="auto"/>
              </w:rPr>
            </w:pPr>
          </w:p>
        </w:tc>
      </w:tr>
      <w:tr>
        <w:trPr>
          <w:trHeight w:val="216"/>
        </w:trPr>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51,405</w:t>
            </w:r>
          </w:p>
        </w:tc>
        <w:tc>
          <w:tcPr>
            <w:tcW w:w="0" w:type="dxa"/>
            <w:vAlign w:val="bottom"/>
          </w:tcPr>
          <w:p>
            <w:pPr>
              <w:spacing w:after="0"/>
              <w:rPr>
                <w:sz w:val="1"/>
                <w:szCs w:val="1"/>
                <w:color w:val="auto"/>
              </w:rPr>
            </w:pPr>
          </w:p>
        </w:tc>
      </w:tr>
      <w:tr>
        <w:trPr>
          <w:trHeight w:val="237"/>
        </w:trPr>
        <w:tc>
          <w:tcPr>
            <w:tcW w:w="8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Remaining</w:t>
            </w:r>
          </w:p>
        </w:tc>
        <w:tc>
          <w:tcPr>
            <w:tcW w:w="2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305,464</w:t>
            </w:r>
          </w:p>
        </w:tc>
        <w:tc>
          <w:tcPr>
            <w:tcW w:w="0" w:type="dxa"/>
            <w:vAlign w:val="bottom"/>
          </w:tcPr>
          <w:p>
            <w:pPr>
              <w:spacing w:after="0"/>
              <w:rPr>
                <w:sz w:val="1"/>
                <w:szCs w:val="1"/>
                <w:color w:val="auto"/>
              </w:rPr>
            </w:pPr>
          </w:p>
        </w:tc>
      </w:tr>
      <w:tr>
        <w:trPr>
          <w:trHeight w:val="21"/>
        </w:trPr>
        <w:tc>
          <w:tcPr>
            <w:tcW w:w="8820" w:type="dxa"/>
            <w:vAlign w:val="bottom"/>
            <w:tcBorders>
              <w:top w:val="single" w:sz="8" w:color="CCEEFF"/>
              <w:bottom w:val="single" w:sz="8" w:color="CCEEFF"/>
            </w:tcBorders>
            <w:vMerge w:val="restart"/>
          </w:tcPr>
          <w:p>
            <w:pPr>
              <w:ind w:left="5560"/>
              <w:spacing w:after="0"/>
              <w:rPr>
                <w:sz w:val="20"/>
                <w:szCs w:val="20"/>
                <w:color w:val="auto"/>
              </w:rPr>
            </w:pPr>
            <w:r>
              <w:rPr>
                <w:rFonts w:ascii="Arial" w:cs="Arial" w:eastAsia="Arial" w:hAnsi="Arial"/>
                <w:sz w:val="18"/>
                <w:szCs w:val="18"/>
                <w:color w:val="auto"/>
              </w:rPr>
              <w:t>F-25</w:t>
            </w: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8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30" w:name="page131"/>
    <w:bookmarkEnd w:id="13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year ended June 30, 2017 were as follows:</w:t>
      </w:r>
    </w:p>
    <w:p>
      <w:pPr>
        <w:spacing w:after="0" w:line="221"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For the year</w:t>
      </w:r>
    </w:p>
    <w:p>
      <w:pPr>
        <w:spacing w:after="0" w:line="27"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2017</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July 1, 2016</w:t>
            </w: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Goodwill arising from acquisition of Judge China (Note 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194,237</w:t>
            </w:r>
          </w:p>
        </w:tc>
        <w:tc>
          <w:tcPr>
            <w:tcW w:w="100" w:type="dxa"/>
            <w:vAlign w:val="bottom"/>
          </w:tcPr>
          <w:p>
            <w:pPr>
              <w:spacing w:after="0"/>
              <w:rPr>
                <w:sz w:val="18"/>
                <w:szCs w:val="18"/>
                <w:color w:val="auto"/>
              </w:rPr>
            </w:pPr>
          </w:p>
        </w:tc>
      </w:tr>
      <w:tr>
        <w:trPr>
          <w:trHeight w:val="237"/>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0"/>
        </w:trPr>
        <w:tc>
          <w:tcPr>
            <w:tcW w:w="10180" w:type="dxa"/>
            <w:vAlign w:val="bottom"/>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195,080</w:t>
            </w:r>
          </w:p>
        </w:tc>
        <w:tc>
          <w:tcPr>
            <w:tcW w:w="100" w:type="dxa"/>
            <w:vAlign w:val="bottom"/>
          </w:tcPr>
          <w:p>
            <w:pPr>
              <w:spacing w:after="0"/>
              <w:rPr>
                <w:sz w:val="21"/>
                <w:szCs w:val="21"/>
                <w:color w:val="auto"/>
              </w:rPr>
            </w:pPr>
          </w:p>
        </w:tc>
      </w:tr>
      <w:tr>
        <w:trPr>
          <w:trHeight w:val="21"/>
        </w:trPr>
        <w:tc>
          <w:tcPr>
            <w:tcW w:w="10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performed its annual goodwill impairment review for the year ended June 30, 2017 and determined there was no impairment as of June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SALARIES AND BENEFITS PAYABLE</w:t>
      </w:r>
    </w:p>
    <w:p>
      <w:pPr>
        <w:spacing w:after="0" w:line="239"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17145</wp:posOffset>
            </wp:positionV>
            <wp:extent cx="158623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0" w:lineRule="exact"/>
        <w:rPr>
          <w:sz w:val="20"/>
          <w:szCs w:val="20"/>
          <w:color w:val="auto"/>
        </w:rPr>
      </w:pPr>
    </w:p>
    <w:p>
      <w:pPr>
        <w:ind w:left="9200"/>
        <w:spacing w:after="0"/>
        <w:tabs>
          <w:tab w:leader="none" w:pos="105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tabs>
          <w:tab w:leader="none" w:pos="8800" w:val="left"/>
          <w:tab w:leader="none" w:pos="9220" w:val="left"/>
          <w:tab w:leader="none" w:pos="10160" w:val="left"/>
          <w:tab w:leader="none" w:pos="10580" w:val="left"/>
        </w:tabs>
        <w:rPr>
          <w:sz w:val="20"/>
          <w:szCs w:val="20"/>
          <w:color w:val="auto"/>
        </w:rPr>
      </w:pPr>
      <w:r>
        <w:rPr>
          <w:rFonts w:ascii="Arial" w:cs="Arial" w:eastAsia="Arial" w:hAnsi="Arial"/>
          <w:sz w:val="18"/>
          <w:szCs w:val="18"/>
          <w:color w:val="auto"/>
        </w:rPr>
        <w:t>Salaries and benefits payable</w:t>
      </w:r>
      <w:r>
        <w:rPr>
          <w:sz w:val="20"/>
          <w:szCs w:val="20"/>
          <w:color w:val="auto"/>
        </w:rPr>
        <w:tab/>
      </w:r>
      <w:r>
        <w:rPr>
          <w:rFonts w:ascii="Arial" w:cs="Arial" w:eastAsia="Arial" w:hAnsi="Arial"/>
          <w:sz w:val="34"/>
          <w:szCs w:val="34"/>
          <w:color w:val="auto"/>
          <w:vertAlign w:val="subscript"/>
        </w:rPr>
        <w:t>$</w:t>
      </w:r>
      <w:r>
        <w:rPr>
          <w:rFonts w:ascii="Arial" w:cs="Arial" w:eastAsia="Arial" w:hAnsi="Arial"/>
          <w:sz w:val="34"/>
          <w:szCs w:val="34"/>
          <w:color w:val="auto"/>
        </w:rPr>
        <w:tab/>
      </w:r>
      <w:r>
        <w:rPr>
          <w:rFonts w:ascii="Arial" w:cs="Arial" w:eastAsia="Arial" w:hAnsi="Arial"/>
          <w:sz w:val="34"/>
          <w:szCs w:val="34"/>
          <w:color w:val="auto"/>
          <w:vertAlign w:val="subscript"/>
        </w:rPr>
        <w:t>5,392,434</w:t>
      </w:r>
      <w:r>
        <w:rPr>
          <w:rFonts w:ascii="Arial" w:cs="Arial" w:eastAsia="Arial" w:hAnsi="Arial"/>
          <w:sz w:val="34"/>
          <w:szCs w:val="34"/>
          <w:color w:val="auto"/>
        </w:rPr>
        <w:tab/>
      </w:r>
      <w:r>
        <w:rPr>
          <w:rFonts w:ascii="Arial" w:cs="Arial" w:eastAsia="Arial" w:hAnsi="Arial"/>
          <w:sz w:val="34"/>
          <w:szCs w:val="34"/>
          <w:color w:val="auto"/>
          <w:vertAlign w:val="subscript"/>
        </w:rPr>
        <w:t>$</w:t>
      </w:r>
      <w:r>
        <w:rPr>
          <w:sz w:val="20"/>
          <w:szCs w:val="20"/>
          <w:color w:val="auto"/>
        </w:rPr>
        <w:tab/>
      </w:r>
      <w:r>
        <w:rPr>
          <w:rFonts w:ascii="Arial" w:cs="Arial" w:eastAsia="Arial" w:hAnsi="Arial"/>
          <w:sz w:val="24"/>
          <w:szCs w:val="24"/>
          <w:color w:val="auto"/>
          <w:vertAlign w:val="subscript"/>
        </w:rPr>
        <w:t>4,578,928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2146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4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Full time employees of the Company located in the PRC participate in a government-mandated defined contribution plan pursuant to which certain pension benefits, medical care, unemployment insurance, employee housing fund and other welfare benefits are provided to employees. The Company accrued for these benefits based on certain percentages of the employees’ salaries. Wages and benefits payable included $2,349,795 and $2,360,272 accrued employer portion of social benefit payable to local government for the years ended June 30, 2017 and 2016,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r>
              <w:rPr>
                <w:rFonts w:ascii="Arial" w:cs="Arial" w:eastAsia="Arial" w:hAnsi="Arial"/>
                <w:sz w:val="18"/>
                <w:szCs w:val="18"/>
                <w:b w:val="1"/>
                <w:bCs w:val="1"/>
                <w:color w:val="auto"/>
              </w:rPr>
              <w:t>NOTE 11 – RELATED PARTY TRANSACTIONS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tcPr>
          <w:p>
            <w:pPr>
              <w:spacing w:after="0"/>
              <w:rPr>
                <w:sz w:val="20"/>
                <w:szCs w:val="20"/>
                <w:color w:val="auto"/>
              </w:rPr>
            </w:pPr>
            <w:r>
              <w:rPr>
                <w:rFonts w:ascii="Arial" w:cs="Arial" w:eastAsia="Arial" w:hAnsi="Arial"/>
                <w:sz w:val="18"/>
                <w:szCs w:val="18"/>
                <w:color w:val="auto"/>
              </w:rPr>
              <w:t>The balances due to and due from related parties were as follows: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shareholder of CLPS Beijing</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Arial" w:cs="Arial" w:eastAsia="Arial" w:hAnsi="Arial"/>
                <w:sz w:val="18"/>
                <w:szCs w:val="18"/>
                <w:color w:val="auto"/>
              </w:rPr>
              <w:t>Affiliates of non-controlling interest shareholder of Judge China*</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103,255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vMerge w:val="continue"/>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The amount was subsequently offset with the acquisition payable (Note 3)</w:t>
            </w: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74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8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Shanghai Qisheng Co., Ltd (“Qisheng”), controlled by the Chairman of the Company</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Mr. Raymond Ming Hui Lin, CEO of the Company (i)</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1,722,711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1,140,975</w:t>
            </w:r>
          </w:p>
        </w:tc>
        <w:tc>
          <w:tcPr>
            <w:tcW w:w="0" w:type="dxa"/>
            <w:vAlign w:val="bottom"/>
          </w:tcPr>
          <w:p>
            <w:pPr>
              <w:spacing w:after="0"/>
              <w:rPr>
                <w:sz w:val="1"/>
                <w:szCs w:val="1"/>
                <w:color w:val="auto"/>
              </w:rPr>
            </w:pPr>
          </w:p>
        </w:tc>
      </w:tr>
      <w:tr>
        <w:trPr>
          <w:trHeight w:val="27"/>
        </w:trPr>
        <w:tc>
          <w:tcPr>
            <w:tcW w:w="7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vMerge w:val="continue"/>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1,729,791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1,148,197</w:t>
            </w:r>
          </w:p>
        </w:tc>
        <w:tc>
          <w:tcPr>
            <w:tcW w:w="0" w:type="dxa"/>
            <w:vAlign w:val="bottom"/>
          </w:tcPr>
          <w:p>
            <w:pPr>
              <w:spacing w:after="0"/>
              <w:rPr>
                <w:sz w:val="1"/>
                <w:szCs w:val="1"/>
                <w:color w:val="auto"/>
              </w:rPr>
            </w:pPr>
          </w:p>
        </w:tc>
      </w:tr>
      <w:tr>
        <w:trPr>
          <w:trHeight w:val="21"/>
        </w:trPr>
        <w:tc>
          <w:tcPr>
            <w:tcW w:w="7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60" w:right="2200" w:hanging="5552"/>
        <w:spacing w:after="0" w:line="810" w:lineRule="auto"/>
        <w:tabs>
          <w:tab w:leader="none" w:pos="342" w:val="left"/>
        </w:tabs>
        <w:numPr>
          <w:ilvl w:val="0"/>
          <w:numId w:val="67"/>
        </w:numPr>
        <w:rPr>
          <w:rFonts w:ascii="Arial" w:cs="Arial" w:eastAsia="Arial" w:hAnsi="Arial"/>
          <w:sz w:val="18"/>
          <w:szCs w:val="18"/>
          <w:color w:val="auto"/>
        </w:rPr>
      </w:pPr>
      <w:r>
        <w:rPr>
          <w:rFonts w:ascii="Arial" w:cs="Arial" w:eastAsia="Arial" w:hAnsi="Arial"/>
          <w:sz w:val="18"/>
          <w:szCs w:val="18"/>
          <w:color w:val="auto"/>
        </w:rPr>
        <w:t>Due to related parties mainly represents the unpaid bonus, dividends, wages and other benefit to the Company’s executives. 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1" w:name="page132"/>
    <w:bookmarkEnd w:id="13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TAXES</w:t>
      </w:r>
    </w:p>
    <w:p>
      <w:pPr>
        <w:spacing w:after="0" w:line="225"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CLPS was incorporated in the Cayman Islands as an offshore holding company and is not subject to tax on income or capital gain under the laws of Cayman Islands.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CLPS Hong Kong was established in Hong Kong and is subject to statutory income tax rate at 16.5%. CLPS SG are subject to Singapore income taxes at the rate of 17%. CLPS AU was established in Australia and subject to corporate income tax at 30%.</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Enterprise Income Tax (“EIT”) Law of PRC, domestic enterprises and Foreign Investment Enterprises (the “FIE”) are usually subject to a unified 25% enterprise income tax rate while preferential tax rates, tax holidays and even tax exemption may be granted on case-by-case basis. EIT grants preferential tax treatment to certain High and New Technology Enterprises (“HNTEs”). Under this preferential tax treatment, HNTEs are entitled to an income tax rate of 15%, subject to a requirement that they re-apply for HNTE status every three years. CLPS Shanghai, the Company’s main operating subsidiary in PRC, has been approved as HNTEs in 2013 and reapproved in 2016. The Company is entitled to a reduced income tax rate of 15% through November 2019. In addition, CLPS Dalian has qualified as a Software Enterprise company and enjoys a two-year income tax exemption starting from their first profitable year, followed by a reduced income tax rate of 12.5% for the subsequent three years.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EIT is typically governed by the local tax authority in China. Each local tax authority at times may grant tax holidays to local enterprises as a way to encourage entrepreneurship and stimulate local economy. The impact of the tax holidays noted above decreased income taxes by $317,488 and $290,159 for the fiscal year 2017 and 2016, respectively. The benefit of the tax holidays on net income per share (basic and diluted) was $0.03 and $0.03 for the years ended June 30, 2017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w:t>
      </w:r>
    </w:p>
    <w:p>
      <w:pPr>
        <w:spacing w:after="0" w:line="2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2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2,516,211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2,297,424</w:t>
            </w:r>
          </w:p>
        </w:tc>
        <w:tc>
          <w:tcPr>
            <w:tcW w:w="100" w:type="dxa"/>
            <w:vAlign w:val="bottom"/>
            <w:shd w:val="clear" w:color="auto" w:fill="CCEEFF"/>
          </w:tcPr>
          <w:p>
            <w:pPr>
              <w:spacing w:after="0"/>
              <w:rPr>
                <w:sz w:val="18"/>
                <w:szCs w:val="18"/>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Non-PRC</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(413,400)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(243,300)</w:t>
            </w:r>
          </w:p>
        </w:tc>
      </w:tr>
      <w:tr>
        <w:trPr>
          <w:trHeight w:val="27"/>
        </w:trPr>
        <w:tc>
          <w:tcPr>
            <w:tcW w:w="88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8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2,102,811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2,054,124</w:t>
            </w:r>
          </w:p>
        </w:tc>
      </w:tr>
      <w:tr>
        <w:trPr>
          <w:trHeight w:val="21"/>
        </w:trPr>
        <w:tc>
          <w:tcPr>
            <w:tcW w:w="8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statutory rate to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PRC statutory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Effect of income tax rate difference in other jurisdictions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of PRC preferential tax rate and tax holidays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R&amp;D credits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Permanent difference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2"/>
        </w:trPr>
        <w:tc>
          <w:tcPr>
            <w:tcW w:w="1440" w:type="dxa"/>
            <w:vAlign w:val="bottom"/>
            <w:gridSpan w:val="2"/>
          </w:tcPr>
          <w:p>
            <w:pPr>
              <w:jc w:val="right"/>
              <w:ind w:right="70"/>
              <w:spacing w:after="0" w:line="201" w:lineRule="exact"/>
              <w:rPr>
                <w:sz w:val="20"/>
                <w:szCs w:val="20"/>
                <w:color w:val="auto"/>
              </w:rPr>
            </w:pPr>
            <w:r>
              <w:rPr>
                <w:rFonts w:ascii="Arial" w:cs="Arial" w:eastAsia="Arial" w:hAnsi="Arial"/>
                <w:sz w:val="18"/>
                <w:szCs w:val="18"/>
                <w:color w:val="auto"/>
              </w:rPr>
              <w:t>25%</w:t>
            </w:r>
          </w:p>
        </w:tc>
        <w:tc>
          <w:tcPr>
            <w:tcW w:w="13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25%</w:t>
            </w:r>
          </w:p>
        </w:tc>
      </w:tr>
      <w:tr>
        <w:trPr>
          <w:trHeight w:val="216"/>
        </w:trPr>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4.8%</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(15.1)%</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(14.3)%</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(11.9)%</w:t>
            </w:r>
          </w:p>
        </w:tc>
      </w:tr>
      <w:tr>
        <w:trPr>
          <w:trHeight w:val="251"/>
        </w:trPr>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(6.0)%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8.2%</w:t>
            </w:r>
          </w:p>
        </w:tc>
      </w:tr>
      <w:tr>
        <w:trPr>
          <w:trHeight w:val="250"/>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0"/>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00" w:space="720"/>
            <w:col w:w="2800"/>
          </w:cols>
          <w:pgMar w:left="240" w:top="226" w:right="239" w:bottom="1440" w:gutter="0" w:footer="0" w:header="0"/>
          <w:type w:val="continuous"/>
        </w:sectPr>
      </w:pPr>
    </w:p>
    <w:p>
      <w:pPr>
        <w:spacing w:after="0" w:line="2" w:lineRule="exact"/>
        <w:rPr>
          <w:sz w:val="20"/>
          <w:szCs w:val="20"/>
          <w:color w:val="auto"/>
        </w:rPr>
      </w:pPr>
    </w:p>
    <w:p>
      <w:pPr>
        <w:ind w:left="5560" w:right="4240" w:hanging="5552"/>
        <w:spacing w:after="0" w:line="778" w:lineRule="auto"/>
        <w:tabs>
          <w:tab w:leader="none" w:pos="1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Permanent difference and other primarily represented tax effect on the intercompany transactions.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32" w:name="page133"/>
    <w:bookmarkEnd w:id="13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TAXES - continued</w:t>
      </w:r>
    </w:p>
    <w:p>
      <w:pPr>
        <w:spacing w:after="0" w:line="225" w:lineRule="exact"/>
        <w:rPr>
          <w:sz w:val="20"/>
          <w:szCs w:val="20"/>
          <w:color w:val="auto"/>
        </w:rPr>
      </w:pPr>
    </w:p>
    <w:p>
      <w:pPr>
        <w:ind w:left="580" w:hanging="572"/>
        <w:spacing w:after="0"/>
        <w:tabs>
          <w:tab w:leader="none" w:pos="5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 consists of the following:</w:t>
      </w:r>
    </w:p>
    <w:p>
      <w:pPr>
        <w:spacing w:after="0" w:line="2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8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provision</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(221,114)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(96,713)</w:t>
            </w:r>
          </w:p>
        </w:tc>
        <w:tc>
          <w:tcPr>
            <w:tcW w:w="0" w:type="dxa"/>
            <w:vAlign w:val="bottom"/>
          </w:tcPr>
          <w:p>
            <w:pPr>
              <w:spacing w:after="0"/>
              <w:rPr>
                <w:sz w:val="1"/>
                <w:szCs w:val="1"/>
                <w:color w:val="auto"/>
              </w:rPr>
            </w:pPr>
          </w:p>
        </w:tc>
      </w:tr>
      <w:tr>
        <w:trPr>
          <w:trHeight w:val="27"/>
        </w:trPr>
        <w:tc>
          <w:tcPr>
            <w:tcW w:w="62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provision (benefit) for income tax expenses</w:t>
            </w:r>
          </w:p>
        </w:tc>
        <w:tc>
          <w:tcPr>
            <w:tcW w:w="2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vMerge w:val="continue"/>
            <w:shd w:val="clear" w:color="auto" w:fill="CCEEFF"/>
          </w:tcPr>
          <w:p>
            <w:pPr>
              <w:spacing w:after="0"/>
              <w:rPr>
                <w:sz w:val="21"/>
                <w:szCs w:val="21"/>
                <w:color w:val="auto"/>
              </w:rPr>
            </w:pPr>
          </w:p>
        </w:tc>
        <w:tc>
          <w:tcPr>
            <w:tcW w:w="27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(118,546</w:t>
            </w:r>
          </w:p>
        </w:tc>
        <w:tc>
          <w:tcPr>
            <w:tcW w:w="140" w:type="dxa"/>
            <w:vAlign w:val="bottom"/>
            <w:vMerge w:val="continue"/>
            <w:shd w:val="clear" w:color="auto" w:fill="CCEEFF"/>
          </w:tcPr>
          <w:p>
            <w:pPr>
              <w:spacing w:after="0"/>
              <w:rPr>
                <w:sz w:val="21"/>
                <w:szCs w:val="21"/>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269,153</w:t>
            </w:r>
          </w:p>
        </w:tc>
        <w:tc>
          <w:tcPr>
            <w:tcW w:w="0" w:type="dxa"/>
            <w:vAlign w:val="bottom"/>
          </w:tcPr>
          <w:p>
            <w:pPr>
              <w:spacing w:after="0"/>
              <w:rPr>
                <w:sz w:val="1"/>
                <w:szCs w:val="1"/>
                <w:color w:val="auto"/>
              </w:rPr>
            </w:pPr>
          </w:p>
        </w:tc>
      </w:tr>
      <w:tr>
        <w:trPr>
          <w:trHeight w:val="21"/>
        </w:trPr>
        <w:tc>
          <w:tcPr>
            <w:tcW w:w="62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As of June 30, 2017, the tax years ended December 31, 2011 through December 31, 2016 for the Company’s PRC entities remain open for statutory examination by PRC tax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taxes reflect the net tax effects of temporary differences between the carrying amount of assets and liabilities for financial reporting purposes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the amounts used for income tax purposes. As of June 30, 2017 and 2016, the Company had net operating loss carry forwards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$1,234,500 and $131,500, respectively, from the Company’s PRC subsidiaries, which will expire by December 31, 2021. As of June 30, 2017,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had net operating loss carry forwards of approximately $415,800, $40,600 and $200,200 from its operations in Singapore, Australia and Hong Kong,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 The net operating losses in Singapore, Australia and Hong Kong will be carried forward indefinitely.</w:t>
      </w:r>
    </w:p>
    <w:p>
      <w:pPr>
        <w:sectPr>
          <w:pgSz w:w="11900" w:h="16838" w:orient="portrait"/>
          <w:cols w:equalWidth="0" w:num="1">
            <w:col w:w="11420"/>
          </w:cols>
          <w:pgMar w:left="240" w:top="226"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components of the deferred tax assets are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operating loss carry 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expenses and other</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r>
      <w:tr>
        <w:trPr>
          <w:trHeight w:val="241"/>
        </w:trPr>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r>
      <w:tr>
        <w:trPr>
          <w:trHeight w:val="431"/>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423,543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81,839</w:t>
            </w:r>
          </w:p>
        </w:tc>
      </w:tr>
      <w:tr>
        <w:trPr>
          <w:trHeight w:val="237"/>
        </w:trPr>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81,839</w:t>
            </w:r>
          </w:p>
        </w:tc>
      </w:tr>
    </w:tbl>
    <w:p>
      <w:pPr>
        <w:spacing w:after="0" w:line="200" w:lineRule="exact"/>
        <w:rPr>
          <w:sz w:val="20"/>
          <w:szCs w:val="20"/>
          <w:color w:val="auto"/>
        </w:rPr>
      </w:pPr>
    </w:p>
    <w:p>
      <w:pPr>
        <w:sectPr>
          <w:pgSz w:w="11900" w:h="16838" w:orient="portrait"/>
          <w:cols w:equalWidth="0" w:num="2">
            <w:col w:w="8100" w:space="720"/>
            <w:col w:w="2600"/>
          </w:cols>
          <w:pgMar w:left="240" w:top="226"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Unbilled accounts receivables</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(62,855)</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contract cost</w:t>
            </w:r>
          </w:p>
        </w:tc>
        <w:tc>
          <w:tcPr>
            <w:tcW w:w="3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(71,346)</w:t>
            </w:r>
          </w:p>
        </w:tc>
        <w:tc>
          <w:tcPr>
            <w:tcW w:w="3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(7,360)</w:t>
            </w:r>
          </w:p>
        </w:tc>
      </w:tr>
      <w:tr>
        <w:trPr>
          <w:trHeight w:val="210"/>
        </w:trPr>
        <w:tc>
          <w:tcPr>
            <w:tcW w:w="558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(134,201</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(7,360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55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5580" w:type="dxa"/>
            <w:vAlign w:val="bottom"/>
          </w:tcPr>
          <w:p>
            <w:pPr>
              <w:ind w:left="180"/>
              <w:spacing w:after="0"/>
              <w:rPr>
                <w:sz w:val="20"/>
                <w:szCs w:val="20"/>
                <w:color w:val="auto"/>
              </w:rPr>
            </w:pPr>
            <w:r>
              <w:rPr>
                <w:rFonts w:ascii="Arial" w:cs="Arial" w:eastAsia="Arial" w:hAnsi="Arial"/>
                <w:sz w:val="18"/>
                <w:szCs w:val="18"/>
                <w:color w:val="auto"/>
              </w:rPr>
              <w:t>Total deferred tax assets, net</w:t>
            </w:r>
          </w:p>
        </w:tc>
        <w:tc>
          <w:tcPr>
            <w:tcW w:w="3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298,953</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74,479</w:t>
            </w:r>
          </w:p>
        </w:tc>
        <w:tc>
          <w:tcPr>
            <w:tcW w:w="80" w:type="dxa"/>
            <w:vAlign w:val="bottom"/>
          </w:tcPr>
          <w:p>
            <w:pPr>
              <w:spacing w:after="0"/>
              <w:rPr>
                <w:sz w:val="22"/>
                <w:szCs w:val="22"/>
                <w:color w:val="auto"/>
              </w:rPr>
            </w:pPr>
          </w:p>
        </w:tc>
      </w:tr>
      <w:tr>
        <w:trPr>
          <w:trHeight w:val="21"/>
        </w:trPr>
        <w:tc>
          <w:tcPr>
            <w:tcW w:w="5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ultimate realization of deferred tax assets is dependent upon the generation of future taxable income during the periods in which those temporary differences become deductible. Management considers the cumulative earnings and projected future taxable income in making this assessment. Recovery of substantially all of the group’s deferred tax assets is dependent upon the generation of future income, exclusive of reversing taxable temporary differences. Based upon the level of historical taxable income and projections for future taxable income over the periods in which the deferred tax assets are recoverable, management believes that it is more likely than not that the results of future operations will generate sufficient taxable income to realize the deferred tax assets as at June 30, 2017 and 2016.</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33" w:name="page134"/>
    <w:bookmarkEnd w:id="13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TAXES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6020" w:type="dxa"/>
            <w:vAlign w:val="bottom"/>
          </w:tcPr>
          <w:p>
            <w:pPr>
              <w:ind w:left="180"/>
              <w:spacing w:after="0"/>
              <w:rPr>
                <w:sz w:val="20"/>
                <w:szCs w:val="20"/>
                <w:color w:val="auto"/>
              </w:rPr>
            </w:pPr>
            <w:r>
              <w:rPr>
                <w:rFonts w:ascii="Arial" w:cs="Arial" w:eastAsia="Arial" w:hAnsi="Arial"/>
                <w:sz w:val="18"/>
                <w:szCs w:val="18"/>
                <w:b w:val="1"/>
                <w:bCs w:val="1"/>
                <w:color w:val="auto"/>
              </w:rPr>
              <w:t>Taxes Payable</w:t>
            </w: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spacing w:after="0"/>
              <w:rPr>
                <w:sz w:val="20"/>
                <w:szCs w:val="20"/>
                <w:color w:val="auto"/>
              </w:rPr>
            </w:pPr>
            <w:r>
              <w:rPr>
                <w:rFonts w:ascii="Arial" w:cs="Arial" w:eastAsia="Arial" w:hAnsi="Arial"/>
                <w:sz w:val="18"/>
                <w:szCs w:val="18"/>
                <w:color w:val="auto"/>
              </w:rPr>
              <w:t>The Company’s taxes payable consists of the following:</w:t>
            </w: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 tax payable</w:t>
            </w:r>
          </w:p>
        </w:tc>
        <w:tc>
          <w:tcPr>
            <w:tcW w:w="2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182,036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Corporate income tax payable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taxes payable</w:t>
            </w:r>
          </w:p>
        </w:tc>
        <w:tc>
          <w:tcPr>
            <w:tcW w:w="2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458,828</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 taxes payable</w:t>
            </w:r>
          </w:p>
        </w:tc>
        <w:tc>
          <w:tcPr>
            <w:tcW w:w="2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gridSpan w:val="2"/>
            <w:vMerge w:val="continue"/>
          </w:tcPr>
          <w:p>
            <w:pPr>
              <w:spacing w:after="0"/>
              <w:rPr>
                <w:sz w:val="20"/>
                <w:szCs w:val="20"/>
                <w:color w:val="auto"/>
              </w:rPr>
            </w:pPr>
          </w:p>
        </w:tc>
        <w:tc>
          <w:tcPr>
            <w:tcW w:w="2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640,864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428,675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Uncertain tax positions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evaluates each uncertain tax position (including the potential application of interest and penalties) based on the technical merits, and measure the unrecognized benefits associated with the tax positions. As of June 30, 2017 and 2016, the Company did not have any significant unrecognized uncertain tax positions. The Company did not incur any interest and penalties related to potential underpaid income tax expenses for the years ended June 30, 2017 and 2016, respectively, and also does not anticipate any significant increases or decreases in unrecognized tax benefits in the next 12 months from June 30,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Company’s subsidiaries lease administrative office space under various operating leases. Rent expense amounted to $565,328 and $431,043 for the years ended June 30,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operating leases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r>
              <w:rPr>
                <w:rFonts w:ascii="Arial" w:cs="Arial" w:eastAsia="Arial" w:hAnsi="Arial"/>
                <w:sz w:val="18"/>
                <w:szCs w:val="18"/>
                <w:b w:val="1"/>
                <w:bCs w:val="1"/>
                <w:color w:val="auto"/>
              </w:rPr>
              <w:t>Twelve months ending June 30,</w:t>
            </w:r>
          </w:p>
        </w:tc>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Lease expense</w:t>
            </w:r>
          </w:p>
        </w:tc>
      </w:tr>
      <w:tr>
        <w:trPr>
          <w:trHeight w:val="216"/>
        </w:trPr>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2019</w:t>
            </w: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374,234</w:t>
            </w:r>
          </w:p>
        </w:tc>
      </w:tr>
      <w:tr>
        <w:trPr>
          <w:trHeight w:val="250"/>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6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6520" w:type="dxa"/>
            <w:vAlign w:val="bottom"/>
            <w:gridSpan w:val="3"/>
          </w:tcPr>
          <w:p>
            <w:pPr>
              <w:jc w:val="right"/>
              <w:ind w:right="15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931,047</w:t>
            </w:r>
          </w:p>
        </w:tc>
      </w:tr>
      <w:tr>
        <w:trPr>
          <w:trHeight w:val="21"/>
        </w:trPr>
        <w:tc>
          <w:tcPr>
            <w:tcW w:w="39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9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3"/>
          </w:tcPr>
          <w:p>
            <w:pPr>
              <w:jc w:val="right"/>
              <w:ind w:right="4517"/>
              <w:spacing w:after="0"/>
              <w:rPr>
                <w:sz w:val="20"/>
                <w:szCs w:val="20"/>
                <w:color w:val="auto"/>
              </w:rPr>
            </w:pPr>
            <w:r>
              <w:rPr>
                <w:rFonts w:ascii="Arial" w:cs="Arial" w:eastAsia="Arial" w:hAnsi="Arial"/>
                <w:sz w:val="18"/>
                <w:szCs w:val="18"/>
                <w:color w:val="auto"/>
              </w:rPr>
              <w:t>F-29</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34" w:name="page135"/>
    <w:bookmarkEnd w:id="13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CLPS was established under the laws of Cayman Islands on May 11, 2017. The original authorized number of common shares was 1 share with a par value of $1. After an amendment on December 7, 2017, the authorized number of common shares became 100,000,000 shares with a par value of $0.0001 each. As of June 30, 2017 and 2016, 11,290,000 shares were issued at par value, the equivalent to share capital of $1,129 for each of the year ended 2017 and 2016. The shares are presented on a retroactive basis to reflect the nominal share issuance discussed below.</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December 7, 2017, in order to optimize the Company’s share capital structure, the Board of Directors approved a stock split of the Company’s issued and outstanding shares of common shares at a ratio of 1-10,000. After the stock split, the Company’s issued and outstanding common shares became 10,000 shares with par value of $0.0001. The Board of Directors also approved to amend the articles of association (the “Amendment”) to increase total authorized number of common shares from 10,000 shares to 100,000,000 shares with par value of $0.0001. In connection with the Amendment, the Board of Directors further approved to issue 11,280,000 common shares at par value (the “Nominal share issuance”) to the existing shareholders of the Company. As a result, the existing shareholders of the Company have the same equity interests percentage in the Company as in CLPS shanghai prior to the reorganization. The Company believes it is appropriate to reflect the stock split, Amendment and the Nominal share issuance on a retroactive basis similar to share split, in accordance with SEC SAB Topic 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paid-in capital</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June 30, 2017 and 2016, additional paid-in capital in the consolidated balance sheet represented the combined contributed capital of the Company’s subsidiaries.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year ended June 30, 2016, the Company’s controlling shareholders contributed additional capital in the aggregate of $3,377,813 to CLPS Shanghai, which was included in additional paid-in capital.</w:t>
      </w:r>
    </w:p>
    <w:p>
      <w:pPr>
        <w:spacing w:after="0" w:line="17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For the year ended June 30, 2016, CLPS Shanghai had a recapitalization. CLPS Shanghai’s accumulated retained earnings and statutory reserve in the aggregate was $1,051,952 which was reclassified to additional paid – in capital in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reserve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subsidiaries located in mainland China are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$261,949 and $429,439 to statutory reserves during the years ended June 30, 2017 and 2016, respectively in accordance with PRC GAAP.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NON-CONTROLLING INTERESTS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CLPS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CLPS</w:t>
            </w:r>
          </w:p>
        </w:tc>
        <w:tc>
          <w:tcPr>
            <w:tcW w:w="140" w:type="dxa"/>
            <w:vAlign w:val="bottom"/>
          </w:tcPr>
          <w:p>
            <w:pPr>
              <w:spacing w:after="0"/>
              <w:rPr>
                <w:sz w:val="18"/>
                <w:szCs w:val="18"/>
                <w:color w:val="auto"/>
              </w:rPr>
            </w:pPr>
          </w:p>
        </w:tc>
        <w:tc>
          <w:tcPr>
            <w:tcW w:w="1320" w:type="dxa"/>
            <w:vAlign w:val="bottom"/>
            <w:gridSpan w:val="3"/>
          </w:tcPr>
          <w:p>
            <w:pPr>
              <w:jc w:val="right"/>
              <w:ind w:right="605"/>
              <w:spacing w:after="0"/>
              <w:rPr>
                <w:sz w:val="20"/>
                <w:szCs w:val="20"/>
                <w:color w:val="auto"/>
              </w:rPr>
            </w:pPr>
            <w:r>
              <w:rPr>
                <w:rFonts w:ascii="Arial" w:cs="Arial" w:eastAsia="Arial" w:hAnsi="Arial"/>
                <w:sz w:val="18"/>
                <w:szCs w:val="18"/>
                <w:b w:val="1"/>
                <w:bCs w:val="1"/>
                <w:color w:val="auto"/>
              </w:rPr>
              <w:t>CLPS</w:t>
            </w:r>
          </w:p>
        </w:tc>
        <w:tc>
          <w:tcPr>
            <w:tcW w:w="14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CLPS</w:t>
            </w:r>
          </w:p>
        </w:tc>
        <w:tc>
          <w:tcPr>
            <w:tcW w:w="1380" w:type="dxa"/>
            <w:vAlign w:val="bottom"/>
            <w:gridSpan w:val="3"/>
          </w:tcPr>
          <w:p>
            <w:pPr>
              <w:ind w:left="120"/>
              <w:spacing w:after="0"/>
              <w:rPr>
                <w:sz w:val="20"/>
                <w:szCs w:val="20"/>
                <w:color w:val="auto"/>
              </w:rPr>
            </w:pPr>
            <w:r>
              <w:rPr>
                <w:rFonts w:ascii="Arial" w:cs="Arial" w:eastAsia="Arial" w:hAnsi="Arial"/>
                <w:sz w:val="18"/>
                <w:szCs w:val="18"/>
                <w:b w:val="1"/>
                <w:bCs w:val="1"/>
                <w:color w:val="auto"/>
              </w:rPr>
              <w:t>Judge</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RC</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Beijing</w:t>
            </w:r>
          </w:p>
        </w:tc>
        <w:tc>
          <w:tcPr>
            <w:tcW w:w="140" w:type="dxa"/>
            <w:vAlign w:val="bottom"/>
          </w:tcPr>
          <w:p>
            <w:pPr>
              <w:spacing w:after="0"/>
              <w:rPr>
                <w:sz w:val="20"/>
                <w:szCs w:val="20"/>
                <w:color w:val="auto"/>
              </w:rPr>
            </w:pPr>
          </w:p>
        </w:tc>
        <w:tc>
          <w:tcPr>
            <w:tcW w:w="1320" w:type="dxa"/>
            <w:vAlign w:val="bottom"/>
            <w:gridSpan w:val="3"/>
          </w:tcPr>
          <w:p>
            <w:pPr>
              <w:jc w:val="right"/>
              <w:ind w:right="445"/>
              <w:spacing w:after="0"/>
              <w:rPr>
                <w:sz w:val="20"/>
                <w:szCs w:val="20"/>
                <w:color w:val="auto"/>
              </w:rPr>
            </w:pPr>
            <w:r>
              <w:rPr>
                <w:rFonts w:ascii="Arial" w:cs="Arial" w:eastAsia="Arial" w:hAnsi="Arial"/>
                <w:sz w:val="18"/>
                <w:szCs w:val="18"/>
                <w:b w:val="1"/>
                <w:bCs w:val="1"/>
                <w:color w:val="auto"/>
                <w:w w:val="91"/>
              </w:rPr>
              <w:t>Shenzhen</w:t>
            </w:r>
          </w:p>
        </w:tc>
        <w:tc>
          <w:tcPr>
            <w:tcW w:w="14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0"/>
              </w:rPr>
              <w:t>Hong Kong</w:t>
            </w:r>
          </w:p>
        </w:tc>
        <w:tc>
          <w:tcPr>
            <w:tcW w:w="1380" w:type="dxa"/>
            <w:vAlign w:val="bottom"/>
            <w:gridSpan w:val="3"/>
          </w:tcPr>
          <w:p>
            <w:pPr>
              <w:ind w:left="140"/>
              <w:spacing w:after="0"/>
              <w:rPr>
                <w:sz w:val="20"/>
                <w:szCs w:val="20"/>
                <w:color w:val="auto"/>
              </w:rPr>
            </w:pPr>
            <w:r>
              <w:rPr>
                <w:rFonts w:ascii="Arial" w:cs="Arial" w:eastAsia="Arial" w:hAnsi="Arial"/>
                <w:sz w:val="18"/>
                <w:szCs w:val="18"/>
                <w:b w:val="1"/>
                <w:bCs w:val="1"/>
                <w:color w:val="auto"/>
              </w:rPr>
              <w:t>China</w:t>
            </w:r>
          </w:p>
        </w:tc>
        <w:tc>
          <w:tcPr>
            <w:tcW w:w="10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July 1, 2015</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(41,141)</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(41,141)</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 contribution from non-controlling</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 (i)</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46,919</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46,919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Repurchase of non-controlling interest (ii)</w:t>
            </w: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(1,402)</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June 30, 2016</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157,775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Capital contribution from non-controlling</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shareholders (iii)</w:t>
            </w: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6,438</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290,994</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297,432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June 30, 2017</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42,283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(13,648</w:t>
            </w:r>
          </w:p>
        </w:tc>
        <w:tc>
          <w:tcPr>
            <w:tcW w:w="2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449,453</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477,110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the year ended June 30, 2016, the non-controlling shareholder of CLPS Beijing contributed $46,919 to CLPS Beijing.</w:t>
      </w:r>
    </w:p>
    <w:p>
      <w:pPr>
        <w:spacing w:after="0" w:line="225" w:lineRule="exact"/>
        <w:rPr>
          <w:rFonts w:ascii="Arial" w:cs="Arial" w:eastAsia="Arial" w:hAnsi="Arial"/>
          <w:sz w:val="18"/>
          <w:szCs w:val="18"/>
          <w:color w:val="auto"/>
        </w:rPr>
      </w:pPr>
    </w:p>
    <w:p>
      <w:pPr>
        <w:ind w:left="580" w:right="380" w:hanging="572"/>
        <w:spacing w:after="0" w:line="264"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the year ended June 30, 2016, the Company paid $6,987 to acquire a non-controlling interest in CLPS RC. After the acquisition, CLPS RC became a wholly owned subsidiary of the Company. The payment in excess of carrying value of the non-controlling interest amounted to $5,199, which was charge to additional paid in capital.</w:t>
      </w:r>
    </w:p>
    <w:p>
      <w:pPr>
        <w:sectPr>
          <w:pgSz w:w="11900" w:h="16838" w:orient="portrait"/>
          <w:cols w:equalWidth="0" w:num="1">
            <w:col w:w="11420"/>
          </w:cols>
          <w:pgMar w:left="240" w:top="226" w:right="239" w:bottom="838"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838" w:gutter="0" w:footer="0" w:header="0"/>
          <w:type w:val="continuous"/>
        </w:sectPr>
      </w:pPr>
    </w:p>
    <w:bookmarkStart w:id="135" w:name="page136"/>
    <w:bookmarkEnd w:id="13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NON-CONTROLLING INTERESTS - continued</w:t>
      </w:r>
    </w:p>
    <w:p>
      <w:pPr>
        <w:spacing w:after="0" w:line="229" w:lineRule="exact"/>
        <w:rPr>
          <w:sz w:val="20"/>
          <w:szCs w:val="20"/>
          <w:color w:val="auto"/>
        </w:rPr>
      </w:pPr>
    </w:p>
    <w:p>
      <w:pPr>
        <w:ind w:left="580" w:hanging="572"/>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the year ended June 30, 2017, the non-controlling shareholder of CLPS Hong Kong contributed $6,438 as capital.</w:t>
      </w:r>
    </w:p>
    <w:p>
      <w:pPr>
        <w:spacing w:after="0" w:line="225" w:lineRule="exact"/>
        <w:rPr>
          <w:rFonts w:ascii="Arial" w:cs="Arial" w:eastAsia="Arial" w:hAnsi="Arial"/>
          <w:sz w:val="18"/>
          <w:szCs w:val="18"/>
          <w:color w:val="auto"/>
        </w:rPr>
      </w:pPr>
    </w:p>
    <w:p>
      <w:pPr>
        <w:ind w:left="580" w:right="160" w:hanging="572"/>
        <w:spacing w:after="0" w:line="277"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 November 9, 2016, CLPS Shanghai acquired 60% of Judge China and its 70% owned subsidiary Judge HR from Judge Asia. As a result, the fair value of non-controlling interests was $290,994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 AND REVENUE ANALYSIS</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follows ASC 280, Segment Reporting,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 The Company has one operating segment. The Company’s revenue and net income are substantially derived from enterprise application services and financial industry IT services.</w:t>
      </w:r>
    </w:p>
    <w:p>
      <w:pPr>
        <w:spacing w:after="0" w:line="18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Company’s operations are primarily based in China, where the Company derives a substantial portion of their revenues. For the year ended June 30, 2017, revenues generated in mainland China, Hong Kong and Australia were $30,822,390, $362,892 and $176,694, respectively. For year ended June 30, 2016, all revenues were generated in mainland China.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the service lines for the years ended June 30, 2017 and 2016.</w:t>
      </w:r>
    </w:p>
    <w:p>
      <w:pPr>
        <w:spacing w:after="0" w:line="2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40" w:type="dxa"/>
            <w:vAlign w:val="bottom"/>
            <w:tcBorders>
              <w:bottom w:val="single" w:sz="8" w:color="CCEEFF"/>
            </w:tcBorders>
          </w:tcPr>
          <w:p>
            <w:pPr>
              <w:spacing w:after="0"/>
              <w:rPr>
                <w:sz w:val="21"/>
                <w:szCs w:val="21"/>
                <w:color w:val="auto"/>
              </w:rPr>
            </w:pPr>
          </w:p>
        </w:tc>
        <w:tc>
          <w:tcPr>
            <w:tcW w:w="3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Fintech IT consulting service</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29,146,470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28,015,173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1,846,423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927,185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369,083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3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31,361,976</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29,024,178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On July 25, 2017, the Company incorporated CLIVST as a holding company in BVI. On September 27, 2017 and October 24, 2017, the Company incorporated CLPS Guangzhou in Guangzhou, PRC and FDT-CL in Hong Kong to develop business in the related area.</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September 27, 2017, the Company and a non-controlling interest shareholder of CLPS Beijing incorporated Tianjin Huanyu Qinshang network technology Co., Ltd (“Huan Yu”). The Company subscribed 30% of equity interest in Huan Yu for $0.4 million. The Company planned to complete the capital injection of $0.4 million by the end of 2017.</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October 17, 2017, the Company invested approximately $0.07 million in JQ for its 55% equity interest. JQ and its 100% owned subsidiary – JL operates a software consulting business in Taiwan. The Company believes that these investments could offer new opportunities for operational synergies in the related markets.</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November 18, 2017, the Board of Directors (“Board”) approved the 2017 Stock Incentive Plan (“Plan”), subject to approval by the Company’s shareholders. The Plan is a stock-based compensation plan that provides for discretionary grants of, among others, stock options, stock awards and stock unit awards to key employees and directors of the Company. The purpose of the Plan is to recognize contributions made to our company and its subsidiaries by such individuals and to provide them with additional incentive to achieve the objectives of our Company. The Board authorized up to 2,210,000 shares for grants under the terms of the Plan. The grants under the Plan generally have a maximum contractual term of ten years from the date of grant. Stock awards granted under the plan at the determination of the Board shall be effective and exercisable upon the Company’ completion of an initial public offering of its securities. The terms of individual agreements for various grants under the Plan will be determined by the Board (or its Compensation Committee) and might contain both service and performance conditions.</w:t>
      </w:r>
    </w:p>
    <w:p>
      <w:pPr>
        <w:spacing w:after="0" w:line="17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Effective on December 9, 2017, the Board appointed Mr. Xiao Feng Yang as the Company’s chairman and president, Mr. Raymond Ming Hui Lin as the Company’s chief executive officer (“CEO”) and director and Ms. Tian van Acken as the Company’s chief financial officer (“CFO”). Their employment term is five years starting on December 9, 2017. Mr. Xiao Feng Yang, Mr. Raymond Ming Hui Lin and Ms. Tian van Acken’s basic annual compensations are approximately $94,100, $71,400 and $93,010, respectively, with annual bonuses determined based on the sole direction of the Compensation Committee of the Board of Directors in accordance with criteria established by the Compensation Committee of the Board.</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accompanying consolidated financial statements were approved by management and available for issuance on January 19, 2018. The Company evaluated subsequent events through the date these consolidated financial statements were available for issuance.</w:t>
      </w:r>
    </w:p>
    <w:p>
      <w:pPr>
        <w:sectPr>
          <w:pgSz w:w="11900" w:h="16838" w:orient="portrait"/>
          <w:cols w:equalWidth="0" w:num="1">
            <w:col w:w="11420"/>
          </w:cols>
          <w:pgMar w:left="240" w:top="226" w:right="239" w:bottom="1149"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149" w:gutter="0" w:footer="0" w:header="0"/>
          <w:type w:val="continuous"/>
        </w:sectPr>
      </w:pPr>
    </w:p>
    <w:bookmarkStart w:id="136" w:name="page137"/>
    <w:bookmarkEnd w:id="13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556260</wp:posOffset>
            </wp:positionV>
            <wp:extent cx="2358390" cy="11747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5839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[_]</w:t>
      </w:r>
    </w:p>
    <w:p>
      <w:pPr>
        <w:spacing w:after="0" w:line="200" w:lineRule="exact"/>
        <w:rPr>
          <w:sz w:val="20"/>
          <w:szCs w:val="20"/>
          <w:color w:val="auto"/>
        </w:rPr>
      </w:pPr>
    </w:p>
    <w:p>
      <w:pPr>
        <w:spacing w:after="0" w:line="24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Until [_], [_] (25 days after commencement of our initial public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963930</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0"/>
          </w:cols>
          <w:pgMar w:left="240" w:top="226" w:right="699" w:bottom="1440" w:gutter="0" w:footer="0" w:header="0"/>
        </w:sectPr>
      </w:pPr>
    </w:p>
    <w:bookmarkStart w:id="137" w:name="page138"/>
    <w:bookmarkEnd w:id="13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93"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Since our inception, we issued [●] shares in the aggregate to [●] shareholders upon the reorganization of our company and in transactions that were not required to be registered under the Securities Act. All such share issuances were deemed to be exempt under the Securities Act by virtue of Section 4(2) thereof as transactions not involving any public offering. In addition, certain share issuances were deemed not to fall within Section 5 under the Securities Act and to be further exempt under Rule 901 and 903 of Regulation S promulgated thereunder by virtue of being issuances of securities by non-U.S. companies to non-U.S. citizens or residents, conducted outside the United States and not using any element of interstate commerce.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below lists all of the securities related to CLPS Shanghai since CLPS Shanghai was registered: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ChinaLink Professional Services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30, 2005, Jingsu Pan and Xiaochun Deng agreed to establish ChinaLink Professional Services Co., Ltd. (“CLPS Shanghai”) and signed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CLPS Shanghai’s Articles of Association. Pursuant to the Articles of Association, Jingsu Pan and Xiaochun Deng agreed to invested RMB250,000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US$30,881) in cash for 50% of equity interests in CLPS Shanghai, and the total registered capital of CLPS Shanghai was RMB500,000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US$61,763).</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December 5, 2005, Jingsu Pan and Xiaochun Deng signed the Resolution of the Board of Shareholders and agreed to increase CLPS Shanghai’s registered capital to RMB1,000,000 (approximately US$123,671). Jingsu Pan and Xiaochun Deng respectively made full payment for their subscribed capital to RMB500,000 (approximately US$61,835).</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March 29, 2010, Yan Pan entered into a Share Purchase Agreement with Jingsu Pan pursuant to which Yan Pan purchased all of Jingsu Pan’s shares in CLPS Shanghai.</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October 19, 2010, Raymond Ming Hui Lin entered into a Share Purchase Agreement with Xiaochun Deng pursuant to which Raymond Ming Hui Lin purchased all of Xiaochun Deng’s shares in CLPS Shanghai.</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October 31, 2012, CLPS Shanghai increased its registered capital to RMB5,000,000 (approximately US$799,987). Yan Pan and Raymond Ming Hui Lin respectively made full payment for their subscribed capital to RMB2,500,000 (approximately US$399,993).</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October 30, 2013, Xiao Feng Yang entered into a Share Purchase Agreement with Yan Pan pursuant to which Xiao Feng Yang purchased all of Yan Pan’s shares in CLPS Shanghai.</w:t>
      </w:r>
    </w:p>
    <w:p>
      <w:pPr>
        <w:spacing w:after="0" w:line="170"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On June 24, 2014, CLPS Shanghai increased its registered capital to RMB30,000,000 (approximately US$4,759,004). Xiao Feng Yang and Raymond Ming Hui Lin respectively made full payment for their subscribed capital to RMB15,000,000 (approximately US$2,379,502).</w:t>
      </w:r>
    </w:p>
    <w:p>
      <w:pPr>
        <w:spacing w:after="0" w:line="124" w:lineRule="exact"/>
        <w:rPr>
          <w:sz w:val="20"/>
          <w:szCs w:val="20"/>
          <w:color w:val="auto"/>
        </w:rPr>
      </w:pPr>
    </w:p>
    <w:p>
      <w:pPr>
        <w:ind w:right="660" w:firstLine="648"/>
        <w:spacing w:after="0" w:line="264" w:lineRule="auto"/>
        <w:rPr>
          <w:sz w:val="20"/>
          <w:szCs w:val="20"/>
          <w:color w:val="auto"/>
        </w:rPr>
      </w:pPr>
      <w:r>
        <w:rPr>
          <w:rFonts w:ascii="Arial" w:cs="Arial" w:eastAsia="Arial" w:hAnsi="Arial"/>
          <w:sz w:val="18"/>
          <w:szCs w:val="18"/>
          <w:color w:val="auto"/>
        </w:rPr>
        <w:t>On December 15, 2015, CLPS Shanghai changed its form into a PRC joint stock limited company. The share capital of CLPS Shanghai was RMB30,000,000, which was divided into 30,000,000 shares of RMB1.00 per share. Xiao Feng Yang and Raymond Ming Hui Lin respectively held 15,000,000 shares of CLPS Shanghai.</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May 16, 2016, CLPS Shanghai issued 3,870,000 shares to three limited partnerships (hereinto: 1,700,000 shares to Shanghai Qinyao Investment Partnership, 1,270,000 shares to Shanghai Qinzhi Investment Partnership, and 900,000 shares to Shanghai Qinshang Software Technology Counsel Partnership) of RMB1.00 per share. CLPS Shanghai’s registered capital was increased to RMB33,870,000.</w:t>
      </w:r>
    </w:p>
    <w:p>
      <w:pPr>
        <w:sectPr>
          <w:pgSz w:w="11900" w:h="16838" w:orient="portrait"/>
          <w:cols w:equalWidth="0" w:num="1">
            <w:col w:w="11400"/>
          </w:cols>
          <w:pgMar w:left="240" w:top="226" w:right="25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38" w:name="page139"/>
    <w:bookmarkEnd w:id="138"/>
    <w:p>
      <w:pPr>
        <w:ind w:left="6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July 18, 2017, three abovementioned limited partnerships transferred all their shares of CLPS Shanghai to their individual partners according to the proportion of each partner’s capital contribution. Total 47 individuals became shareholders of CLPS Shanghai.</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August 2017, Qiner Co., Ltd. (“Qiner”) entered into three Share Purchase Agreement with three non-Chinese individual shareholders of CLPS Shanghai pursuant to which the three non-Chinese individual shareholders of CLPS Shanghai were to sell all their shares of CLPS Shanghai to Qiner. The share transfer price was RMB1.00 per share.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November 2017, Shanghai Qincheng Information Technology Co., Ltd(“WOFE”) entered into 46 Share Purchase Agreement with all 46 Chinese individual shareholders of CLPS Shanghai pursuant to which the 46 non-Chinese individual shareholders of CLPS Shanghai were to sell all their shares of CLPS Shanghai to WOFE. The share transfer price was RMB1.00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Ruicheng Co., Ltd.</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On May 10, 2013, CLPS Ruicheng Co., Ltd. (“CLPS RC”) was established by Wenbin Li and CLPS Shanghai. Wenbin Li invested RMB45,000 (US$7,321) in cash for 45% of equity interests in CLPS RC, and CLPS Shanghai invested RMB55,000 (US$8,948) in cash for 55% of equity interests in CLPS RC. The total registered capital of CLPS RC was RMB100,000 (US$16,269).</w:t>
      </w:r>
    </w:p>
    <w:p>
      <w:pPr>
        <w:spacing w:after="0" w:line="18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On April 2, 2014, Wenbin Li and CLPS Shanghai signed/sealed the Resolution of the Board of Shareholders and agreed to increase CLPS RC’s registered capital to RMB10,000,000 (US$1,611,500). Wenbin Li increased his subscribed capital to RMB4,500,000 (US$725,175), and CLPS Shanghai increased its subscribed capital to RMB5,500,000 (US$886,325).</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November 17, 2015, Wenbin Li entered into a Share Purchase Agreement with CLPS Shanghai pursuant to which CLPS Shanghai purchased all of Wenbin Li’s shares in CLPS RC.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Dalian Co., Ltd.</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On May 28, 2011, CLPS Shanghai decided to establish CLPS Dalian Co., Ltd. (“CLPS Dalian”) and sealed its Articles of Association. CLPS Shanghai invested RMB100,000 (US$15,234) in cash for 100% of equity interests in CLPS Dalian, and the total registered capital of CLPS Dalian was RMB100,000 (US$15,234).</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On June 13, 2012, CLPS Dalian increased its registered capital to RMB1,000,000 (US$157,023). CLPS Shanghai made full payment for its subscribed capital to RMB1,000,000 (US$157,023).</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March 5, 2014, CLPS Dalian increased its registered capital to RMB2,000,000 (US$326,371). CLPS Shanghai increased its subscribed capital from RMB1,000,000 to RMB2,000,000 (US$326,371).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Beijing Hengtong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30, 2015, CLPS Beijing Hengtong Co., Ltd. (“CLPS Beijing”) was established by Jingwei Sun and CLPS Shanghai. Jingwei Sun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subscribed RMB3,000,000 (US$483,364) in cash for 30% of equity interests in CLPS Beijing, and CLPS Shanghai subscribed RMB7,000,000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(US$1,127,850) in cash for 70% of equity interests in CLPS Beijing. The total registered capital of CLPS Beijing was RMB10,000,000 (US$1,611,214).</w:t>
      </w:r>
    </w:p>
    <w:p>
      <w:pPr>
        <w:spacing w:after="0" w:line="22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March 20, 2016, Jingwei Sun and CLPS Shanghai signed/sealed the Resolution of the Board of Shareholders and agreed to reduce CLPS Beijing’s registered capital to RMB1,000,000 (US$154,603). Jingwei Sun reduced his subscribed capitial to RMB300,000 (US$46,381) and CLPS Shanghai reduced its subscribed capital to RMB700,000 (US$108,222).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Judge China &amp; Judge HR</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On November 9, 2016, CLPS Shanghai entered into a Share Purchase Agreement with JUDGE GROUP ASIA LIMITED pursuant to which CLPS Shanghai purchased 60% of JUDGE GROUP ASIA LIMITED’s shares in Judge (Shanghai) Co., Ltd. (“Judge China”) which is established by JUDGE GROUP ASIA LIMITED in November 23, 2010. The registered capital of Judge China was RMB18,630,000 (US$2,804,329).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20, 2012, Judge China and an unrelated company agreed to establish Judge (Shanghai) Human Resource Co., Ltd. (“Judge HR”).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Judge China subscribed RMB700,000 (US$111,048) for 70% of equity interests in Judge HR.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Shenzhen Co., Ltd.</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April 7, 2017, CLPS Shenzhen Co., Ltd. (“CLPS Shenzhen”) was established by CLPS Shanghai and CLPS Technology (HK) Co., Ltd. (“CLPS Hong Kong”). CLPS Shanghai subscribed RMB3,500,000 (US$507,408) for 70% of equity interests in CLPS Shenzhen, and CLPS Hong Kong subscribed RMB1,500,000 (US$217,461) for 30% of equity interests in CLPS Shenzhen. The total registered capital of CLPS Hong Kong was RMB5,000,000 (US$724,869).</w:t>
      </w:r>
    </w:p>
    <w:p>
      <w:pPr>
        <w:sectPr>
          <w:pgSz w:w="11900" w:h="16838" w:orient="portrait"/>
          <w:cols w:equalWidth="0" w:num="1">
            <w:col w:w="11300"/>
          </w:cols>
          <w:pgMar w:left="240" w:top="226"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type w:val="continuous"/>
        </w:sectPr>
      </w:pPr>
    </w:p>
    <w:bookmarkStart w:id="139" w:name="page140"/>
    <w:bookmarkEnd w:id="139"/>
    <w:p>
      <w:pPr>
        <w:ind w:left="6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Tianjin Huanyu Qinshang Network Technology Co., Ltd.</w:t>
      </w:r>
    </w:p>
    <w:p>
      <w:pPr>
        <w:spacing w:after="0" w:line="225"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On September 27, 2017, Tianjin Huanyu Qinshang Network Technology Co., Ltd. (“Huanyu”) was established by CLPS Shanghai and Jingwei Sun. CLPS Shanghai subscribed RMB3,000,000 (US$451,807) for 30% of equity interests in Huanyu, and Jingwei Sun subscribed RMB7,000,000 (US$1,054,217) for 70% of equity interests in Huanyu. The total registered capital of Huanyu was RMB10,000,000 (US$1,506,024).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Guangzhou Co., Ltd.</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On September 27, 2017, CLPS Guangzhou Co., Ltd. (“CLPS Guangzhou”) was established by CLPS Shanghai and Qiner Co., Limited (“Qiner”). CLPS Shanghai subscribed RMB510,000 (US$76,807) for 51% of equity interests in CLPS Guangzhou, and Qiner subscribed RMB490,000 (US$73,795) for 49% of equity interests in CLPS Guangzhou. The total registered capital of CLPS Guangzhou was RMB1,000,000 (US$150,602).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Technology (Australia) Pty. Ltd.</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November 10, 2015, CLPS Shanghai invested AUD200,000 (US$140,600) to establish CLPS Technology (Australia) Pty. Ltd. and CLPS held 100% of equity interests in CLPS AU.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Technology (Singapore) Pte. Ltd.</w:t>
      </w:r>
    </w:p>
    <w:p>
      <w:pPr>
        <w:spacing w:after="0" w:line="225"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On August 18, 2015, CLPS Shanghai invested SGD100,000 (US$71,149) to establish CLPS Technology (Singapore) Pte. Ltd. and CLPS held 100% of equity interests in CLPS SG.</w:t>
      </w:r>
    </w:p>
    <w:p>
      <w:pPr>
        <w:spacing w:after="0" w:line="17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On June 21, 2016, CLPS Shanghai decided to increase investment to SGD500,000 (US$372,606) and CLPS kept holding 100% of equity interests in CLPS SG.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Technology (HK) Co., Ltd.</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On January 7, 2016, CLPS Shanghai invested HKD200,000 (US$25,793) to establish CLPS Technology (HK) Co., Ltd. and CLPS held 100% of equity interests in CLPS Hong Kong.</w:t>
      </w:r>
    </w:p>
    <w:p>
      <w:pPr>
        <w:spacing w:after="0" w:line="170"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On November 24, 2016, Zhaolong Zhang invested HKD50,000 (US$6,447) in CLPS Hong Kong, and got 20% of equity interests in CLPS Hong Kong correspondingly. CLPS Shanghai held 80% of equity interests after the investment.</w:t>
      </w:r>
    </w:p>
    <w:p>
      <w:pPr>
        <w:spacing w:after="0" w:line="170"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On December 27, 2017, the Company entered into a one-year agreement with Ascent Investor Relations LLC (“Ascent”) pursuant to which Ascent was to provide certain investor relations consulting services to the Company. In addition to the cash fee of $6,000 per month, the Company agreed to issue to Ascent a five-year common share purchase warrant to purchase 107,000 shares of the Company’s common shares.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December 1, 2017, the Company entered into a financial advisory agreement with Gear Ltd. (“Gear”) pursuant to which Gear was to provide certain due diligence support, advisory, consulting, investor relations and other related services to the Company. In addition to the cash retainer fee of RMB 400,000 (US$59,003), the Company also agreed to issue to Gear a five-year common share purchase warrant to purchase 0.7% of the number of the common shares of the Company at closing of the contemplated IPO.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0" w:name="page141"/>
    <w:bookmarkEnd w:id="140"/>
    <w:p>
      <w:pPr>
        <w:ind w:left="6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 or incorporated by reference in this prospectus: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500" w:type="dxa"/>
            <w:vAlign w:val="bottom"/>
            <w:gridSpan w:val="5"/>
          </w:tcPr>
          <w:p>
            <w:pPr>
              <w:ind w:left="120"/>
              <w:spacing w:after="0"/>
              <w:rPr>
                <w:sz w:val="20"/>
                <w:szCs w:val="20"/>
                <w:color w:val="auto"/>
              </w:rPr>
            </w:pPr>
            <w:r>
              <w:rPr>
                <w:rFonts w:ascii="Arial" w:cs="Arial" w:eastAsia="Arial" w:hAnsi="Arial"/>
                <w:sz w:val="18"/>
                <w:szCs w:val="18"/>
                <w:color w:val="auto"/>
              </w:rPr>
              <w:t>Exhibit title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Form of Underwriting Agreement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Memorandum and Articles of Association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Specimen Share Certificate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Opinion of Ogier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8.1</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Opinion of Hansen &amp; Partners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8.2</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Opinion of Schiff Hardin LLP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0500" w:type="dxa"/>
            <w:vAlign w:val="bottom"/>
            <w:gridSpan w:val="5"/>
            <w:shd w:val="clear" w:color="auto" w:fill="CCEEFF"/>
          </w:tcPr>
          <w:p>
            <w:pPr>
              <w:ind w:left="120"/>
              <w:spacing w:after="0" w:line="176" w:lineRule="exact"/>
              <w:rPr>
                <w:sz w:val="20"/>
                <w:szCs w:val="20"/>
                <w:color w:val="auto"/>
              </w:rPr>
            </w:pPr>
            <w:r>
              <w:rPr>
                <w:rFonts w:ascii="Arial" w:cs="Arial" w:eastAsia="Arial" w:hAnsi="Arial"/>
                <w:sz w:val="18"/>
                <w:szCs w:val="18"/>
                <w:color w:val="0000EE"/>
              </w:rPr>
              <w:t>2017 Equity Incentive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Form independent director agreement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Employment Agreement between the Company and Xiao Feng Yang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Employment Agreement between the Company and Raymond Ming Hui Lin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Employment Agreement between the Company and Tian van Acken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ANZ Global Services and Operations (Chengdu) Company Limited Agreement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Master Lease Agreement - Shanghai Pudong Software Park Co., Ltd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Form of Framework Contract for Subcontracting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14.1</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Code of Conduct and Ethics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List of Subsidiaries of the Registrant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0500" w:type="dxa"/>
            <w:vAlign w:val="bottom"/>
            <w:gridSpan w:val="5"/>
            <w:shd w:val="clear" w:color="auto" w:fill="CCEEFF"/>
          </w:tcPr>
          <w:p>
            <w:pPr>
              <w:ind w:left="120"/>
              <w:spacing w:after="0" w:line="176" w:lineRule="exact"/>
              <w:rPr>
                <w:sz w:val="20"/>
                <w:szCs w:val="20"/>
                <w:color w:val="auto"/>
              </w:rPr>
            </w:pPr>
            <w:r>
              <w:rPr>
                <w:rFonts w:ascii="Arial" w:cs="Arial" w:eastAsia="Arial" w:hAnsi="Arial"/>
                <w:sz w:val="18"/>
                <w:szCs w:val="18"/>
                <w:color w:val="0000EE"/>
              </w:rPr>
              <w:t>Consent of Friedman LLP.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23.2</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Consent of Ogier (included in Exhibit 5.1)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23.3</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Consent of Hansen &amp; Partners (included in Exhibit 8.1)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23.4</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Consent of Schiff Hardin LLP (included in Exhibit 8.2)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0500" w:type="dxa"/>
            <w:vAlign w:val="bottom"/>
            <w:gridSpan w:val="5"/>
            <w:shd w:val="clear" w:color="auto" w:fill="CCEEFF"/>
          </w:tcPr>
          <w:p>
            <w:pPr>
              <w:ind w:left="120"/>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Charter of the Audit Committee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99.2</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Charter of the Compensation Committee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99.3</w:t>
            </w:r>
          </w:p>
        </w:tc>
        <w:tc>
          <w:tcPr>
            <w:tcW w:w="105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Charter of the Nominating Committee (1).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11" w:lineRule="exact"/>
        <w:rPr>
          <w:sz w:val="20"/>
          <w:szCs w:val="20"/>
          <w:color w:val="auto"/>
        </w:rPr>
      </w:pPr>
    </w:p>
    <w:p>
      <w:pPr>
        <w:ind w:left="660" w:right="8840" w:hanging="652"/>
        <w:spacing w:after="0" w:line="528" w:lineRule="auto"/>
        <w:tabs>
          <w:tab w:leader="none" w:pos="267" w:val="left"/>
        </w:tabs>
        <w:numPr>
          <w:ilvl w:val="0"/>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Statement Schedules </w:t>
      </w:r>
      <w:r>
        <w:rPr>
          <w:rFonts w:ascii="Arial" w:cs="Arial" w:eastAsia="Arial" w:hAnsi="Arial"/>
          <w:sz w:val="18"/>
          <w:szCs w:val="18"/>
          <w:color w:val="auto"/>
        </w:rPr>
        <w:t>None.</w:t>
      </w:r>
    </w:p>
    <w:p>
      <w:pPr>
        <w:sectPr>
          <w:pgSz w:w="11900" w:h="16838" w:orient="portrait"/>
          <w:cols w:equalWidth="0" w:num="1">
            <w:col w:w="11420"/>
          </w:cols>
          <w:pgMar w:left="240" w:top="226" w:right="2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41" w:name="page142"/>
    <w:bookmarkEnd w:id="141"/>
    <w:p>
      <w:pPr>
        <w:ind w:left="6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sz w:val="20"/>
          <w:szCs w:val="20"/>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firstLine="8"/>
        <w:spacing w:after="0" w:line="293" w:lineRule="auto"/>
        <w:tabs>
          <w:tab w:leader="none" w:pos="26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right="140" w:firstLine="8"/>
        <w:spacing w:after="0" w:line="277" w:lineRule="auto"/>
        <w:tabs>
          <w:tab w:leader="none" w:pos="3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 provide to the underwriter at the closing specified in the underwriting agreements certificates in such denominations and registered in such names as required by the underwriter to permit prompt delivery to each purchaser.</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sz w:val="20"/>
          <w:szCs w:val="20"/>
          <w:color w:val="auto"/>
        </w:rPr>
      </w:pPr>
    </w:p>
    <w:p>
      <w:pPr>
        <w:ind w:right="120" w:firstLine="8"/>
        <w:spacing w:after="0" w:line="277" w:lineRule="auto"/>
        <w:tabs>
          <w:tab w:leader="none" w:pos="2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170" w:lineRule="exact"/>
        <w:rPr>
          <w:rFonts w:ascii="Arial" w:cs="Arial" w:eastAsia="Arial" w:hAnsi="Arial"/>
          <w:sz w:val="18"/>
          <w:szCs w:val="18"/>
          <w:color w:val="auto"/>
        </w:rPr>
      </w:pPr>
    </w:p>
    <w:p>
      <w:pPr>
        <w:ind w:right="540" w:firstLine="8"/>
        <w:spacing w:after="0" w:line="277"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100" w:firstLine="8"/>
        <w:spacing w:after="0" w:line="277" w:lineRule="auto"/>
        <w:tabs>
          <w:tab w:leader="none" w:pos="31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380"/>
          </w:cols>
          <w:pgMar w:left="240" w:top="226" w:right="27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type w:val="continuous"/>
        </w:sectPr>
      </w:pPr>
    </w:p>
    <w:bookmarkStart w:id="142" w:name="page143"/>
    <w:bookmarkEnd w:id="142"/>
    <w:p>
      <w:pPr>
        <w:ind w:left="6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the People’s Republic of China, on [_], 2018.</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Dated: [_], 2018</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40" w:type="dxa"/>
            <w:vAlign w:val="bottom"/>
          </w:tcPr>
          <w:p>
            <w:pPr>
              <w:spacing w:after="0"/>
              <w:rPr>
                <w:sz w:val="22"/>
                <w:szCs w:val="22"/>
                <w:color w:val="auto"/>
              </w:rPr>
            </w:pPr>
          </w:p>
        </w:tc>
        <w:tc>
          <w:tcPr>
            <w:tcW w:w="456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4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Chairman, President and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[_], 2018</w:t>
            </w: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Xiao Feng Yang</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00"/>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[_], 2018</w:t>
            </w:r>
          </w:p>
        </w:tc>
      </w:tr>
      <w:tr>
        <w:trPr>
          <w:trHeight w:val="224"/>
        </w:trPr>
        <w:tc>
          <w:tcPr>
            <w:tcW w:w="4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19"/>
                <w:szCs w:val="19"/>
                <w:color w:val="auto"/>
              </w:rPr>
            </w:pP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5"/>
              </w:rPr>
              <w:t>Raymond Ming Hui Lin</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00"/>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[_], 2018</w:t>
            </w:r>
          </w:p>
        </w:tc>
      </w:tr>
      <w:tr>
        <w:trPr>
          <w:trHeight w:val="224"/>
        </w:trPr>
        <w:tc>
          <w:tcPr>
            <w:tcW w:w="4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(Principal Accounting and Financial Officer)</w:t>
            </w:r>
          </w:p>
        </w:tc>
        <w:tc>
          <w:tcPr>
            <w:tcW w:w="1820" w:type="dxa"/>
            <w:vAlign w:val="bottom"/>
          </w:tcPr>
          <w:p>
            <w:pPr>
              <w:spacing w:after="0"/>
              <w:rPr>
                <w:sz w:val="19"/>
                <w:szCs w:val="19"/>
                <w:color w:val="auto"/>
              </w:rPr>
            </w:pP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Tian van Acken</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1"/>
        </w:trPr>
        <w:tc>
          <w:tcPr>
            <w:tcW w:w="4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[_], 2018</w:t>
            </w: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9"/>
              </w:rPr>
              <w:t>Jin He Shao</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48"/>
        </w:trPr>
        <w:tc>
          <w:tcPr>
            <w:tcW w:w="4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[_], 2018</w:t>
            </w: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1"/>
              </w:rPr>
              <w:t>Kewei Huang</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48"/>
        </w:trPr>
        <w:tc>
          <w:tcPr>
            <w:tcW w:w="4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[_], 2018</w:t>
            </w: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4"/>
              </w:rPr>
              <w:t>Kathryn Amooi</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3" w:name="page144"/>
    <w:bookmarkEnd w:id="143"/>
    <w:p>
      <w:pPr>
        <w:ind w:left="6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the Company has signed this registration statement or amendment thereto in New York on [_], 2018.</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Authorized U.S. Representative</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VCorp Services,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25 Robert Pitt Drive, Suite 204</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Monsey, NY 10952</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(888) 528-2677</w:t>
      </w:r>
    </w:p>
    <w:p>
      <w:pPr>
        <w:spacing w:after="0" w:line="21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Isaac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Isaac Muller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Authorized Person</w:t>
      </w:r>
    </w:p>
    <w:p>
      <w:pPr>
        <w:spacing w:after="0" w:line="200" w:lineRule="exact"/>
        <w:rPr>
          <w:sz w:val="20"/>
          <w:szCs w:val="20"/>
          <w:color w:val="auto"/>
        </w:rPr>
      </w:pPr>
    </w:p>
    <w:p>
      <w:pPr>
        <w:spacing w:after="0" w:line="2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226" w:right="7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purpose of the CLPS Incorporation 2017 Equity Incentive Plan (the “Plan”) is to attract and retain outstanding individuals as Key Employees and Directors of the Company and its Subsidiaries, to recognize the contributions made to the Company and its Subsidiaries by Key Employees and Directors, and to provide such Key Employees and Directors with additional incentive to expand and improve the profits and achieve the objectives of the Company and its Subsidiaries, by providing such Key Employees and Directors with the opportunity to acquire or increase their proprietary interest in the Company through receipt of Awards.</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Award</w:t>
      </w:r>
      <w:r>
        <w:rPr>
          <w:rFonts w:ascii="Arial" w:cs="Arial" w:eastAsia="Arial" w:hAnsi="Arial"/>
          <w:sz w:val="18"/>
          <w:szCs w:val="18"/>
          <w:color w:val="auto"/>
        </w:rPr>
        <w:t>” means any award or benefit granted under the Plan, which shall be a Stock Option, a Stock Award, a Stock Bonus, a Stock Appreciation Right, or a Stock Unit Award.</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as applicable, a Stock Option Agreement, a Stock Award Agreement, a Stock Bonus Agreement, a Stock Appreciation Right Agreement, or Stock Unit Award Agreement evidencing an Award granted under the Plan.</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has the meaning set forth in Section 10 of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from time to time.</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such other committee as may be designated by the Board from time to time to administer the Plan, or, if no such committee has been designated at the time of any grants, it shall mean the Board.</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ordinary shares of the Company.</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CLPS Incorporation, a Cayman Islands corporation.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director of the Company who is not an employee of the Company or a Subsidiary.</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from time to time.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of the Shares on the national securities exchange on which the Shares are listed, or, if the Shares are not listed on a national securities exchange, the over-the-counter market on which the Shares trade, or, if the Shares are not listed on a national securities exchange or an over-the-counter market, as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5" w:name="page146"/>
    <w:bookmarkEnd w:id="145"/>
    <w:p>
      <w:pPr>
        <w:ind w:right="160" w:firstLine="648"/>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or “</w:t>
      </w:r>
      <w:r>
        <w:rPr>
          <w:rFonts w:ascii="Arial" w:cs="Arial" w:eastAsia="Arial" w:hAnsi="Arial"/>
          <w:sz w:val="18"/>
          <w:szCs w:val="18"/>
          <w:u w:val="single" w:color="auto"/>
          <w:color w:val="auto"/>
        </w:rPr>
        <w:t>ISO</w:t>
      </w:r>
      <w:r>
        <w:rPr>
          <w:rFonts w:ascii="Arial" w:cs="Arial" w:eastAsia="Arial" w:hAnsi="Arial"/>
          <w:sz w:val="18"/>
          <w:szCs w:val="18"/>
          <w:color w:val="auto"/>
        </w:rPr>
        <w:t>” means a Stock Option granted under Section 5 of the Plan that meets the requirements of Section 422(b) of the Code or any successor provision.</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Key Employee</w:t>
      </w:r>
      <w:r>
        <w:rPr>
          <w:rFonts w:ascii="Arial" w:cs="Arial" w:eastAsia="Arial" w:hAnsi="Arial"/>
          <w:sz w:val="18"/>
          <w:szCs w:val="18"/>
          <w:color w:val="auto"/>
        </w:rPr>
        <w:t>” means an employee of the Company or any Subsidiary selected to participate in the Plan in accordance with Section 3. A Key Employee may also include a person who is granted an Award (other than an Incentive Stock Option) in connection with the hiring of the person prior to the date the person becomes an employee of the Company or any Subsidiary, provided that such Award shall not vest prior to the commencement of employment.</w:t>
      </w:r>
    </w:p>
    <w:p>
      <w:pPr>
        <w:spacing w:after="0" w:line="18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or “</w:t>
      </w:r>
      <w:r>
        <w:rPr>
          <w:rFonts w:ascii="Arial" w:cs="Arial" w:eastAsia="Arial" w:hAnsi="Arial"/>
          <w:sz w:val="16"/>
          <w:szCs w:val="16"/>
          <w:u w:val="single" w:color="auto"/>
          <w:color w:val="auto"/>
        </w:rPr>
        <w:t>NSO</w:t>
      </w:r>
      <w:r>
        <w:rPr>
          <w:rFonts w:ascii="Arial" w:cs="Arial" w:eastAsia="Arial" w:hAnsi="Arial"/>
          <w:sz w:val="16"/>
          <w:szCs w:val="16"/>
          <w:color w:val="auto"/>
        </w:rPr>
        <w:t>” means a Stock Option granted under Section 5 of the Plan that is not an Incentive Stock Option.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 Key Employee or Director selected to receive an Award under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CLPS Incorporation 2017 Equity Incentive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Award</w:t>
      </w:r>
      <w:r>
        <w:rPr>
          <w:rFonts w:ascii="Arial" w:cs="Arial" w:eastAsia="Arial" w:hAnsi="Arial"/>
          <w:sz w:val="16"/>
          <w:szCs w:val="16"/>
          <w:color w:val="auto"/>
        </w:rPr>
        <w:t>” means a grant of the Shares under Section 6 of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Option</w:t>
      </w:r>
      <w:r>
        <w:rPr>
          <w:rFonts w:ascii="Arial" w:cs="Arial" w:eastAsia="Arial" w:hAnsi="Arial"/>
          <w:sz w:val="16"/>
          <w:szCs w:val="16"/>
          <w:color w:val="auto"/>
        </w:rPr>
        <w:t>” means an Incentive Stock Option or a Non-Qualified Stock Option granted under Section 5 of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Bonus</w:t>
      </w:r>
      <w:r>
        <w:rPr>
          <w:rFonts w:ascii="Arial" w:cs="Arial" w:eastAsia="Arial" w:hAnsi="Arial"/>
          <w:sz w:val="16"/>
          <w:szCs w:val="16"/>
          <w:color w:val="auto"/>
        </w:rPr>
        <w:t>” means a Stock Bonus grant under Section 7 of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means a Stock Appreciation Right grant under Section 8 of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Unit Award</w:t>
      </w:r>
      <w:r>
        <w:rPr>
          <w:rFonts w:ascii="Arial" w:cs="Arial" w:eastAsia="Arial" w:hAnsi="Arial"/>
          <w:sz w:val="16"/>
          <w:szCs w:val="16"/>
          <w:color w:val="auto"/>
        </w:rPr>
        <w:t>” means a grant of a right to receive Shares or cash under Section 9 of the Plan.</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Subsidiary</w:t>
      </w:r>
      <w:r>
        <w:rPr>
          <w:rFonts w:ascii="Arial" w:cs="Arial" w:eastAsia="Arial" w:hAnsi="Arial"/>
          <w:sz w:val="18"/>
          <w:szCs w:val="18"/>
          <w:color w:val="auto"/>
        </w:rPr>
        <w:t>” means an entity of which the Company is the direct or indirect beneficial owner of not less than 50% of all issued and outstanding equity interest of such entity.</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Administration.</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The Board</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Plan shall be administered by the Board; provided, however, that the Committee shall administer the Plan so long as the Committee is comprised of at least two members of the Board who satisfy the “non-employee director” definition set forth in Rule 16b-3 under the Exchange Act, unless the Board otherwise determines. For purposes of the Plan, the term “Board” shall refer to the Board or, to the extent the Committee is administering the Plan, and other than for purposes of Section 12.1, the Committee.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6" w:name="page147"/>
    <w:bookmarkEnd w:id="146"/>
    <w:p>
      <w:pPr>
        <w:ind w:left="660"/>
        <w:spacing w:after="0"/>
        <w:tabs>
          <w:tab w:leader="none" w:pos="11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Authority of the Board</w:t>
      </w:r>
      <w:r>
        <w:rPr>
          <w:rFonts w:ascii="Arial" w:cs="Arial" w:eastAsia="Arial" w:hAnsi="Arial"/>
          <w:sz w:val="16"/>
          <w:szCs w:val="16"/>
          <w:color w:val="auto"/>
        </w:rPr>
        <w:t>.</w:t>
      </w:r>
    </w:p>
    <w:p>
      <w:pPr>
        <w:spacing w:after="0" w:line="225" w:lineRule="exact"/>
        <w:rPr>
          <w:sz w:val="20"/>
          <w:szCs w:val="20"/>
          <w:color w:val="auto"/>
        </w:rPr>
      </w:pPr>
    </w:p>
    <w:p>
      <w:pPr>
        <w:ind w:left="660" w:firstLine="515"/>
        <w:spacing w:after="0" w:line="279" w:lineRule="auto"/>
        <w:tabs>
          <w:tab w:leader="none" w:pos="169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Board, in its sole discretion, shall determine the Key Employees and Directors to whom, and the time or times at which Awards will be granted, the form and amount of each Award, the expiration date of each Award, the time or times within which the Awards may be exercised, the cancellation of the Awards and the other limitations, restrictions, terms and conditions applicable to the grant of the Awards. The terms and conditions of the Awards need not be the same with respect to each Participant or with respect to each Award.</w:t>
      </w:r>
    </w:p>
    <w:p>
      <w:pPr>
        <w:spacing w:after="0" w:line="171" w:lineRule="exact"/>
        <w:rPr>
          <w:rFonts w:ascii="Arial" w:cs="Arial" w:eastAsia="Arial" w:hAnsi="Arial"/>
          <w:sz w:val="17"/>
          <w:szCs w:val="17"/>
          <w:color w:val="auto"/>
        </w:rPr>
      </w:pPr>
    </w:p>
    <w:p>
      <w:pPr>
        <w:jc w:val="both"/>
        <w:ind w:left="660" w:right="20" w:firstLine="515"/>
        <w:spacing w:after="0" w:line="279" w:lineRule="auto"/>
        <w:tabs>
          <w:tab w:leader="none" w:pos="17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the extent permitted by applicable law, regulation, and rules of a stock exchange on which the Shares are listed or traded, the Board may delegate its authority to grant Awards to Key Employees and to determine the terms and conditions thereof to such officer of the Company as it may determine in its discretion, on such terms and conditions as it may impose, except with respect to Awards to officers subject to Section 16 of the Exchange Act or officers who are or may be “covered employees” as defined in Section 162(m) of the Code.</w:t>
      </w:r>
    </w:p>
    <w:p>
      <w:pPr>
        <w:spacing w:after="0" w:line="171" w:lineRule="exact"/>
        <w:rPr>
          <w:rFonts w:ascii="Arial" w:cs="Arial" w:eastAsia="Arial" w:hAnsi="Arial"/>
          <w:sz w:val="17"/>
          <w:szCs w:val="17"/>
          <w:color w:val="auto"/>
        </w:rPr>
      </w:pPr>
    </w:p>
    <w:p>
      <w:pPr>
        <w:jc w:val="both"/>
        <w:ind w:left="660" w:right="260" w:firstLine="515"/>
        <w:spacing w:after="0" w:line="302" w:lineRule="auto"/>
        <w:tabs>
          <w:tab w:leader="none" w:pos="169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Board may, subject to the provisions of the Plan, establish such rules and regulations as it deems necessary or advisable for the proper administration of the Plan, and may make determinations and may take such other action in connection with or in relation to the Plan as it deems necessary or advisable. Each determination or other action made or taken pursuant to the Plan, including interpretation of the Plan and the specific terms and conditions of the Awards granted hereunder, shall be final and conclusive for all purposes and upon all persons.</w:t>
      </w:r>
    </w:p>
    <w:p>
      <w:pPr>
        <w:spacing w:after="0" w:line="154" w:lineRule="exact"/>
        <w:rPr>
          <w:rFonts w:ascii="Arial" w:cs="Arial" w:eastAsia="Arial" w:hAnsi="Arial"/>
          <w:sz w:val="16"/>
          <w:szCs w:val="16"/>
          <w:color w:val="auto"/>
        </w:rPr>
      </w:pPr>
    </w:p>
    <w:p>
      <w:pPr>
        <w:jc w:val="both"/>
        <w:ind w:left="660" w:right="20" w:firstLine="515"/>
        <w:spacing w:after="0" w:line="264" w:lineRule="auto"/>
        <w:tabs>
          <w:tab w:leader="none" w:pos="1703"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member of the Board or the Committee shall be liable for any action taken or determination made hereunder in good faith. Service on the Committee shall constitute service as a Director so that the members of the Committee shall be entitled to indemnification and reimbursement as Directors of the Company pursuant to the Company’s Certificate of Incorporation and By-Laws.</w:t>
      </w:r>
    </w:p>
    <w:p>
      <w:pPr>
        <w:spacing w:after="0" w:line="18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u w:val="single" w:color="auto"/>
          <w:color w:val="auto"/>
        </w:rPr>
        <w:t>Performance Goals.</w:t>
      </w:r>
    </w:p>
    <w:p>
      <w:pPr>
        <w:spacing w:after="0" w:line="225" w:lineRule="exact"/>
        <w:rPr>
          <w:sz w:val="20"/>
          <w:szCs w:val="20"/>
          <w:color w:val="auto"/>
        </w:rPr>
      </w:pPr>
    </w:p>
    <w:p>
      <w:pPr>
        <w:ind w:right="20" w:firstLine="1167"/>
        <w:spacing w:after="0" w:line="284" w:lineRule="auto"/>
        <w:rPr>
          <w:sz w:val="20"/>
          <w:szCs w:val="20"/>
          <w:color w:val="auto"/>
        </w:rPr>
      </w:pPr>
      <w:r>
        <w:rPr>
          <w:rFonts w:ascii="Arial" w:cs="Arial" w:eastAsia="Arial" w:hAnsi="Arial"/>
          <w:sz w:val="16"/>
          <w:szCs w:val="16"/>
          <w:color w:val="auto"/>
        </w:rPr>
        <w:t>The Board may, in its discretion, provide that any Award granted under the Plan shall be subject to performance goals. Performance goals may be based on one or more business criteria, including, but not limited to: (i) net earnings or net income (before or after taxes); (ii) earnings per share; (iii) net sales or revenue growth; (iv) net operating profit or income (including as a percentage of sales); (v) return measures (including, but not limited to, return on assets, capital, invested capital, equity, sales, or revenue); (vi) cash flow (including, but not limited to, operating cash flow, free cash flow, cash flow return on equity, and cash flow return on investment); (vii) earnings before or after taxes, interest, depreciation, and/or amortization; (viii) gross or operating margins; (ix) productivity ratios; (x) share price (including, but not limited to, growth measures and total shareholder return); (xi) cost control; (xii) margins;</w:t>
      </w:r>
    </w:p>
    <w:p>
      <w:pPr>
        <w:spacing w:after="0" w:line="5" w:lineRule="exact"/>
        <w:rPr>
          <w:sz w:val="20"/>
          <w:szCs w:val="20"/>
          <w:color w:val="auto"/>
        </w:rPr>
      </w:pPr>
    </w:p>
    <w:p>
      <w:pPr>
        <w:ind w:firstLine="8"/>
        <w:spacing w:after="0" w:line="267" w:lineRule="auto"/>
        <w:tabs>
          <w:tab w:leader="none" w:pos="405" w:val="left"/>
        </w:tabs>
        <w:numPr>
          <w:ilvl w:val="0"/>
          <w:numId w:val="79"/>
        </w:numPr>
        <w:rPr>
          <w:rFonts w:ascii="Arial" w:cs="Arial" w:eastAsia="Arial" w:hAnsi="Arial"/>
          <w:sz w:val="17"/>
          <w:szCs w:val="17"/>
          <w:color w:val="auto"/>
        </w:rPr>
      </w:pPr>
      <w:r>
        <w:rPr>
          <w:rFonts w:ascii="Arial" w:cs="Arial" w:eastAsia="Arial" w:hAnsi="Arial"/>
          <w:sz w:val="17"/>
          <w:szCs w:val="17"/>
          <w:color w:val="auto"/>
        </w:rPr>
        <w:t>operating efficiency; (xiv) market share; (xv) customer satisfaction or employee satisfaction; (xvi) working capital; (xvii) economic value added (net operating profit after tax minus the sum of capital multiplied by the cost of capital); (xviii) taxes; (xix) depreciation and amortization; (xx) total shareholder return; (xxi) low cost region labor as a percent of total labor; and (xxii) top customer concentration as a percent of sales. Performance goals may be absolute in their terms or measured against or in relationship to the performance of other companies or indices selected by the Board. In addition, performance goals may be adjusted for any events or occurrences (including acquisition expenses, extraordinary charges, losses from discontinued operations, restatements and accounting charges and restructuring expenses), as may be determined by the Board. Performance goals may be particular to one or more lines of business or Subsidiaries or may be based on the performance of the Company and its Subsidiaries as a whole. With respect to each performance period, the Board shall establish such performance goals relating to one or more of the business criteria identified above and shall establish targets for Participants for achievement of performance goals. Following the completion of each performance period, the Board shall determine the extent to which performance goals for that performance period have been achieved and the related performance-based restrictions shall lapse in accordance with the terms of the applicable Award Agreement.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47" w:name="page148"/>
    <w:bookmarkEnd w:id="147"/>
    <w:p>
      <w:pPr>
        <w:ind w:left="660"/>
        <w:spacing w:after="0"/>
        <w:tabs>
          <w:tab w:leader="none" w:pos="11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Award Agreements</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Each Award shall be evidenced by a written Award Agreement specifying the terms and conditions of the Award. In the sole discretion of the Board, the Award Agreement may condition the grant of an Award upon the Participant’s entering into one or more of the following agreements with the Company:</w:t>
      </w:r>
    </w:p>
    <w:p>
      <w:pPr>
        <w:ind w:right="120" w:firstLine="8"/>
        <w:spacing w:after="0" w:line="292" w:lineRule="auto"/>
        <w:tabs>
          <w:tab w:leader="none" w:pos="245"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 agreement not to compete with the Company and its Subsidiaries which shall become effective as of the date of the grant of the Award and remain in effect for a specified period of time following termination of the Participant’s employment with the Company; (b) an agreement to cancel any employment agreement, fringe benefit or compensation arrangement in effect between the Company and the Participant; and (c) an agreement to retain the confidentiality of certain information. Such agreements may contain such other terms and conditions as the Board shall determine. If the Participant shall fail to enter into any such agreement at the request of the Board, then the Award granted or to be granted to such Participant shall be forfeited and cancelled.</w:t>
      </w:r>
    </w:p>
    <w:p>
      <w:pPr>
        <w:spacing w:after="0" w:line="1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Shares Subject to Plan.</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Total Number of Shares</w:t>
      </w:r>
      <w:r>
        <w:rPr>
          <w:rFonts w:ascii="Arial" w:cs="Arial" w:eastAsia="Arial" w:hAnsi="Arial"/>
          <w:sz w:val="16"/>
          <w:szCs w:val="16"/>
          <w:color w:val="auto"/>
        </w:rPr>
        <w:t>.</w:t>
      </w:r>
    </w:p>
    <w:p>
      <w:pPr>
        <w:spacing w:after="0" w:line="225" w:lineRule="exact"/>
        <w:rPr>
          <w:sz w:val="20"/>
          <w:szCs w:val="20"/>
          <w:color w:val="auto"/>
        </w:rPr>
      </w:pPr>
    </w:p>
    <w:p>
      <w:pPr>
        <w:ind w:left="660" w:right="220" w:firstLine="515"/>
        <w:spacing w:after="0" w:line="308" w:lineRule="auto"/>
        <w:tabs>
          <w:tab w:leader="none" w:pos="169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total number of Shares that may be issued under the Plan shall be 2,210,000. Such shares may be either authorized but unissued shares or treasury shares, and shall be adjusted in accordance with the provisions of Section 4.3 of the Plan.</w:t>
      </w:r>
    </w:p>
    <w:p>
      <w:pPr>
        <w:spacing w:after="0" w:line="146" w:lineRule="exact"/>
        <w:rPr>
          <w:rFonts w:ascii="Arial" w:cs="Arial" w:eastAsia="Arial" w:hAnsi="Arial"/>
          <w:sz w:val="17"/>
          <w:szCs w:val="17"/>
          <w:color w:val="auto"/>
        </w:rPr>
      </w:pPr>
    </w:p>
    <w:p>
      <w:pPr>
        <w:ind w:left="660" w:firstLine="515"/>
        <w:spacing w:after="0" w:line="255" w:lineRule="auto"/>
        <w:tabs>
          <w:tab w:leader="none" w:pos="1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number of Shares delivered by a Participant or withheld by the Company on behalf of any such Participant as full or partial payment of an Award, including the exercise price of a Stock Option or of any required withholding taxes, shall not again be available for issuance pursuant to subsequent Awards, and shall count towards the aggregate number of Shares that may be issued under the Plan. If there is a lapse, forfeiture, expiration, termination or cancellation of any Award for any reason, or if Shares are issued under such Award and thereafter are reacquired by the Company pursuant to rights reserved by the Company upon issuance thereof, the Shares subject to such Award or reacquired by the Company shall again be available for issuance pursuant to subsequent Awards, and shall not count towards the aggregate number of Shares that may be issued under the Plan.</w:t>
      </w:r>
    </w:p>
    <w:p>
      <w:pPr>
        <w:spacing w:after="0" w:line="18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Shares under Awards</w:t>
      </w:r>
      <w:r>
        <w:rPr>
          <w:rFonts w:ascii="Arial" w:cs="Arial" w:eastAsia="Arial" w:hAnsi="Arial"/>
          <w:sz w:val="15"/>
          <w:szCs w:val="15"/>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the Shares authorized for issuance under the Plan pursuant to Section 4.1:</w:t>
      </w:r>
    </w:p>
    <w:p>
      <w:pPr>
        <w:spacing w:after="0" w:line="225" w:lineRule="exact"/>
        <w:rPr>
          <w:sz w:val="20"/>
          <w:szCs w:val="20"/>
          <w:color w:val="auto"/>
        </w:rPr>
      </w:pPr>
    </w:p>
    <w:p>
      <w:pPr>
        <w:ind w:left="660" w:right="80" w:firstLine="515"/>
        <w:spacing w:after="0" w:line="312" w:lineRule="auto"/>
        <w:tabs>
          <w:tab w:leader="none" w:pos="169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46" w:lineRule="exact"/>
        <w:rPr>
          <w:rFonts w:ascii="Arial" w:cs="Arial" w:eastAsia="Arial" w:hAnsi="Arial"/>
          <w:sz w:val="16"/>
          <w:szCs w:val="16"/>
          <w:color w:val="auto"/>
        </w:rPr>
      </w:pPr>
    </w:p>
    <w:p>
      <w:pPr>
        <w:ind w:left="1700" w:hanging="525"/>
        <w:spacing w:after="0"/>
        <w:tabs>
          <w:tab w:leader="none" w:pos="1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maximum number of Shares that may be subject to Stock Options (ISOs and/or NSOs) is full amount under the plan.</w:t>
      </w:r>
    </w:p>
    <w:p>
      <w:pPr>
        <w:spacing w:after="0" w:line="225" w:lineRule="exact"/>
        <w:rPr>
          <w:rFonts w:ascii="Arial" w:cs="Arial" w:eastAsia="Arial" w:hAnsi="Arial"/>
          <w:sz w:val="18"/>
          <w:szCs w:val="18"/>
          <w:color w:val="auto"/>
        </w:rPr>
      </w:pPr>
    </w:p>
    <w:p>
      <w:pPr>
        <w:ind w:left="660" w:right="240" w:firstLine="515"/>
        <w:spacing w:after="0" w:line="264" w:lineRule="auto"/>
        <w:tabs>
          <w:tab w:leader="none" w:pos="16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maximum number of Shares that may be used for Stock Awards, Stock Bonus Awards and/or Stock Unit Awards that may be granted to any Key Employee in any calendar year is 250,000, or, in the event the Award is settled in cash, an amount equal to the Fair Market Value of such number of shares on the date on which the Award is settled.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8" w:name="page149"/>
    <w:bookmarkEnd w:id="148"/>
    <w:p>
      <w:pPr>
        <w:ind w:left="660" w:right="40" w:firstLine="515"/>
        <w:spacing w:after="0" w:line="277" w:lineRule="auto"/>
        <w:tabs>
          <w:tab w:leader="none" w:pos="1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maximum number of Shares that may be used for Stock Awards, Stock Bonus Awards, Stock Appreciation Rights Awards and/or Stock Unit Awards is full amount under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numbers of Shares described herein shall be as adjusted in accordance with Section 4.3 of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Adjustment</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event of any reorganization, recapitalization, stock split, stock distribution, merger, consolidation, split-up, spin-off, combination, subdivision, consolidation or exchange of shares, any change in the capital structure of the Company or any similar corporate transaction, the Board shall make such adjustments as it deems appropriate, in its sole discretion, to preserve the benefits or intended benefits of the Plan and Awards granted under the Plan. Such adjustments may include: (a) adjustment in the number and kind of shares reserved for issuance under the Plan; (b) adjustment in the number and kind of shares covered by outstanding Awards; (c) adjustment in the exercise price of outstanding Awards under the Plan; (d) adjustments to any of the shares limitations set forth in Section 4.1 or 4.2 of the Plan; and (e) any other changes that the Board determines to be equitable under the circumstances.</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Grants of Stock Options.</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Grant</w:t>
      </w:r>
      <w:r>
        <w:rPr>
          <w:rFonts w:ascii="Arial" w:cs="Arial" w:eastAsia="Arial" w:hAnsi="Arial"/>
          <w:sz w:val="16"/>
          <w:szCs w:val="16"/>
          <w:color w:val="auto"/>
        </w:rPr>
        <w: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Subject to the terms of the Plan, the Board may from time to time grant Stock Options to Participants. Unless otherwise expressly provided at the time of the grant, Stock Options granted under the Plan to Key Employees will be NSOs. Stock Options granted under the Plan to Directors who are not employees of the Company or any Subsidiary will be NSOs.</w:t>
      </w:r>
    </w:p>
    <w:p>
      <w:pPr>
        <w:spacing w:after="0" w:line="18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Stock Option Agreement</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grant of each Stock Option shall be evidenced by a written Stock Option Agreement specifying the type of Stock Option granted, the exercise period, the exercise price, the terms for payment of the exercise price, the expiration date of the Stock Option, the number of Shares to be subject to each Stock Option and such other terms and conditions established by the Board, in its sole discretion, not inconsistent with the Plan; provided, however, that no Stock Option shall be credited with any amounts equal to dividends and other distributions that a Participant would have received had he held the Shares subject to an unexercised Stock Option.</w:t>
      </w:r>
    </w:p>
    <w:p>
      <w:pPr>
        <w:spacing w:after="0" w:line="18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Exercise Price and Exercise Period</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each Stock Option granted to a Participant:</w:t>
      </w:r>
    </w:p>
    <w:p>
      <w:pPr>
        <w:spacing w:after="0" w:line="225" w:lineRule="exact"/>
        <w:rPr>
          <w:sz w:val="20"/>
          <w:szCs w:val="20"/>
          <w:color w:val="auto"/>
        </w:rPr>
      </w:pPr>
    </w:p>
    <w:p>
      <w:pPr>
        <w:ind w:left="1680" w:hanging="505"/>
        <w:spacing w:after="0"/>
        <w:tabs>
          <w:tab w:leader="none" w:pos="1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exercise price, if any, shall be determined by the Board, consistent with the provisions of Section 3 hereof.</w:t>
      </w:r>
    </w:p>
    <w:p>
      <w:pPr>
        <w:spacing w:after="0" w:line="225" w:lineRule="exact"/>
        <w:rPr>
          <w:rFonts w:ascii="Arial" w:cs="Arial" w:eastAsia="Arial" w:hAnsi="Arial"/>
          <w:sz w:val="18"/>
          <w:szCs w:val="18"/>
          <w:color w:val="auto"/>
        </w:rPr>
      </w:pPr>
    </w:p>
    <w:p>
      <w:pPr>
        <w:ind w:left="660" w:right="100" w:firstLine="515"/>
        <w:spacing w:after="0" w:line="286" w:lineRule="auto"/>
        <w:tabs>
          <w:tab w:leader="none" w:pos="1703"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Stock Option shall become exercisable as provided in the Stock Option Agreement; provided that the Board shall have the discretion to accelerate the date as of which any Stock Option shall become exercisable in the event of the Participant’s termination of employment with the Company, or service on the Board, without cause (as determined by the Board in its sole discretion).</w:t>
      </w:r>
    </w:p>
    <w:p>
      <w:pPr>
        <w:spacing w:after="0" w:line="165" w:lineRule="exact"/>
        <w:rPr>
          <w:rFonts w:ascii="Arial" w:cs="Arial" w:eastAsia="Arial" w:hAnsi="Arial"/>
          <w:sz w:val="17"/>
          <w:szCs w:val="17"/>
          <w:color w:val="auto"/>
        </w:rPr>
      </w:pPr>
    </w:p>
    <w:p>
      <w:pPr>
        <w:ind w:left="1680" w:hanging="505"/>
        <w:spacing w:after="0"/>
        <w:tabs>
          <w:tab w:leader="none" w:pos="16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Each Stock Option shall expire, and all rights to purchase Shares thereunder shall expire, on the date ten years after the date of grant.</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01" w:right="299" w:bottom="1440" w:gutter="0" w:footer="0" w:header="0"/>
        </w:sectPr>
      </w:pPr>
    </w:p>
    <w:bookmarkStart w:id="149" w:name="page150"/>
    <w:bookmarkEnd w:id="149"/>
    <w:p>
      <w:pPr>
        <w:spacing w:after="0"/>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Required Terms and Conditions of ISOs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foregoing, each ISO granted to a Key Employee shall be subject to the following specific rules:</w:t>
      </w:r>
    </w:p>
    <w:p>
      <w:pPr>
        <w:spacing w:after="0" w:line="225" w:lineRule="exact"/>
        <w:rPr>
          <w:sz w:val="20"/>
          <w:szCs w:val="20"/>
          <w:color w:val="auto"/>
        </w:rPr>
      </w:pPr>
    </w:p>
    <w:p>
      <w:pPr>
        <w:ind w:firstLine="515"/>
        <w:spacing w:after="0" w:line="255" w:lineRule="auto"/>
        <w:tabs>
          <w:tab w:leader="none" w:pos="103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aggregate Fair Market Value (determined with respect to each ISO at the time such Option is granted) of the Shares with respect to which ISOs are exercisable for the first time by a Key Employee during any calendar year (under all incentive stock option plans of the Company and its Subsidiaries) shall not exceed $100,000. If the aggregate Fair Market Value (determined at the time of grant) of the Shares subject to an ISO which first becomes exercisable in any calendar year exceeds the limitation of this Section 5.4(a), so much of the ISO that does not exceed the applicable dollar limit shall be an ISO and the remainder shall be a NSO; but in all other respects, the original Stock Option Agreement shall remain in full force and effect.</w:t>
      </w:r>
    </w:p>
    <w:p>
      <w:pPr>
        <w:spacing w:after="0" w:line="193" w:lineRule="exact"/>
        <w:rPr>
          <w:rFonts w:ascii="Arial" w:cs="Arial" w:eastAsia="Arial" w:hAnsi="Arial"/>
          <w:sz w:val="18"/>
          <w:szCs w:val="18"/>
          <w:color w:val="auto"/>
        </w:rPr>
      </w:pPr>
    </w:p>
    <w:p>
      <w:pPr>
        <w:ind w:right="180" w:firstLine="515"/>
        <w:spacing w:after="0" w:line="257" w:lineRule="auto"/>
        <w:tabs>
          <w:tab w:leader="none" w:pos="1043"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an ISO is granted to a Key Employee who owns stock possessing more than 10% of the total combined voting power of all classes of stock of the Company (or its parent or subsidiaries within the meaning of Section 422(b)(6) of the Code): (i) the purchase price of each Share subject to the ISO shall be not less than 110% of the Fair Market Value of the Shares on the date the ISO is granted; and (ii) the ISO shall expire, and all rights to purchase Shares thereunder shall expire, no later than the fifth anniversary of the date the ISO was granted.</w:t>
      </w:r>
    </w:p>
    <w:p>
      <w:pPr>
        <w:spacing w:after="0" w:line="188" w:lineRule="exact"/>
        <w:rPr>
          <w:rFonts w:ascii="Arial" w:cs="Arial" w:eastAsia="Arial" w:hAnsi="Arial"/>
          <w:sz w:val="18"/>
          <w:szCs w:val="18"/>
          <w:color w:val="auto"/>
        </w:rPr>
      </w:pPr>
    </w:p>
    <w:p>
      <w:pPr>
        <w:ind w:left="1020" w:hanging="505"/>
        <w:spacing w:after="0"/>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 ISOs shall be granted under the Plan after ten years from the earlier of the date the Plan is adopted or approved by shareholders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Exercise of Stock Options</w:t>
      </w:r>
      <w:r>
        <w:rPr>
          <w:rFonts w:ascii="Arial" w:cs="Arial" w:eastAsia="Arial" w:hAnsi="Arial"/>
          <w:sz w:val="16"/>
          <w:szCs w:val="16"/>
          <w:color w:val="auto"/>
        </w:rPr>
        <w:t>.</w:t>
      </w:r>
    </w:p>
    <w:p>
      <w:pPr>
        <w:spacing w:after="0" w:line="225" w:lineRule="exact"/>
        <w:rPr>
          <w:sz w:val="20"/>
          <w:szCs w:val="20"/>
          <w:color w:val="auto"/>
        </w:rPr>
      </w:pPr>
    </w:p>
    <w:p>
      <w:pPr>
        <w:ind w:right="120" w:firstLine="515"/>
        <w:spacing w:after="0" w:line="264" w:lineRule="auto"/>
        <w:tabs>
          <w:tab w:leader="none" w:pos="1023"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Participant entitled to exercise a Stock Option may do so by delivering written notice to that effect specifying the number of Shares with respect to which the Stock Option is being exercised and any other information the Board may prescribe. All notices or requests provided for herein shall be delivered to the Chief Financial Officer of the Company.</w:t>
      </w:r>
    </w:p>
    <w:p>
      <w:pPr>
        <w:spacing w:after="0" w:line="181" w:lineRule="exact"/>
        <w:rPr>
          <w:rFonts w:ascii="Arial" w:cs="Arial" w:eastAsia="Arial" w:hAnsi="Arial"/>
          <w:sz w:val="18"/>
          <w:szCs w:val="18"/>
          <w:color w:val="auto"/>
        </w:rPr>
      </w:pPr>
    </w:p>
    <w:p>
      <w:pPr>
        <w:ind w:right="340" w:firstLine="515"/>
        <w:spacing w:after="0" w:line="277" w:lineRule="auto"/>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Board in its sole discretion may make available one or more of the following alternatives for the payment of the Stock Option exercise price:</w:t>
      </w:r>
    </w:p>
    <w:p>
      <w:pPr>
        <w:spacing w:after="0" w:line="170" w:lineRule="exact"/>
        <w:rPr>
          <w:rFonts w:ascii="Arial" w:cs="Arial" w:eastAsia="Arial" w:hAnsi="Arial"/>
          <w:sz w:val="18"/>
          <w:szCs w:val="18"/>
          <w:color w:val="auto"/>
        </w:rPr>
      </w:pPr>
    </w:p>
    <w:p>
      <w:pPr>
        <w:ind w:left="1580" w:hanging="482"/>
        <w:spacing w:after="0"/>
        <w:tabs>
          <w:tab w:leader="none" w:pos="15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cash;</w:t>
      </w:r>
    </w:p>
    <w:p>
      <w:pPr>
        <w:spacing w:after="0" w:line="225" w:lineRule="exact"/>
        <w:rPr>
          <w:rFonts w:ascii="Arial" w:cs="Arial" w:eastAsia="Arial" w:hAnsi="Arial"/>
          <w:sz w:val="18"/>
          <w:szCs w:val="18"/>
          <w:color w:val="auto"/>
        </w:rPr>
      </w:pPr>
    </w:p>
    <w:p>
      <w:pPr>
        <w:ind w:left="520" w:right="220" w:firstLine="578"/>
        <w:spacing w:after="0" w:line="264" w:lineRule="auto"/>
        <w:tabs>
          <w:tab w:leader="none" w:pos="1593"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cash received from a broker-dealer to whom the Participant has submitted an exercise notice together with irrevocable instructions to deliver promptly to the Company the amount of sales proceeds from the sale of the shares subject to the Stock Option to pay the exercise price;</w:t>
      </w:r>
    </w:p>
    <w:p>
      <w:pPr>
        <w:spacing w:after="0" w:line="181" w:lineRule="exact"/>
        <w:rPr>
          <w:rFonts w:ascii="Arial" w:cs="Arial" w:eastAsia="Arial" w:hAnsi="Arial"/>
          <w:sz w:val="18"/>
          <w:szCs w:val="18"/>
          <w:color w:val="auto"/>
        </w:rPr>
      </w:pPr>
    </w:p>
    <w:p>
      <w:pPr>
        <w:ind w:left="520" w:right="160" w:firstLine="578"/>
        <w:spacing w:after="0" w:line="277" w:lineRule="auto"/>
        <w:tabs>
          <w:tab w:leader="none" w:pos="1598" w:val="left"/>
        </w:tabs>
        <w:numPr>
          <w:ilvl w:val="1"/>
          <w:numId w:val="86"/>
        </w:numPr>
        <w:rPr>
          <w:rFonts w:ascii="Arial" w:cs="Arial" w:eastAsia="Arial" w:hAnsi="Arial"/>
          <w:sz w:val="18"/>
          <w:szCs w:val="18"/>
          <w:color w:val="auto"/>
        </w:rPr>
      </w:pPr>
      <w:r>
        <w:rPr>
          <w:rFonts w:ascii="Arial" w:cs="Arial" w:eastAsia="Arial" w:hAnsi="Arial"/>
          <w:sz w:val="18"/>
          <w:szCs w:val="18"/>
          <w:color w:val="auto"/>
        </w:rPr>
        <w:t>by directing the Company to withhold such number of Shares otherwise issuable in connection with the exercise of the Stock Option having an aggregate Fair Market Value equal to the exercise price;</w:t>
      </w:r>
    </w:p>
    <w:p>
      <w:pPr>
        <w:spacing w:after="0" w:line="170" w:lineRule="exact"/>
        <w:rPr>
          <w:rFonts w:ascii="Arial" w:cs="Arial" w:eastAsia="Arial" w:hAnsi="Arial"/>
          <w:sz w:val="18"/>
          <w:szCs w:val="18"/>
          <w:color w:val="auto"/>
        </w:rPr>
      </w:pPr>
    </w:p>
    <w:p>
      <w:pPr>
        <w:ind w:left="520" w:right="100" w:firstLine="578"/>
        <w:spacing w:after="0" w:line="277" w:lineRule="auto"/>
        <w:tabs>
          <w:tab w:leader="none" w:pos="15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by delivering previously acquired Shares that are acceptable to the Board and that have an aggregate Fair Market Value on the date of exercise equal to the Stock Option exercise price; or</w:t>
      </w:r>
    </w:p>
    <w:p>
      <w:pPr>
        <w:spacing w:after="0" w:line="27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800" w:right="239" w:bottom="1440" w:gutter="0" w:footer="0" w:header="0"/>
        </w:sectPr>
      </w:pPr>
    </w:p>
    <w:bookmarkStart w:id="150" w:name="page151"/>
    <w:bookmarkEnd w:id="150"/>
    <w:p>
      <w:pPr>
        <w:ind w:left="2240" w:hanging="482"/>
        <w:spacing w:after="0"/>
        <w:tabs>
          <w:tab w:leader="none" w:pos="2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certifying to ownership by attestation of such previously acquired Shares.</w:t>
      </w:r>
    </w:p>
    <w:p>
      <w:pPr>
        <w:spacing w:after="0" w:line="225" w:lineRule="exact"/>
        <w:rPr>
          <w:sz w:val="20"/>
          <w:szCs w:val="20"/>
          <w:color w:val="auto"/>
        </w:rPr>
      </w:pPr>
    </w:p>
    <w:p>
      <w:pPr>
        <w:ind w:left="660" w:right="600" w:firstLine="1115"/>
        <w:spacing w:after="0" w:line="277" w:lineRule="auto"/>
        <w:rPr>
          <w:sz w:val="20"/>
          <w:szCs w:val="20"/>
          <w:color w:val="auto"/>
        </w:rPr>
      </w:pPr>
      <w:r>
        <w:rPr>
          <w:rFonts w:ascii="Arial" w:cs="Arial" w:eastAsia="Arial" w:hAnsi="Arial"/>
          <w:sz w:val="18"/>
          <w:szCs w:val="18"/>
          <w:color w:val="auto"/>
        </w:rPr>
        <w:t>The Board shall have the sole discretion to establish the terms and conditions applicable to any alternative made available for payment of the Stock Option exercise price.</w:t>
      </w:r>
    </w:p>
    <w:p>
      <w:pPr>
        <w:spacing w:after="0" w:line="170" w:lineRule="exact"/>
        <w:rPr>
          <w:sz w:val="20"/>
          <w:szCs w:val="20"/>
          <w:color w:val="auto"/>
        </w:rPr>
      </w:pPr>
    </w:p>
    <w:p>
      <w:pPr>
        <w:ind w:left="660" w:firstLine="515"/>
        <w:spacing w:after="0" w:line="272" w:lineRule="auto"/>
        <w:tabs>
          <w:tab w:leader="none" w:pos="169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Company shall issue, in the name of the Participant, stock certificates representing the total number of Shares issuable pursuant to the exercise of any Stock Option as soon as reasonably practicable after such exercise; provided that any Shares purchased by a Participant through a broker-dealer pursuant to Section 5.5(b)(ii) shall be delivered to such broker-dealer in accordance with 12 C.F.R. §220.3(e)(4) or other applicable provision of law. Notwithstanding the foregoing, the Company, in lieu of issuing stock certificates, may reflect the issuance of Shares to a Participant on a non–certificated basis, with the ownership of such shares by the Participant evidenced solely by book entry in the records of the Company’s transfer agent; provided however, that the Company, upon written request of the Participant, shall issue, in the name of the Participant, stock certificates representing such shares.</w:t>
      </w:r>
    </w:p>
    <w:p>
      <w:pPr>
        <w:spacing w:after="0" w:line="1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Stock Awards.</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Grant</w:t>
      </w:r>
      <w:r>
        <w:rPr>
          <w:rFonts w:ascii="Arial" w:cs="Arial" w:eastAsia="Arial" w:hAnsi="Arial"/>
          <w:sz w:val="16"/>
          <w:szCs w:val="16"/>
          <w:color w:val="auto"/>
        </w:rPr>
        <w:t>.</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Board may, in its discretion, (a) grant Shares under the Plan to any Participant without consideration from such Participant or (b) sell Shares under the Plan to any Participant for such amount of cash, Shares or other consideration as the Board deems appropriate.</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Stock Award Agreement</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Each Share granted or sold hereunder shall be subject to such restrictions, conditions and other terms as the Board may determine at the time of grant or sale, the general provisions of the Plan, the restrictions, terms and conditions of the related Stock Award Agreement, and the following specific rules:</w:t>
      </w:r>
    </w:p>
    <w:p>
      <w:pPr>
        <w:spacing w:after="0" w:line="124" w:lineRule="exact"/>
        <w:rPr>
          <w:sz w:val="20"/>
          <w:szCs w:val="20"/>
          <w:color w:val="auto"/>
        </w:rPr>
      </w:pPr>
    </w:p>
    <w:p>
      <w:pPr>
        <w:ind w:left="660" w:right="80" w:firstLine="515"/>
        <w:spacing w:after="0" w:line="264" w:lineRule="auto"/>
        <w:tabs>
          <w:tab w:leader="none" w:pos="1693"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Shares issued to a Participant under the Plan shall be evidenced by a Stock Award Agreement, which shall specify whether the Shares are granted or sold to the Participant and such other provisions, not inconsistent with the terms and conditions of the Plan, as the Board shall determine.</w:t>
      </w:r>
    </w:p>
    <w:p>
      <w:pPr>
        <w:spacing w:after="0" w:line="181" w:lineRule="exact"/>
        <w:rPr>
          <w:rFonts w:ascii="Arial" w:cs="Arial" w:eastAsia="Arial" w:hAnsi="Arial"/>
          <w:sz w:val="18"/>
          <w:szCs w:val="18"/>
          <w:color w:val="auto"/>
        </w:rPr>
      </w:pPr>
    </w:p>
    <w:p>
      <w:pPr>
        <w:ind w:left="660" w:right="140" w:firstLine="515"/>
        <w:spacing w:after="0" w:line="259" w:lineRule="auto"/>
        <w:tabs>
          <w:tab w:leader="none" w:pos="1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restrictions to which the Shares awarded hereunder are subject shall lapse as provided in Stock Award Agreement; provided that the Board shall have the discretion to accelerate the date as of which the restrictions lapse with respect to any Award held by a Participant in the event of the Participant’s termination of employment with the Company, or service on the Board, without cause (as determined by the Board in its sole discretion).</w:t>
      </w:r>
    </w:p>
    <w:p>
      <w:pPr>
        <w:spacing w:after="0" w:line="186" w:lineRule="exact"/>
        <w:rPr>
          <w:rFonts w:ascii="Arial" w:cs="Arial" w:eastAsia="Arial" w:hAnsi="Arial"/>
          <w:sz w:val="18"/>
          <w:szCs w:val="18"/>
          <w:color w:val="auto"/>
        </w:rPr>
      </w:pPr>
    </w:p>
    <w:p>
      <w:pPr>
        <w:ind w:left="660" w:right="20" w:firstLine="515"/>
        <w:spacing w:after="0" w:line="290" w:lineRule="auto"/>
        <w:tabs>
          <w:tab w:leader="none" w:pos="1693" w:val="left"/>
        </w:tabs>
        <w:numPr>
          <w:ilvl w:val="0"/>
          <w:numId w:val="89"/>
        </w:numPr>
        <w:rPr>
          <w:rFonts w:ascii="Arial" w:cs="Arial" w:eastAsia="Arial" w:hAnsi="Arial"/>
          <w:sz w:val="16"/>
          <w:szCs w:val="16"/>
          <w:color w:val="auto"/>
        </w:rPr>
      </w:pPr>
      <w:r>
        <w:rPr>
          <w:rFonts w:ascii="Arial" w:cs="Arial" w:eastAsia="Arial" w:hAnsi="Arial"/>
          <w:sz w:val="16"/>
          <w:szCs w:val="16"/>
          <w:color w:val="auto"/>
        </w:rPr>
        <w:t>Except as provided in this subsection (c) and unless otherwise set forth in the related Stock Award Agreement, the Participant receiving a grant of or purchasing Shares shall thereupon be a shareholder with respect to such shares and shall have the rights of a shareholder with respect to such shares, including the right to vote such shares and to receive dividends and other distributions paid with respect to such shares; provided that (i) in the case of a performance-based Stock Award as described in Section 3.3, any dividends or other distributions payable with respect to the Stock Award shall be accumulated and held by the Company and paid to the Participant only upon, and to the extent, the performance-based restrictions lapse in accordance with the terms of the applicable Stock Award Agreement and (ii) in the case of all other Stock Awards, the Board shall have the discretion to have the Company accumulate and hold such dividends or distributions. In either case, any such dividends or other distributions held by the Company attributable to the portion of a Stock Award that is forfeited shall also be forfeited.</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51" w:name="page152"/>
    <w:bookmarkEnd w:id="151"/>
    <w:p>
      <w:pPr>
        <w:ind w:left="660" w:right="40" w:firstLine="515"/>
        <w:spacing w:after="0" w:line="272" w:lineRule="auto"/>
        <w:tabs>
          <w:tab w:leader="none" w:pos="17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Company shall issue, in the name of the Participant, stock certificates representing the total number of Shares granted or sold to the Participant, as soon as may be reasonably practicable after such grant or sale, which shall be held by the Secretary of the Company until such time as the Shares are forfeited, resold to the Company, or the restrictions lapse. Notwithstanding the foregoing, the Company, in lieu of issuing stock certificates, may reflect the issuance of Shares to a Participant on a non–certificated basis, with the ownership of such shares by the Participant evidenced solely by book entry in the records of the Company’s transfer agent; provided, however that following the lapse of all restrictions with respect to the shares granted or sold to a Participant, the Company, upon the written request of the Participant, shall issue, in the name of the Participant, stock certificates representing such shares.</w:t>
      </w:r>
    </w:p>
    <w:p>
      <w:pPr>
        <w:spacing w:after="0" w:line="177" w:lineRule="exact"/>
        <w:rPr>
          <w:rFonts w:ascii="Arial" w:cs="Arial" w:eastAsia="Arial" w:hAnsi="Arial"/>
          <w:sz w:val="17"/>
          <w:szCs w:val="17"/>
          <w:color w:val="auto"/>
        </w:rPr>
      </w:pPr>
    </w:p>
    <w:p>
      <w:pPr>
        <w:ind w:left="660" w:right="220" w:firstLine="515"/>
        <w:spacing w:after="0" w:line="342" w:lineRule="auto"/>
        <w:tabs>
          <w:tab w:leader="none" w:pos="1693" w:val="left"/>
        </w:tabs>
        <w:numPr>
          <w:ilvl w:val="0"/>
          <w:numId w:val="90"/>
        </w:numPr>
        <w:rPr>
          <w:rFonts w:ascii="Arial" w:cs="Arial" w:eastAsia="Arial" w:hAnsi="Arial"/>
          <w:sz w:val="16"/>
          <w:szCs w:val="16"/>
          <w:color w:val="auto"/>
        </w:rPr>
      </w:pPr>
      <w:r>
        <w:rPr>
          <w:rFonts w:ascii="Arial" w:cs="Arial" w:eastAsia="Arial" w:hAnsi="Arial"/>
          <w:sz w:val="16"/>
          <w:szCs w:val="16"/>
          <w:color w:val="auto"/>
        </w:rPr>
        <w:t>Shares granted to the Participant pursuant to this Section shall be effective and exercisable as of the Company’s completion of an initial public offering of its securities (the “IPO”) and other terms, restrictions and qualifications that may be set forth in the individual agreement.</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Stock Bonus Awards.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 Stock Bonus Award is an award to an eligible Key Employee or Director of Shares for services to be rendered or for past services already rendered to the Company or any Subsidiary. All Stock Bonus Awards shall be made pursuant to an Award Agreement. No payment from the Participant will be required for Shares awarded pursuant to a Stock Bonus Award.</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Terms of Stock Bonus Awards</w:t>
      </w:r>
      <w:r>
        <w:rPr>
          <w:rFonts w:ascii="Arial" w:cs="Arial" w:eastAsia="Arial" w:hAnsi="Arial"/>
          <w:sz w:val="17"/>
          <w:szCs w:val="17"/>
          <w:color w:val="auto"/>
        </w:rPr>
        <w:t>. The Committee will determine the number of Shares to be awarded to the Participant under a Stock 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78"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Form of Payment to Participant</w:t>
      </w:r>
      <w:r>
        <w:rPr>
          <w:rFonts w:ascii="Arial" w:cs="Arial" w:eastAsia="Arial" w:hAnsi="Arial"/>
          <w:sz w:val="17"/>
          <w:szCs w:val="17"/>
          <w:color w:val="auto"/>
        </w:rPr>
        <w:t>. Payment may be made in the form of cash, whole Shares, or a combination thereof as determined in the sole discretion of the Committee, based on the Fair Market Value of the Shares earned under a Stock Bonus Award on the date of payment.</w:t>
      </w:r>
    </w:p>
    <w:p>
      <w:pPr>
        <w:spacing w:after="0" w:line="14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 terminates (unless determined otherwise by the Committee).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Stock Appreciation Right Awards.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 Stock Appreciation Right (“SAR”) is an award to an eligible Key Employee or 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52" w:name="page153"/>
    <w:bookmarkEnd w:id="152"/>
    <w:p>
      <w:pPr>
        <w:ind w:right="100" w:firstLine="648"/>
        <w:spacing w:after="0" w:line="29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Terms of SARs</w:t>
      </w:r>
      <w:r>
        <w:rPr>
          <w:rFonts w:ascii="Arial" w:cs="Arial" w:eastAsia="Arial" w:hAnsi="Arial"/>
          <w:sz w:val="16"/>
          <w:szCs w:val="16"/>
          <w:color w:val="auto"/>
        </w:rPr>
        <w:t>. The Committee will determine the terms of each SAR including, without limitation: (a) the number of Shares subject to the SAR; (b) the Exercise Price and the time or times during which the SAR may be settled; (c) the consideration to be distributed on settlement of the SAR; and</w:t>
      </w:r>
    </w:p>
    <w:p>
      <w:pPr>
        <w:ind w:right="20" w:firstLine="8"/>
        <w:spacing w:after="0" w:line="270" w:lineRule="auto"/>
        <w:tabs>
          <w:tab w:leader="none" w:pos="2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effect of the Participant’s termination of service on each SAR. The Exercise Price of the SAR will be determined by the Committee when the SAR is granted, and may not be less than Fair Market Value. A SAR may be awarded upon satisfaction of performance factors, if any, during any performance period as are set out in advance in the Participant’s individual Award Agreement. If the SAR is being earned upon the satisfaction of performance factors, then the Committee will: (x) determine the nature, length and starting date of any Performance Period for each SAR; and (y)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7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Exercise Period and Expiration Date</w:t>
      </w:r>
      <w:r>
        <w:rPr>
          <w:rFonts w:ascii="Arial" w:cs="Arial" w:eastAsia="Arial" w:hAnsi="Arial"/>
          <w:sz w:val="16"/>
          <w:szCs w:val="16"/>
          <w:color w:val="auto"/>
        </w:rPr>
        <w:t>. A SAR will be exercisable within the times or upon the occurrence of events determined by the 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Form of Settlement</w:t>
      </w:r>
      <w:r>
        <w:rPr>
          <w:rFonts w:ascii="Arial" w:cs="Arial" w:eastAsia="Arial" w:hAnsi="Arial"/>
          <w:sz w:val="18"/>
          <w:szCs w:val="18"/>
          <w:color w:val="auto"/>
        </w:rPr>
        <w:t>. Upon exercise of a SAR, a Participant will be entitled to receive payment from the Company in an amount determined by 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or dividend equivalent, if any, as the Committee determines, provided that the terms of the SAR and any deferral satisfy the requirements of Section 409A of the Code.</w:t>
      </w:r>
    </w:p>
    <w:p>
      <w:pPr>
        <w:spacing w:after="0" w:line="19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 terminates (unless determined otherwise by the Committee).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Stock Unit Awards.</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Grant</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Board may, in its discretion, grant Stock Unit Awards to any Participant. Each Stock Unit subject to the Award shall 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3" w:name="page154"/>
    <w:bookmarkEnd w:id="153"/>
    <w:p>
      <w:pPr>
        <w:ind w:left="660"/>
        <w:spacing w:after="0"/>
        <w:tabs>
          <w:tab w:leader="none" w:pos="11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Stock Unit Agreement</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Each Stock Unit Award shall be subject to such restrictions, conditions and other terms as the Board may determine at the time of grant, the general provisions of the Plan, the restrictions, terms and conditions of the related Stock Unit Award Agreement and the following specific rules:</w:t>
      </w:r>
    </w:p>
    <w:p>
      <w:pPr>
        <w:spacing w:after="0" w:line="147" w:lineRule="exact"/>
        <w:rPr>
          <w:sz w:val="20"/>
          <w:szCs w:val="20"/>
          <w:color w:val="auto"/>
        </w:rPr>
      </w:pPr>
    </w:p>
    <w:p>
      <w:pPr>
        <w:ind w:left="660" w:right="180" w:firstLine="515"/>
        <w:spacing w:after="0" w:line="277" w:lineRule="auto"/>
        <w:tabs>
          <w:tab w:leader="none" w:pos="1693"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Shares issued to a Participant under the Plan shall be evidenced by a Stock Unit Agreement, which shall specify such provisions, not inconsistent with the terms and conditions of the Plan, as the Board shall determine.</w:t>
      </w:r>
    </w:p>
    <w:p>
      <w:pPr>
        <w:spacing w:after="0" w:line="170" w:lineRule="exact"/>
        <w:rPr>
          <w:rFonts w:ascii="Arial" w:cs="Arial" w:eastAsia="Arial" w:hAnsi="Arial"/>
          <w:sz w:val="18"/>
          <w:szCs w:val="18"/>
          <w:color w:val="auto"/>
        </w:rPr>
      </w:pPr>
    </w:p>
    <w:p>
      <w:pPr>
        <w:ind w:left="660" w:right="120" w:firstLine="515"/>
        <w:spacing w:after="0" w:line="259" w:lineRule="auto"/>
        <w:tabs>
          <w:tab w:leader="none" w:pos="1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restrictions to which the shares of Stock Units awarded hereunder are subject shall lapse as provided in Stock Unit Agreement; provided that the Board shall have the discretion to accelerate the date as of which the restrictions lapse with respect to any Award held by a Participant in the event of the Participant’s termination of employment with the Company, or service on the Board, without cause (as determined by the Board in its sole discretion).</w:t>
      </w:r>
    </w:p>
    <w:p>
      <w:pPr>
        <w:spacing w:after="0" w:line="186" w:lineRule="exact"/>
        <w:rPr>
          <w:rFonts w:ascii="Arial" w:cs="Arial" w:eastAsia="Arial" w:hAnsi="Arial"/>
          <w:sz w:val="18"/>
          <w:szCs w:val="18"/>
          <w:color w:val="auto"/>
        </w:rPr>
      </w:pPr>
    </w:p>
    <w:p>
      <w:pPr>
        <w:ind w:left="660" w:right="20" w:firstLine="515"/>
        <w:spacing w:after="0" w:line="270" w:lineRule="auto"/>
        <w:tabs>
          <w:tab w:leader="none" w:pos="1693" w:val="left"/>
        </w:tabs>
        <w:numPr>
          <w:ilvl w:val="0"/>
          <w:numId w:val="92"/>
        </w:numPr>
        <w:rPr>
          <w:rFonts w:ascii="Arial" w:cs="Arial" w:eastAsia="Arial" w:hAnsi="Arial"/>
          <w:sz w:val="17"/>
          <w:szCs w:val="17"/>
          <w:color w:val="auto"/>
        </w:rPr>
      </w:pPr>
      <w:r>
        <w:rPr>
          <w:rFonts w:ascii="Arial" w:cs="Arial" w:eastAsia="Arial" w:hAnsi="Arial"/>
          <w:sz w:val="17"/>
          <w:szCs w:val="17"/>
          <w:color w:val="auto"/>
        </w:rPr>
        <w:t>Except as provided in this subsection (c) and unless otherwise set forth in the Stock Unit Agreement, the Participant receiving a Stock Unit Award shall have no rights of a shareholder, including voting or dividends or other distributions rights, with respect to any Stock Units prior to the date they are settled in Shares; provided that a Stock Unit Award Agreement may provide that until the Stock Units are settled in shares or cash, the Participant shall receive on each dividend or distribution payment date applicable to the Shares an amount equal to the dividends or other distributions that the Participant would have received had the Stock Units held by the Participant as of the related record date been actual Shares. In the case of a performance-based Stock Unit Award as described in Section 3.3 above, such amounts shall be accumulated and held by the Company and paid to the Participant only upon, and to the extent, the performance-based restrictions lapse in accordance with the terms of the applicable Stock Unit Award Agreement and in the case of all other Stock Unit Awards, the Board shall have the discretion to have the Company accumulate and hold such amounts. In either case, such amounts held by the Company attributable to the portion of the Stock Unit Award that is forfeited shall also be forfeited.</w:t>
      </w:r>
    </w:p>
    <w:p>
      <w:pPr>
        <w:spacing w:after="0" w:line="177" w:lineRule="exact"/>
        <w:rPr>
          <w:rFonts w:ascii="Arial" w:cs="Arial" w:eastAsia="Arial" w:hAnsi="Arial"/>
          <w:sz w:val="17"/>
          <w:szCs w:val="17"/>
          <w:color w:val="auto"/>
        </w:rPr>
      </w:pPr>
    </w:p>
    <w:p>
      <w:pPr>
        <w:ind w:left="660" w:right="20" w:firstLine="515"/>
        <w:spacing w:after="0" w:line="276" w:lineRule="auto"/>
        <w:tabs>
          <w:tab w:leader="none" w:pos="1703"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Upon settlement of Stock Units into Shares, the Company shall issue, in the name of the Participant, stock certificates representing a number of Shares equal to the number of Stock Units being settled. Notwithstanding the foregoing, the Company, in lieu of issuing stock certificates, may reflect the issuance of Shares to a Participant on a non-certificated basis, with the ownership of such shares by the Participant evidenced solely by book entry in the records of the Company’s transfer agent; provided, however that the Company, upon the written request of the Participant, shall issue in the name of the Participant, stock certificates representing such shares.</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Change in Control.</w:t>
      </w:r>
    </w:p>
    <w:p>
      <w:pPr>
        <w:spacing w:after="0" w:line="22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Effect of a Change in Control</w:t>
      </w:r>
      <w:r>
        <w:rPr>
          <w:rFonts w:ascii="Arial" w:cs="Arial" w:eastAsia="Arial" w:hAnsi="Arial"/>
          <w:sz w:val="16"/>
          <w:szCs w:val="16"/>
          <w:color w:val="auto"/>
        </w:rPr>
        <w:t>.</w:t>
      </w:r>
    </w:p>
    <w:p>
      <w:pPr>
        <w:spacing w:after="0" w:line="225" w:lineRule="exact"/>
        <w:rPr>
          <w:sz w:val="20"/>
          <w:szCs w:val="20"/>
          <w:color w:val="auto"/>
        </w:rPr>
      </w:pPr>
    </w:p>
    <w:p>
      <w:pPr>
        <w:ind w:left="660" w:firstLine="515"/>
        <w:spacing w:after="0" w:line="259" w:lineRule="auto"/>
        <w:tabs>
          <w:tab w:leader="none" w:pos="1693"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Notwithstanding any of the provisions of the Plan or any outstanding Award Agreement, upon a Change in Control of the Company, the Board is authorized and has sole discretion to provide that (i) all outstanding Awards shall become fully exercisable, (ii) all restrictions applicable to all Awards shall terminate or lapse and (iii) performance goals applicable to any Awards shall be deemed satisfied at the highest target level, as applicable, in order that Participants may fully realize the benefits thereunder.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54" w:name="page155"/>
    <w:bookmarkEnd w:id="154"/>
    <w:p>
      <w:pPr>
        <w:ind w:left="660" w:right="60" w:firstLine="515"/>
        <w:spacing w:after="0" w:line="273" w:lineRule="auto"/>
        <w:tabs>
          <w:tab w:leader="none" w:pos="1703"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addition to the Board’s authority set forth in Section 3, upon such Change in Control of the Company, the Board is authorized and has sole discretion as to any Award, either at the time such Award is granted hereunder or any time thereafter, to take any one or more of the following actions: (i) provide for the purchase of any outstanding Stock Option, for an amount of cash equal to the difference between the exercise price and the then Fair Market Value of the Shares covered thereby had such Stock Option been currently exercisable; (ii) make such adjustment to any such Award then outstanding as the Board deems appropriate to reflect such Change in Control; and (iii) cause any such Award then outstanding to be assumed by the acquiring or surviving corporation after such Change in Control.</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Definition of Change in Control</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“Change in Control” of the Company shall be deemed to have occurred if at any time during the term of an Award granted under the Plan any of the following events occurs:</w:t>
      </w:r>
    </w:p>
    <w:p>
      <w:pPr>
        <w:spacing w:after="0" w:line="170" w:lineRule="exact"/>
        <w:rPr>
          <w:sz w:val="20"/>
          <w:szCs w:val="20"/>
          <w:color w:val="auto"/>
        </w:rPr>
      </w:pPr>
    </w:p>
    <w:p>
      <w:pPr>
        <w:ind w:left="660" w:right="40" w:firstLine="515"/>
        <w:spacing w:after="0" w:line="276" w:lineRule="auto"/>
        <w:tabs>
          <w:tab w:leader="none" w:pos="1693"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Person (other than the Company, a trustee or other fiduciary holding securities under an employee benefit plan of the Company, or a corporation owned directly or indirectly by the shareholders of the Company in substantially the same proportions as their ownership of Shares of the Company) is or becomes the Beneficial Owner, directly or indirectly, of securities of the Company representing 30% or more of the combined voting power of the Company’s then outstanding securities entitled to vote generally in the election of directors (“Person” and “Beneficial Owner” being defined in Rule 13d-3 of the General Rules and Regulations of the Exchange Act);</w:t>
      </w:r>
    </w:p>
    <w:p>
      <w:pPr>
        <w:spacing w:after="0" w:line="172" w:lineRule="exact"/>
        <w:rPr>
          <w:rFonts w:ascii="Arial" w:cs="Arial" w:eastAsia="Arial" w:hAnsi="Arial"/>
          <w:sz w:val="17"/>
          <w:szCs w:val="17"/>
          <w:color w:val="auto"/>
        </w:rPr>
      </w:pPr>
    </w:p>
    <w:p>
      <w:pPr>
        <w:ind w:left="660" w:right="20" w:firstLine="515"/>
        <w:spacing w:after="0" w:line="255" w:lineRule="auto"/>
        <w:tabs>
          <w:tab w:leader="none" w:pos="170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is party to a merger, consolidation, reorganization or other similar transaction with another corporation or other Person unless, following such transaction, more than 50% of the combined voting power of the outstanding securities of the surviving, resulting or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transaction, in substantially the same proportions as their ownership, immediately prior to such transaction, of the Company’s outstanding securities entitled to vote generally in the election of directors;</w:t>
      </w:r>
    </w:p>
    <w:p>
      <w:pPr>
        <w:spacing w:after="0" w:line="189" w:lineRule="exact"/>
        <w:rPr>
          <w:rFonts w:ascii="Arial" w:cs="Arial" w:eastAsia="Arial" w:hAnsi="Arial"/>
          <w:sz w:val="18"/>
          <w:szCs w:val="18"/>
          <w:color w:val="auto"/>
        </w:rPr>
      </w:pPr>
    </w:p>
    <w:p>
      <w:pPr>
        <w:ind w:left="660" w:firstLine="515"/>
        <w:spacing w:after="0" w:line="302" w:lineRule="auto"/>
        <w:tabs>
          <w:tab w:leader="none" w:pos="1693"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election to the Board, without the recommendation or approval of two-thirds of the incumbent Board, of the lesser of: (i) three Directors; or (ii) Directors constituting a majority of the number of Directors of the Company then in office; provided, however, that Directors whose initial assumption of office is in connection with an actual or threatened election contest, including but not limited to a consent solicitation, relating to the election of Directors of the Company will not be considered as incumbent members of the Board for purposes of this Section; or</w:t>
      </w:r>
    </w:p>
    <w:p>
      <w:pPr>
        <w:spacing w:after="0" w:line="154" w:lineRule="exact"/>
        <w:rPr>
          <w:rFonts w:ascii="Arial" w:cs="Arial" w:eastAsia="Arial" w:hAnsi="Arial"/>
          <w:sz w:val="16"/>
          <w:szCs w:val="16"/>
          <w:color w:val="auto"/>
        </w:rPr>
      </w:pPr>
    </w:p>
    <w:p>
      <w:pPr>
        <w:ind w:left="660" w:right="60" w:firstLine="515"/>
        <w:spacing w:after="0" w:line="255" w:lineRule="auto"/>
        <w:tabs>
          <w:tab w:leader="none" w:pos="170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there is a complete liquidation or dissolution of the Company, or the Company sells all or substantially all of its business and/or assets to another corporation or other Person unless, following such sale, more than 50% of the combined voting power of the outstanding securities of the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sale, in substantially the same proportions as their ownership, immediately prior to such sale, of the Company’s outstanding securities entitled to vote generally in the election of directors.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55" w:name="page156"/>
    <w:bookmarkEnd w:id="155"/>
    <w:p>
      <w:pPr>
        <w:ind w:right="160" w:firstLine="648"/>
        <w:spacing w:after="0" w:line="297" w:lineRule="auto"/>
        <w:rPr>
          <w:sz w:val="20"/>
          <w:szCs w:val="20"/>
          <w:color w:val="auto"/>
        </w:rPr>
      </w:pPr>
      <w:r>
        <w:rPr>
          <w:rFonts w:ascii="Arial" w:cs="Arial" w:eastAsia="Arial" w:hAnsi="Arial"/>
          <w:sz w:val="16"/>
          <w:szCs w:val="16"/>
          <w:color w:val="auto"/>
        </w:rPr>
        <w:t>In no event, however, shall a Change in Control be deemed to have occurred, with respect to a Participant, if that Participant is part of a purchasing group which consummates the Change in Control transaction. A Participant shall be deemed “part of a purchasing group” for purposes of the preceding sentence if the Participant is an equity participant or has agreed to become an equity participant in the purchasing company or group (except for (a) passive ownership of less than 3% of the shares of the purchasing company; or (b) ownership of equity participation in the purchasing company or group which is otherwise not deemed to be significant, as determined prior to the Change in Control by a majority of the disinterested Directors).</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Payment of Taxes.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connection with any Award, and as a condition to the issuance or delivery of any Shares to the Participant in connection therewith, the Company may require the Participant to pay the Company an amount equal to the minimum amount of the tax the Company or any Subsidiary may be required to withhold to obtain a deduction for federal, state or local income tax purposes as a result of such Award or to comply with applicable law. The Board in its sole discretion may make available one or more of the following alternatives for the payment of such taxes:</w:t>
      </w:r>
    </w:p>
    <w:p>
      <w:pPr>
        <w:spacing w:after="0" w:line="171" w:lineRule="exact"/>
        <w:rPr>
          <w:sz w:val="20"/>
          <w:szCs w:val="20"/>
          <w:color w:val="auto"/>
        </w:rPr>
      </w:pPr>
    </w:p>
    <w:p>
      <w:pPr>
        <w:ind w:left="1680" w:hanging="505"/>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cash;</w:t>
      </w:r>
    </w:p>
    <w:p>
      <w:pPr>
        <w:spacing w:after="0" w:line="225" w:lineRule="exact"/>
        <w:rPr>
          <w:rFonts w:ascii="Arial" w:cs="Arial" w:eastAsia="Arial" w:hAnsi="Arial"/>
          <w:sz w:val="18"/>
          <w:szCs w:val="18"/>
          <w:color w:val="auto"/>
        </w:rPr>
      </w:pPr>
    </w:p>
    <w:p>
      <w:pPr>
        <w:ind w:left="660" w:right="240" w:firstLine="515"/>
        <w:spacing w:after="0" w:line="342" w:lineRule="auto"/>
        <w:tabs>
          <w:tab w:leader="none" w:pos="1703"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cash received from a broker-dealer to whom the Participant has submitted notice together with irrevocable instructions to deliver promptly to the Company the amount of sales proceeds from the sale of the shares subject to the Award to pay the withholding taxes;</w:t>
      </w:r>
    </w:p>
    <w:p>
      <w:pPr>
        <w:spacing w:after="0" w:line="123" w:lineRule="exact"/>
        <w:rPr>
          <w:rFonts w:ascii="Arial" w:cs="Arial" w:eastAsia="Arial" w:hAnsi="Arial"/>
          <w:sz w:val="16"/>
          <w:szCs w:val="16"/>
          <w:color w:val="auto"/>
        </w:rPr>
      </w:pPr>
    </w:p>
    <w:p>
      <w:pPr>
        <w:ind w:left="660" w:right="240" w:firstLine="515"/>
        <w:spacing w:after="0" w:line="277" w:lineRule="auto"/>
        <w:tabs>
          <w:tab w:leader="none" w:pos="16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directing the Company to withhold such number of Shares otherwise issuable in connection with the Award having an aggregate Fair Market Value equal to the minimum amount of tax required to be withheld;</w:t>
      </w:r>
    </w:p>
    <w:p>
      <w:pPr>
        <w:spacing w:after="0" w:line="170" w:lineRule="exact"/>
        <w:rPr>
          <w:rFonts w:ascii="Arial" w:cs="Arial" w:eastAsia="Arial" w:hAnsi="Arial"/>
          <w:sz w:val="18"/>
          <w:szCs w:val="18"/>
          <w:color w:val="auto"/>
        </w:rPr>
      </w:pPr>
    </w:p>
    <w:p>
      <w:pPr>
        <w:ind w:left="660" w:right="220" w:firstLine="515"/>
        <w:spacing w:after="0" w:line="277" w:lineRule="auto"/>
        <w:tabs>
          <w:tab w:leader="none" w:pos="1703"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delivering previously acquired Shares of the Company that are acceptable to the Board that have an aggregate Fair Market Value equal to the amount required to be withheld; or</w:t>
      </w:r>
    </w:p>
    <w:p>
      <w:pPr>
        <w:spacing w:after="0" w:line="170" w:lineRule="exact"/>
        <w:rPr>
          <w:rFonts w:ascii="Arial" w:cs="Arial" w:eastAsia="Arial" w:hAnsi="Arial"/>
          <w:sz w:val="18"/>
          <w:szCs w:val="18"/>
          <w:color w:val="auto"/>
        </w:rPr>
      </w:pPr>
    </w:p>
    <w:p>
      <w:pPr>
        <w:ind w:left="1680" w:hanging="505"/>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certifying to ownership by attestation of such previously acquired Shares.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Board shall have the sole discretion to establish the terms and conditions applicable to any alternative made available for payment of the required withholding taxes.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Postponement.</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Board may postpone any grant or settlement of an Award or exercise of a Stock Option for such time as the Board in its sole discretion may deem necessary in order to permit the Company:</w:t>
      </w:r>
    </w:p>
    <w:p>
      <w:pPr>
        <w:spacing w:after="0" w:line="170" w:lineRule="exact"/>
        <w:rPr>
          <w:sz w:val="20"/>
          <w:szCs w:val="20"/>
          <w:color w:val="auto"/>
        </w:rPr>
      </w:pPr>
    </w:p>
    <w:p>
      <w:pPr>
        <w:ind w:left="660" w:right="300" w:firstLine="515"/>
        <w:spacing w:after="0" w:line="308" w:lineRule="auto"/>
        <w:tabs>
          <w:tab w:leader="none" w:pos="1693"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effect, amend or maintain any necessary registration of the Plan or the Shares issuable pursuant to an Award, including upon the exercise of an Option, under the Securities Act of 1933, as amended, or the securities laws of any applicable jurisdiction;</w:t>
      </w:r>
    </w:p>
    <w:p>
      <w:pPr>
        <w:spacing w:after="0" w:line="146" w:lineRule="exact"/>
        <w:rPr>
          <w:rFonts w:ascii="Arial" w:cs="Arial" w:eastAsia="Arial" w:hAnsi="Arial"/>
          <w:sz w:val="17"/>
          <w:szCs w:val="17"/>
          <w:color w:val="auto"/>
        </w:rPr>
      </w:pPr>
    </w:p>
    <w:p>
      <w:pPr>
        <w:ind w:left="660" w:right="140" w:firstLine="515"/>
        <w:spacing w:after="0" w:line="264" w:lineRule="auto"/>
        <w:tabs>
          <w:tab w:leader="none" w:pos="170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permit any action to be taken in order to (i) list such Shares on a stock exchange if Shares are then listed on such exchange or (ii) comply with restrictions or regulations incident to the maintenance of a public market for its Shares, including any rules or regulations of any stock exchange on which the Shares are listed; or</w:t>
      </w:r>
    </w:p>
    <w:p>
      <w:pPr>
        <w:spacing w:after="0" w:line="181" w:lineRule="exact"/>
        <w:rPr>
          <w:rFonts w:ascii="Arial" w:cs="Arial" w:eastAsia="Arial" w:hAnsi="Arial"/>
          <w:sz w:val="18"/>
          <w:szCs w:val="18"/>
          <w:color w:val="auto"/>
        </w:rPr>
      </w:pPr>
    </w:p>
    <w:p>
      <w:pPr>
        <w:ind w:left="660" w:right="60" w:firstLine="515"/>
        <w:spacing w:after="0" w:line="286" w:lineRule="auto"/>
        <w:tabs>
          <w:tab w:leader="none" w:pos="1693"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determine that such Shares and the Plan are exempt from such registration or that no action of the kind referred to in (b)(ii) above needs to be taken; and the Company shall not be obligated by virtue of any terms and conditions of any Award or any provision of the Plan to sell or issue Shares in violation of the Securities Act of 1933 or the law of any government having jurisdiction thereof.</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56" w:name="page157"/>
    <w:bookmarkEnd w:id="156"/>
    <w:p>
      <w:pPr>
        <w:ind w:right="340" w:firstLine="648"/>
        <w:spacing w:after="0" w:line="264" w:lineRule="auto"/>
        <w:rPr>
          <w:sz w:val="20"/>
          <w:szCs w:val="20"/>
          <w:color w:val="auto"/>
        </w:rPr>
      </w:pPr>
      <w:r>
        <w:rPr>
          <w:rFonts w:ascii="Arial" w:cs="Arial" w:eastAsia="Arial" w:hAnsi="Arial"/>
          <w:sz w:val="18"/>
          <w:szCs w:val="18"/>
          <w:color w:val="auto"/>
        </w:rPr>
        <w:t>Any such postponement shall not extend the term of an Award and neither the Company nor its Directors or officers shall have any obligation or liability to a Participant, the Participant’s successor or any other person with respect to any Shares as to which the Award shall lapse because of such postponement.</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Non-transferability.</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Awards granted under the Plan, and any rights and privileges pertaining thereto, may not be transferred, assigned, pledged or hypothecated in any manner, or be subject to execution, attachment or similar process, by operation of law or otherwise, other than by will or by the laws of descent and distribution.</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Termination or Amendment of Plan and Award Agreements.</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u w:val="single" w:color="auto"/>
          <w:color w:val="auto"/>
        </w:rPr>
        <w:t>Termination or Amendment of Plan</w:t>
      </w:r>
      <w:r>
        <w:rPr>
          <w:rFonts w:ascii="Arial" w:cs="Arial" w:eastAsia="Arial" w:hAnsi="Arial"/>
          <w:sz w:val="16"/>
          <w:szCs w:val="16"/>
          <w:color w:val="auto"/>
        </w:rPr>
        <w:t>.</w:t>
      </w:r>
    </w:p>
    <w:p>
      <w:pPr>
        <w:spacing w:after="0" w:line="225" w:lineRule="exact"/>
        <w:rPr>
          <w:sz w:val="20"/>
          <w:szCs w:val="20"/>
          <w:color w:val="auto"/>
        </w:rPr>
      </w:pPr>
    </w:p>
    <w:p>
      <w:pPr>
        <w:ind w:left="660" w:firstLine="515"/>
        <w:spacing w:after="0" w:line="255" w:lineRule="auto"/>
        <w:tabs>
          <w:tab w:leader="none" w:pos="1693"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as described below, the Board may terminate, suspend, or amend the Plan, in whole or in part, from time to time, without the approval of the shareholders of the Company, unless such approval is required by applicable law, regulation or rule of any stock exchange on which the Shares are listed. No amendment or termination of the Plan shall adversely affect the right of any Participant under any outstanding Award in any material way without the written consent of the Participant, unless such amendment or termination is required by applicable law, regulation or rule of any stock exchange on which the Shares are listed. Subject to the foregoing, the Board may correct any defect or supply an omission or reconcile any inconsistency in the Plan or in any Award granted hereunder in the manner and to the extent it shall deem desirable, in its sole discretion, to effectuate the Plan.</w:t>
      </w:r>
    </w:p>
    <w:p>
      <w:pPr>
        <w:spacing w:after="0" w:line="189" w:lineRule="exact"/>
        <w:rPr>
          <w:rFonts w:ascii="Arial" w:cs="Arial" w:eastAsia="Arial" w:hAnsi="Arial"/>
          <w:sz w:val="18"/>
          <w:szCs w:val="18"/>
          <w:color w:val="auto"/>
        </w:rPr>
      </w:pPr>
    </w:p>
    <w:p>
      <w:pPr>
        <w:ind w:left="660" w:right="100" w:firstLine="515"/>
        <w:spacing w:after="0" w:line="308" w:lineRule="auto"/>
        <w:tabs>
          <w:tab w:leader="none" w:pos="17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Board shall have the authority to amend the Plan to the extent necessary or appropriate to comply with applicable law, regulation or accounting rules in order to permit Participants who are located outside of the United States to participate in the Plan.</w:t>
      </w:r>
    </w:p>
    <w:p>
      <w:pPr>
        <w:spacing w:after="0" w:line="14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Amendment of Award Agreements</w:t>
      </w:r>
      <w:r>
        <w:rPr>
          <w:rFonts w:ascii="Arial" w:cs="Arial" w:eastAsia="Arial" w:hAnsi="Arial"/>
          <w:sz w:val="16"/>
          <w:szCs w:val="16"/>
          <w:color w:val="auto"/>
        </w:rPr>
        <w: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Board shall have the authority to amend any Award Agreement at any time; provided however, that no such amendment shall adversely affect the right of any Participant under any outstanding Award Agreement in any material way without the written consent of the Participant, unless such amendment is required by applicable law, regulation or rule of any stock exchange on which the Shares are listed.</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No Contract of Employment.</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Neither the adoption of the Plan nor the grant of any Award under the Plan shall be deemed to obligate the Company or any Subsidiary to continue the employment of any Participant for any particular period, nor shall the granting of an Award constitute a request or consent to postpone the retirement date of any Participant.</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Applicable Law.</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All questions pertaining to the validity, construction and administration of the Plan and all Awards granted under the Plan shall be determined in conformity with the laws of Hong Kong, without regard to the conflict of law provisions of any state, and, in the case of Incentive Stock Options, Section 422 of the Code and regulations issued thereunder.</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57" w:name="page158"/>
    <w:bookmarkEnd w:id="157"/>
    <w:p>
      <w:pPr>
        <w:spacing w:after="0"/>
        <w:tabs>
          <w:tab w:leader="none" w:pos="102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Effective Date and Term of Plan.</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225" w:lineRule="exact"/>
        <w:rPr>
          <w:sz w:val="20"/>
          <w:szCs w:val="20"/>
          <w:color w:val="auto"/>
        </w:rPr>
      </w:pPr>
    </w:p>
    <w:p>
      <w:pPr>
        <w:ind w:left="660" w:right="660" w:firstLine="515"/>
        <w:spacing w:after="0" w:line="277" w:lineRule="auto"/>
        <w:tabs>
          <w:tab w:leader="none" w:pos="169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Plan has been adopted by the Board, and is effective, as of November 18, 2017, subject to the approval of the Plan by the shareholders of the Company.</w:t>
      </w:r>
    </w:p>
    <w:p>
      <w:pPr>
        <w:spacing w:after="0" w:line="170" w:lineRule="exact"/>
        <w:rPr>
          <w:rFonts w:ascii="Arial" w:cs="Arial" w:eastAsia="Arial" w:hAnsi="Arial"/>
          <w:sz w:val="18"/>
          <w:szCs w:val="18"/>
          <w:color w:val="auto"/>
        </w:rPr>
      </w:pPr>
    </w:p>
    <w:p>
      <w:pPr>
        <w:ind w:left="660" w:right="180" w:firstLine="515"/>
        <w:spacing w:after="0" w:line="277" w:lineRule="auto"/>
        <w:tabs>
          <w:tab w:leader="none" w:pos="1703"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event the Plan is not approved by shareholders of the Company within 12 months of the date hereof, (i) the Plan shall have no effect, and (ii) any Awards granted on or after November 18, 2018 shall be cancelled.</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u w:val="single" w:color="auto"/>
          <w:color w:val="auto"/>
        </w:rPr>
        <w:t>Term of Plan</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Notwithstanding anything to the contrary contained herein, no Awards shall be granted on or after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of the Plan’s effective date set forth in Section 17.1(a) above.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12" w:right="25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3344545" cy="5829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445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inclusion in this Registration Statement of CLPS Incorporation on Form F-1 of our report dated December 8, 2017, except for Notes 1, 2, 16 and 17 which are dated January 19, 2018, with respect to our audits of CLPS Incorporation and Subsidiaries as of June 30, 2017 and 2016, and the related consolidated statements of income and comprehensive income, changes in shareholders’ equity and cash flows for the years then ended. We also consent to the reference to our Firm under the heading "Experts" in the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142875</wp:posOffset>
            </wp:positionV>
            <wp:extent cx="5582920" cy="5060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82920" cy="50609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decimal"/>
      <w:start w:val="1"/>
    </w:lvl>
  </w:abstractNum>
  <w:abstractNum w:abstractNumId="1">
    <w:nsid w:val="3DC240FB"/>
    <w:multiLevelType w:val="hybridMultilevel"/>
    <w:lvl w:ilvl="0">
      <w:lvlJc w:val="left"/>
      <w:lvlText w:val="(%1)"/>
      <w:numFmt w:val="decimal"/>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lvl w:ilvl="1">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1)"/>
      <w:numFmt w:val="decimal"/>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1."/>
      <w:numFmt w:val="decimal"/>
      <w:start w:val="1"/>
    </w:lvl>
  </w:abstractNum>
  <w:abstractNum w:abstractNumId="24">
    <w:nsid w:val="61574095"/>
    <w:multiLevelType w:val="hybridMultilevel"/>
    <w:lvl w:ilvl="0">
      <w:lvlJc w:val="left"/>
      <w:lvlText w:val="%1."/>
      <w:numFmt w:val="decimal"/>
      <w:start w:val="9"/>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1)"/>
      <w:numFmt w:val="decimal"/>
      <w:start w:val="1"/>
    </w:lvl>
  </w:abstractNum>
  <w:abstractNum w:abstractNumId="35">
    <w:nsid w:val="1381823A"/>
    <w:multiLevelType w:val="hybridMultilevel"/>
    <w:lvl w:ilvl="0">
      <w:lvlJc w:val="left"/>
      <w:lvlText w:val="&amp;"/>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1)"/>
      <w:numFmt w:val="lowerRoman"/>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1."/>
      <w:numFmt w:val="decimal"/>
      <w:start w:val="1"/>
    </w:lvl>
  </w:abstractNum>
  <w:abstractNum w:abstractNumId="62">
    <w:nsid w:val="60B6DF70"/>
    <w:multiLevelType w:val="hybridMultilevel"/>
    <w:lvl w:ilvl="0">
      <w:lvlJc w:val="left"/>
      <w:lvlText w:val="(%1)"/>
      <w:numFmt w:val="lowerRoman"/>
      <w:start w:val="3"/>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1."/>
      <w:numFmt w:val="decimal"/>
      <w:start w:val="9"/>
    </w:lvl>
  </w:abstractNum>
  <w:abstractNum w:abstractNumId="66">
    <w:nsid w:val="1A27709E"/>
    <w:multiLevelType w:val="hybridMultilevel"/>
    <w:lvl w:ilvl="0">
      <w:lvlJc w:val="left"/>
      <w:lvlText w:val="(%1)"/>
      <w:numFmt w:val="lowerRoman"/>
      <w:start w:val="1"/>
    </w:lvl>
  </w:abstractNum>
  <w:abstractNum w:abstractNumId="67">
    <w:nsid w:val="71EA1109"/>
    <w:multiLevelType w:val="hybridMultilevel"/>
    <w:lvl w:ilvl="0">
      <w:lvlJc w:val="left"/>
      <w:lvlText w:val="(%1)"/>
      <w:numFmt w:val="lowerLetter"/>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1)"/>
      <w:numFmt w:val="lowerLetter"/>
      <w:start w:val="1"/>
    </w:lvl>
  </w:abstractNum>
  <w:abstractNum w:abstractNumId="70">
    <w:nsid w:val="6EB5BD4"/>
    <w:multiLevelType w:val="hybridMultilevel"/>
    <w:lvl w:ilvl="0">
      <w:lvlJc w:val="left"/>
      <w:lvlText w:val="(%1)"/>
      <w:numFmt w:val="lowerRoman"/>
      <w:start w:val="1"/>
    </w:lvl>
  </w:abstractNum>
  <w:abstractNum w:abstractNumId="71">
    <w:nsid w:val="6F6DD9AC"/>
    <w:multiLevelType w:val="hybridMultilevel"/>
    <w:lvl w:ilvl="0">
      <w:lvlJc w:val="left"/>
      <w:lvlText w:val="(%1)"/>
      <w:numFmt w:val="lowerRoman"/>
      <w:start w:val="3"/>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1)"/>
      <w:numFmt w:val="decimal"/>
      <w:start w:val="1"/>
    </w:lvl>
  </w:abstractNum>
  <w:abstractNum w:abstractNumId="74">
    <w:nsid w:val="76272110"/>
    <w:multiLevelType w:val="hybridMultilevel"/>
    <w:lvl w:ilvl="0">
      <w:lvlJc w:val="left"/>
      <w:lvlText w:val="(%1)"/>
      <w:numFmt w:val="lowerLetter"/>
      <w:start w:val="2"/>
    </w:lvl>
  </w:abstractNum>
  <w:abstractNum w:abstractNumId="75">
    <w:nsid w:val="4C04A8AF"/>
    <w:multiLevelType w:val="hybridMultilevel"/>
    <w:lvl w:ilvl="0">
      <w:lvlJc w:val="left"/>
      <w:lvlText w:val="(%1)"/>
      <w:numFmt w:val="lowerRoman"/>
      <w:start w:val="1"/>
    </w:lvl>
  </w:abstractNum>
  <w:abstractNum w:abstractNumId="76">
    <w:nsid w:val="1716703B"/>
    <w:multiLevelType w:val="hybridMultilevel"/>
    <w:lvl w:ilvl="0">
      <w:lvlJc w:val="left"/>
      <w:lvlText w:val="(%1)"/>
      <w:numFmt w:val="lowerRoman"/>
      <w:start w:val="1"/>
    </w:lvl>
  </w:abstractNum>
  <w:abstractNum w:abstractNumId="77">
    <w:nsid w:val="14E17E33"/>
    <w:multiLevelType w:val="hybridMultilevel"/>
    <w:lvl w:ilvl="0">
      <w:lvlJc w:val="left"/>
      <w:lvlText w:val="(%1)"/>
      <w:numFmt w:val="lowerLetter"/>
      <w:start w:val="1"/>
    </w:lvl>
  </w:abstractNum>
  <w:abstractNum w:abstractNumId="78">
    <w:nsid w:val="3222E7CD"/>
    <w:multiLevelType w:val="hybridMultilevel"/>
    <w:lvl w:ilvl="0">
      <w:lvlJc w:val="left"/>
      <w:lvlText w:val="(%1)"/>
      <w:numFmt w:val="lowerRoman"/>
      <w:start w:val="13"/>
    </w:lvl>
  </w:abstractNum>
  <w:abstractNum w:abstractNumId="79">
    <w:nsid w:val="74DE0EE3"/>
    <w:multiLevelType w:val="hybridMultilevel"/>
    <w:lvl w:ilvl="0">
      <w:lvlJc w:val="left"/>
      <w:lvlText w:val="(%1)"/>
      <w:numFmt w:val="lowerLetter"/>
      <w:start w:val="1"/>
    </w:lvl>
  </w:abstractNum>
  <w:abstractNum w:abstractNumId="80">
    <w:nsid w:val="68EBC550"/>
    <w:multiLevelType w:val="hybridMultilevel"/>
    <w:lvl w:ilvl="0">
      <w:lvlJc w:val="left"/>
      <w:lvlText w:val="(%1)"/>
      <w:numFmt w:val="lowerLetter"/>
      <w:start w:val="1"/>
    </w:lvl>
  </w:abstractNum>
  <w:abstractNum w:abstractNumId="81">
    <w:nsid w:val="2DF6D648"/>
    <w:multiLevelType w:val="hybridMultilevel"/>
    <w:lvl w:ilvl="0">
      <w:lvlJc w:val="left"/>
      <w:lvlText w:val="(%1)"/>
      <w:numFmt w:val="lowerLetter"/>
      <w:start w:val="1"/>
    </w:lvl>
  </w:abstractNum>
  <w:abstractNum w:abstractNumId="82">
    <w:nsid w:val="46B7D447"/>
    <w:multiLevelType w:val="hybridMultilevel"/>
    <w:lvl w:ilvl="0">
      <w:lvlJc w:val="left"/>
      <w:lvlText w:val="(%1)"/>
      <w:numFmt w:val="lowerLetter"/>
      <w:start w:val="4"/>
    </w:lvl>
  </w:abstractNum>
  <w:abstractNum w:abstractNumId="83">
    <w:nsid w:val="4A2AC315"/>
    <w:multiLevelType w:val="hybridMultilevel"/>
    <w:lvl w:ilvl="0">
      <w:lvlJc w:val="left"/>
      <w:lvlText w:val="(%1)"/>
      <w:numFmt w:val="lowerLetter"/>
      <w:start w:val="1"/>
    </w:lvl>
  </w:abstractNum>
  <w:abstractNum w:abstractNumId="84">
    <w:nsid w:val="39EE015C"/>
    <w:multiLevelType w:val="hybridMultilevel"/>
    <w:lvl w:ilvl="0">
      <w:lvlJc w:val="left"/>
      <w:lvlText w:val="(%1)"/>
      <w:numFmt w:val="lowerLetter"/>
      <w:start w:val="1"/>
    </w:lvl>
  </w:abstractNum>
  <w:abstractNum w:abstractNumId="85">
    <w:nsid w:val="57FC4FBB"/>
    <w:multiLevelType w:val="hybridMultilevel"/>
    <w:lvl w:ilvl="0">
      <w:lvlJc w:val="left"/>
      <w:lvlText w:val="(%1)"/>
      <w:numFmt w:val="lowerLetter"/>
      <w:start w:val="1"/>
    </w:lvl>
    <w:lvl w:ilvl="1">
      <w:lvlJc w:val="left"/>
      <w:lvlText w:val="(%2)"/>
      <w:numFmt w:val="lowerRoman"/>
      <w:start w:val="1"/>
    </w:lvl>
  </w:abstractNum>
  <w:abstractNum w:abstractNumId="86">
    <w:nsid w:val="CC1016F"/>
    <w:multiLevelType w:val="hybridMultilevel"/>
    <w:lvl w:ilvl="0">
      <w:lvlJc w:val="left"/>
      <w:lvlText w:val="(%1)"/>
      <w:numFmt w:val="lowerRoman"/>
      <w:start w:val="5"/>
    </w:lvl>
  </w:abstractNum>
  <w:abstractNum w:abstractNumId="87">
    <w:nsid w:val="43F18422"/>
    <w:multiLevelType w:val="hybridMultilevel"/>
    <w:lvl w:ilvl="0">
      <w:lvlJc w:val="left"/>
      <w:lvlText w:val="(%1)"/>
      <w:numFmt w:val="lowerLetter"/>
      <w:start w:val="3"/>
    </w:lvl>
  </w:abstractNum>
  <w:abstractNum w:abstractNumId="88">
    <w:nsid w:val="60EF0119"/>
    <w:multiLevelType w:val="hybridMultilevel"/>
    <w:lvl w:ilvl="0">
      <w:lvlJc w:val="left"/>
      <w:lvlText w:val="(%1)"/>
      <w:numFmt w:val="lowerLetter"/>
      <w:start w:val="1"/>
    </w:lvl>
  </w:abstractNum>
  <w:abstractNum w:abstractNumId="89">
    <w:nsid w:val="26F324BA"/>
    <w:multiLevelType w:val="hybridMultilevel"/>
    <w:lvl w:ilvl="0">
      <w:lvlJc w:val="left"/>
      <w:lvlText w:val="(%1)"/>
      <w:numFmt w:val="lowerLetter"/>
      <w:start w:val="4"/>
    </w:lvl>
  </w:abstractNum>
  <w:abstractNum w:abstractNumId="90">
    <w:nsid w:val="7F01579B"/>
    <w:multiLevelType w:val="hybridMultilevel"/>
    <w:lvl w:ilvl="0">
      <w:lvlJc w:val="left"/>
      <w:lvlText w:val="(%1)"/>
      <w:numFmt w:val="lowerLetter"/>
      <w:start w:val="4"/>
    </w:lvl>
  </w:abstractNum>
  <w:abstractNum w:abstractNumId="91">
    <w:nsid w:val="49DA307D"/>
    <w:multiLevelType w:val="hybridMultilevel"/>
    <w:lvl w:ilvl="0">
      <w:lvlJc w:val="left"/>
      <w:lvlText w:val="(%1)"/>
      <w:numFmt w:val="lowerLetter"/>
      <w:start w:val="1"/>
    </w:lvl>
  </w:abstractNum>
  <w:abstractNum w:abstractNumId="92">
    <w:nsid w:val="7055A5F5"/>
    <w:multiLevelType w:val="hybridMultilevel"/>
    <w:lvl w:ilvl="0">
      <w:lvlJc w:val="left"/>
      <w:lvlText w:val="(%1)"/>
      <w:numFmt w:val="lowerLetter"/>
      <w:start w:val="1"/>
    </w:lvl>
  </w:abstractNum>
  <w:abstractNum w:abstractNumId="93">
    <w:nsid w:val="5FB8370B"/>
    <w:multiLevelType w:val="hybridMultilevel"/>
    <w:lvl w:ilvl="0">
      <w:lvlJc w:val="left"/>
      <w:lvlText w:val="(%1)"/>
      <w:numFmt w:val="lowerLetter"/>
      <w:start w:val="2"/>
    </w:lvl>
  </w:abstractNum>
  <w:abstractNum w:abstractNumId="94">
    <w:nsid w:val="50801EE1"/>
    <w:multiLevelType w:val="hybridMultilevel"/>
    <w:lvl w:ilvl="0">
      <w:lvlJc w:val="left"/>
      <w:lvlText w:val="(%1)"/>
      <w:numFmt w:val="lowerLetter"/>
      <w:start w:val="1"/>
    </w:lvl>
  </w:abstractNum>
  <w:abstractNum w:abstractNumId="95">
    <w:nsid w:val="488AC1A"/>
    <w:multiLevelType w:val="hybridMultilevel"/>
    <w:lvl w:ilvl="0">
      <w:lvlJc w:val="left"/>
      <w:lvlText w:val="(%1)"/>
      <w:numFmt w:val="lowerLetter"/>
      <w:start w:val="1"/>
    </w:lvl>
  </w:abstractNum>
  <w:abstractNum w:abstractNumId="96">
    <w:nsid w:val="5FB8011C"/>
    <w:multiLevelType w:val="hybridMultilevel"/>
    <w:lvl w:ilvl="0">
      <w:lvlJc w:val="left"/>
      <w:lvlText w:val="(%1)"/>
      <w:numFmt w:val="lowerLetter"/>
      <w:start w:val="1"/>
    </w:lvl>
  </w:abstractNum>
  <w:abstractNum w:abstractNumId="97">
    <w:nsid w:val="6AA78F7F"/>
    <w:multiLevelType w:val="hybridMultilevel"/>
    <w:lvl w:ilvl="0">
      <w:lvlJc w:val="left"/>
      <w:lvlText w:val="(%1)"/>
      <w:numFmt w:val="lowerLetter"/>
      <w:start w:val="1"/>
    </w:lvl>
  </w:abstractNum>
  <w:abstractNum w:abstractNumId="98">
    <w:nsid w:val="7672BD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2019-12-08T18:41:00Z</dcterms:created>
  <dcterms:modified xsi:type="dcterms:W3CDTF">2019-12-08T18:41:00Z</dcterms:modified>
</cp:coreProperties>
</file>