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6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14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CLPS Incorporation</w:t>
      </w:r>
    </w:p>
    <w:p>
      <w:pPr>
        <w:spacing w:after="0" w:line="17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 Millennium City III</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3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122"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65"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6"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Times New Roman" w:cs="Times New Roman" w:eastAsia="Times New Roman" w:hAnsi="Times New Roman"/>
          <w:sz w:val="12"/>
          <w:szCs w:val="12"/>
          <w:b w:val="1"/>
          <w:bCs w:val="1"/>
          <w:color w:val="auto"/>
        </w:rPr>
        <w:t>_________</w:t>
      </w:r>
    </w:p>
    <w:p>
      <w:pPr>
        <w:spacing w:after="0" w:line="81"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Times New Roman" w:cs="Times New Roman" w:eastAsia="Times New Roman" w:hAnsi="Times New Roman"/>
          <w:sz w:val="12"/>
          <w:szCs w:val="12"/>
          <w:b w:val="1"/>
          <w:bCs w:val="1"/>
          <w:color w:val="auto"/>
        </w:rPr>
        <w:t>_________</w:t>
      </w:r>
    </w:p>
    <w:p>
      <w:pPr>
        <w:spacing w:after="0" w:line="94" w:lineRule="exact"/>
        <w:rPr>
          <w:sz w:val="24"/>
          <w:szCs w:val="24"/>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80"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“Yes” marked, indicate below the file number assigned to the registrant in connection with Rule 12g3-2(b):</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2"/>
          <w:szCs w:val="12"/>
          <w:b w:val="1"/>
          <w:bCs w:val="1"/>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57150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374650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Attached hereto as Exhibit 99.1 is a Notice of Annual Meeting of Shareholders and Proxy Statement of CLPS Incorporation (the “Company”) relating to the Company’s 2023 Annual Meeting of Shareholders.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to Find Additional Information</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The Company is a foreign private issuer. As such, the proxy statement is not subject to review and comment by the Securities and Exchange Commission (the “SEC”). Shareholders are urged to carefully read the proxy statement, because it contains important information about the Company and 2023 Annual Meeting of Shareholders. Copies of the proxy statement and other documents filed by the Company will be available at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such filings can also be obtained, without charge, from the Company’s website at </w:t>
      </w:r>
      <w:r>
        <w:rPr>
          <w:rFonts w:ascii="Times New Roman" w:cs="Times New Roman" w:eastAsia="Times New Roman" w:hAnsi="Times New Roman"/>
          <w:sz w:val="18"/>
          <w:szCs w:val="18"/>
          <w:i w:val="1"/>
          <w:iCs w:val="1"/>
          <w:color w:val="auto"/>
        </w:rPr>
        <w:t>https://www.cstproxy.com/clpsglobal/2023</w:t>
      </w:r>
      <w:r>
        <w:rPr>
          <w:rFonts w:ascii="Times New Roman" w:cs="Times New Roman" w:eastAsia="Times New Roman" w:hAnsi="Times New Roman"/>
          <w:sz w:val="18"/>
          <w:szCs w:val="18"/>
          <w:color w:val="auto"/>
        </w:rPr>
        <w:t>, or by directing a request to CLPS Incorporation, c/o Unit 1102,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Millennium City III, 370 Kwun Tong Road, Kwun Tong, Kowloon, Hong Kong SAR.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2"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215E9E"/>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02" w:lineRule="exact"/>
        <w:rPr>
          <w:sz w:val="20"/>
          <w:szCs w:val="20"/>
          <w:color w:val="auto"/>
        </w:rPr>
      </w:pPr>
    </w:p>
    <w:p>
      <w:pPr>
        <w:ind w:left="516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Lin</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-119380</wp:posOffset>
            </wp:positionV>
            <wp:extent cx="1791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57" w:lineRule="exact"/>
        <w:rPr>
          <w:sz w:val="20"/>
          <w:szCs w:val="20"/>
          <w:color w:val="auto"/>
        </w:rPr>
      </w:pPr>
    </w:p>
    <w:p>
      <w:pPr>
        <w:ind w:left="516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March 13, 2023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 Millennium City III</w:t>
      </w: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To be held on April 24, 2023</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of CLPS Incorporation:</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Notice is hereby given that the Annual Meeting of the Shareholders of CLPS Incorporation (the “Company”) will be held on April 24, 2023 at 10 AM China time (or April 23, at 10 PM Eastern Daylight Time), at the Company’s principal executive office in Hong Kong SAR. The meeting is called for the following purposes:</w:t>
      </w:r>
    </w:p>
    <w:p>
      <w:pPr>
        <w:spacing w:after="0" w:line="112" w:lineRule="exact"/>
        <w:rPr>
          <w:sz w:val="20"/>
          <w:szCs w:val="20"/>
          <w:color w:val="auto"/>
        </w:rPr>
      </w:pPr>
    </w:p>
    <w:p>
      <w:pPr>
        <w:ind w:left="1320" w:right="459" w:hanging="434"/>
        <w:spacing w:after="0" w:line="282" w:lineRule="auto"/>
        <w:tabs>
          <w:tab w:leader="none" w:pos="12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each to serve until the next Annual Meeting of Shareholders or until each successor is duly elected and qualified;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CLPS Inc. 2023 Equity Incentive Plan;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is properly brought before the Annual Meeting or any adjournment or postponement thereof.</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close of business on March 1, 2023 has been fixed as the record date for the purpose of determining the shareholders entitled to notice of, and to vote at, the meeting. The register of members of the Company will not be closed. The date on which this Proxy Statement and the accompanying form of proxy card will first be mailed or given to the Company’s shareholders is on or about March 13, 2023.</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All shareholders are cordially invited to attend the meeting. Whether or not you expect to attend, you are respectfully requested by the Board of Directors to sign, date and return the enclosed proxy card promptly. Shareholders who appoint proxies retain the right to revoke them at any time prior to the voting thereof. A return envelope which requires no postage if mailed in the United States is enclosed for your convenience. This Proxy Statement, a form of proxy card and our most recent Annual Report are available, free of charge, online at the following internet address: </w:t>
      </w:r>
      <w:r>
        <w:rPr>
          <w:rFonts w:ascii="Times New Roman" w:cs="Times New Roman" w:eastAsia="Times New Roman" w:hAnsi="Times New Roman"/>
          <w:sz w:val="18"/>
          <w:szCs w:val="18"/>
          <w:i w:val="1"/>
          <w:iCs w:val="1"/>
          <w:color w:val="auto"/>
        </w:rPr>
        <w:t>https://www.cstproxy.com/clpsglobal/2023</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Raymond Ming Hui Lin</w:t>
      </w:r>
    </w:p>
    <w:p>
      <w:pPr>
        <w:spacing w:after="0" w:line="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219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9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Dated: 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44"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Accordingly, you are urged to sign and return the accompanying proxy card whether or not you plan to attend the meeting. If you do attend the meeting and are a record holder, you may vote by ballot at the meeting, and your proxy will be deemed to be revoked. If you hold your shares in street name and wish to vote your shares at the meeting, you should contact your broker about getting a proxy appointing you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247650</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46"/>
        </w:trPr>
        <w:tc>
          <w:tcPr>
            <w:tcW w:w="16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PROXY STATEMENT</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6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ELECTION OF DIRECTORS (PROPOSAL NO. 1)</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16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BOARD AND BOARD COMMITTEES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6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16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EXECUTIVE OFFICERS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6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DIRECTOR COMPENSATION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6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6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TO APPROVE 2023 EQUITY INCENTIVE PLAN (PROPOSAL NO. 2)</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1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 Millennium City III</w:t>
      </w: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CLPS Incorporation (the “Company,” “CLPS” “we,” “us,” or “our”) for the Annual Meeting of Shareholders to be held at the Company’s principal executive office, at Unit 1102,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Millennium City III, 370 Kwun Tong Road, Kwun Tong, Kowloon, Hong Kong SAR on April 24, 2023 at 10AM local China time (or April 23 at 10PM Eastern Daylight Time) and for any adjournment or adjournments thereof, for the purposes set forth in the accompanying Notice of Annual Meeting of Shareholders. The Company will bear the costs of this solicitation.</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If the enclosed proxy is properly executed and returned, the shares represented thereby will be voted in accordance with the directions thereon and otherwise in accordance with the judgment of the persons designated as proxies. Any proxy card on which no instruction is specified will be voted in favor of the actions described in this Proxy Statement and for the election of the nominees set forth under the caption “Election of Directors.” Any shareholder appointing such a proxy has the power to revoke it at any time before it is voted. If you are a holder of record, written notice of such revocation should be forwarded to Continental Stock Transfer &amp; Trust Company,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10004-1561, facsimile: 212-616-7613, Attn: Proxy Services. If you hold your shares in street name, you should contact your broker about revoking your proxy.</w:t>
      </w:r>
    </w:p>
    <w:p>
      <w:pPr>
        <w:spacing w:after="0" w:line="107"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will bear the cost of preparing, printing, assembling and mailing the proxy card, Proxy Statement and other material which may be sent to shareholders in connection with this solicitation. It is contemplated that brokerage houses will forward the proxy materials to beneficial owners at our request. In addition to the solicitation of proxies by use of the mails, officers and regular employees of the Company may solicit proxies without additional compensation, by telephone or telegraph. We may reimburse brokers or other persons holding Shares in their names or the names of their nominees for the expenses of forwarding soliciting material to their principals and obtaining their proxies.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Only holders of our common shares of record at the close of business on March 1, 2023 (the “Record Date”) are entitled to vote at the meeting. On the Record Date, the Company had 23,626,122 common shares outstanding and entitled to vote at the Annual Meeting. For purposes of voting at the Annual Meeting, each common share is entitled to one vote upon all matters to be acted upon at the meeting. No business may be transacted at any meeting of shareholders unless a quorum is present at the commencement of business. The presence of one or more shareholders entitled to vote and present in person or by proxy representing not less than one third of the total issued voting shares of the Company throughout the meeting shall constitute a quorum.</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Election of directors must be approved by the affirmative vote of a simple majority of the votes of the common shares entitled to vote thereon which were present at the Annual Meeting and were voted. The affirmative vote of a simple majority of the votes cast in person or by proxy at the Annual Meeting and entitled to vote is required to ratify the appointment of independent auditors. A “majority vote” means that a proposal passes if it receives a majority of the votes cast by, or on behalf of, the shareholders entitled to vote and present at the meeting.</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or on behalf of, the shareholders entitled to vote at a meeting, while a special resolution requires the affirmative vote of a majority of at least two-thirds of such shareholders as, being entitled to do so, vote in person or by proxy of which notice specifying the intention to propose the resolution as a special resolution has been duly given. A special resolution will be required for important matters such as a change of name or making changes to our memorandum and articles of association.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Only Shares that are voted are taken into account in determining the proportion of votes cast for the election of directors. Any Shares not voted (whether by abstention, broker non-vote or otherwise) will therefore only impact the election of directors to the extent that the failure to vote for any individual may result in another individual’s receiving a larger proportion of votes cast. Similarly, any Shares not voted (whether by abstention, broker non-vote or otherwise) will only impact the percentage of votes cast for or against the other matters. Except for determining the presence or absence of a quorum for the transaction of business, broker non-votes are not counted for any purpose in determining whether a matter has been approved.</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Annual Meeting will be postponed if a quorum is not present at the Annual Meeting. For purposes of determining the presence of a quorum, abstentions and broker non-votes will be counted as present. A broker non-vote occurs when a broker or nominee holding shares for a beneficial owner signs and returns a proxy but does not vote on a particular proposal because the broker or nominee does not have discretionary voting power and has not received instructions from the beneficial owner. If a quorum is not present, the meeting shall stand adjourned to the same time and place seven days hence, or to such other time or place as is determined by the directors (unless the meeting was requisitioned by the shareholders, in which case such meeting shall be cancelled if a quorum is not present). If a quorum is present, the meeting may be adjourned by the chairman of the meeting by the consent of shareholders who are represented constituting a quorum. The meeting may be rescheduled at the time of the adjournment with no further notice of the rescheduled time (except such notice provided at the meeting at which the adjournment decision was made) if the meeting is adjourned for seven clear days or less. Should a meeting be adjourned for more than seven days, whether because of a lack of quorum or otherwise, shareholders shall be given at least seven days’ notice of the date, time and place of the adjourned meeting and the general nature of the business to be transacted. An adjournment will have no effect on the business to be conducted.</w:t>
      </w:r>
    </w:p>
    <w:p>
      <w:pPr>
        <w:spacing w:after="0" w:line="12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do not contain any provisions that allow cumulative voting for elections of directors.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is soliciting your vote through the use of the mail and will bear the cost of this solicitation. The Company does not intend to employ third party solicitors, but our directors, officers, employees, and consultants may solicit proxies by mail, telephone, personal contact, or through online methods; to the extent they do so, the Company will reimburse their expenses for doing this. The Company will also reimburse brokers, fiduciaries, and custodians for their costs in forwarding proxy materials to beneficial owners of the Company’s stock. Other proxy solicitation expenses include those for preparation, mailing, returning, and tabulating the proxies.</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Board is not proposing any action for which the applicable rules and laws provide a right of a shareholder to obtain appraisal of or payment for such shareholder’s shares.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Copies of the Company’s Annual Report on Form 20-F for the fiscal year ended June 30, 2022 as filed with the Securities and Exchange Commission are being sent to all shareholders along with this proxy statement. Additional copies will be furnished without charge to shareholders upon written request. Exhibits to the Annual Report will be provided upon written request. All written requests should be directed to the Company at its main office in Hong Kong SAR. The Company is subject to certain disclosure requirements of the Securities Exchange Act of 1934, as amended. The SEC maintains a website that contains various filings and reports regarding companies that file electronically with the SEC. The SEC’s website address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our filings may be inspected and copied at the public reference facilities of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at 100 F Street, N.E. Washington, DC 20549; and at the SEC’s regional offices at 233 Broadway, New York, NY 10279 and Citicorp Center, 500 West Madison Street, Room 1400, Chicago, IL 60661. Copies of the material may also be obtained upon request and payment of the appropriate fee from the Public Reference Section of the SEC located at 100 F Street, N.E., Washington, DC 20549.</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you are a shareholder of record, you may vote in person at the Annual Meeting.</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give you a ballot sheet when you arrive. If you do not wish to vote in person or you will not be attending the annual meeting, you may vote by proxy. If you have received a printed copy of these proxy materials by mail, you may vote by proxy using the enclosed proxy card. To vote by proxy using the enclosed proxy card (only if you have received a printed copy of these proxy materials by mail), complete, sign and date your proxy card and return it promptly in the envelope provided. If you intend to vote by proxy, your vote must be received by 5:30 p.m., local China time on April 21, 2023 to be counted.</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your shares are registered in your name, you are a shareholder of record with respect to those shares. On the other hand, if your shares are registered in the name of your broker or bank, your shares are held in street name and you are considered the “beneficial owner” of the shares. As the beneficial owner of those shares, you have the right to direct your broker or bank how to vote your shares, and you will receive separate instructions from your broker or bank describing how to vote your shares.</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give a proxy, you may revoke it at any time before it is exercised. You may revoke your proxy in three ways:</w:t>
      </w:r>
    </w:p>
    <w:p>
      <w:pPr>
        <w:spacing w:after="0" w:line="94" w:lineRule="exact"/>
        <w:rPr>
          <w:sz w:val="20"/>
          <w:szCs w:val="20"/>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in another proxy with a later date.</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us in writing (or if the stockholder is a corporation, under its corporate seal, by an officer or attorney of the corporation) at our principal executive offices before the Annual Meeting that you are revoking your proxy.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in person at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Nominating Committee of the Board has recommended that the Board nominate and the Board has nominated Xiao Feng Yang, Raymond Ming Hui Lin, Zhao Hui Feng, Kee Chong Seng, and Jin He Shao, each to serve until the next Annual Meeting of Shareholders or until each successor is duly elected and qualified. It is intended that the proxy appointed by the accompanying proxy card will vote for the election, as directors, of the persons named below, unless the proxy card contains contrary instructions.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no reason to believe that any of the nominees will not be a candidate or will be unable to serve as director. However, in the event that any of the nominees should become unable or unwilling to serve as a director, the persons named in the proxy have advised that they will vote for the election of such person or persons as shall be designated by the directors, unless the proxy card contains contrary instructions.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pages set forth the names of director nominees, their respective principal occupations, positions with the Company, and brief employment history of the past five years, including the names of other publicly-held companies of which each serves or has served as a director during the past five years: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Xiao Feng Yang </w:t>
      </w:r>
      <w:r>
        <w:rPr>
          <w:rFonts w:ascii="Times New Roman" w:cs="Times New Roman" w:eastAsia="Times New Roman" w:hAnsi="Times New Roman"/>
          <w:sz w:val="18"/>
          <w:szCs w:val="18"/>
          <w:color w:val="auto"/>
        </w:rPr>
        <w:t>is the chairman of the board of the Company and has been a director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May 11, 2017. Mr. Yang has over 20 years of executive management and operational experience in 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Economics and Webster University (US). The Board of Directors determined that Xiao Feng Yang should continue serving as our Chairman given his pivotal role in the Company’s founding and long-term vision.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Raymond Ming Hui Lin</w:t>
      </w:r>
      <w:r>
        <w:rPr>
          <w:rFonts w:ascii="Times New Roman" w:cs="Times New Roman" w:eastAsia="Times New Roman" w:hAnsi="Times New Roman"/>
          <w:sz w:val="18"/>
          <w:szCs w:val="18"/>
          <w:color w:val="auto"/>
        </w:rPr>
        <w:t>, is the chief executive officer and director of the Company and has been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the Company since December 7, 2017. Mr. Lin joined CLPS in February 2009 as chief executive officer. From January 2008 to January 2009, Mr. Lin was a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 The Board of Directors determined that Raymond Ming Hui Lin should continue serving as our director given his pivotal role in the Company’s founding, day-to-day operations and long-term vision.</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Zhao Hui Feng </w:t>
      </w:r>
      <w:r>
        <w:rPr>
          <w:rFonts w:ascii="Times New Roman" w:cs="Times New Roman" w:eastAsia="Times New Roman" w:hAnsi="Times New Roman"/>
          <w:sz w:val="18"/>
          <w:szCs w:val="18"/>
          <w:color w:val="auto"/>
        </w:rPr>
        <w:t>is an independent director of the Company and as a member of the Audit Committee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and the Chair of the Nominating Committee of the Board of Directors since July 1, 2020. From March 2017 to August 2022 Mr. Feng has been the general manager at Dalian Wanda 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 The Board determined that Mr. Feng should serve as our director based on his industry knowledge and experience.</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Kee Chong Seng </w:t>
      </w:r>
      <w:r>
        <w:rPr>
          <w:rFonts w:ascii="Times New Roman" w:cs="Times New Roman" w:eastAsia="Times New Roman" w:hAnsi="Times New Roman"/>
          <w:sz w:val="18"/>
          <w:szCs w:val="18"/>
          <w:color w:val="auto"/>
        </w:rPr>
        <w:t>is an independent director of the Company and has been a director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September 4, 2019. Mr. Kee spent a career in the information technology industry, most recently as an operation manager at Citibank from 2003 until his full retirement in 2015. The Board has determined that Kee Chong Seng should serve as our director based on his industry, finance and business experience and expertise.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Jin He Shao </w:t>
      </w:r>
      <w:r>
        <w:rPr>
          <w:rFonts w:ascii="Times New Roman" w:cs="Times New Roman" w:eastAsia="Times New Roman" w:hAnsi="Times New Roman"/>
          <w:sz w:val="18"/>
          <w:szCs w:val="18"/>
          <w:color w:val="auto"/>
        </w:rPr>
        <w:t>is an independent director of the Company and has been a director of the Company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11, 2018. From January 2002 to present, Mr. Shao has been a partner at Shanghai Huajin Accounting &amp; Consulting Professional Services. From August 1995 to December 2001, he served as senior tax manager at Phillips (China) Investment Co., Ltd. Mr. Shao received a joint MBA degree from Shanghai University of Finance&amp; Economics and The Webster University. Mr. Shao is qualified as a PRC CPA. In addition, Mr. Shao attended Shanghai Grain College where he majored in finance and accounting, and STV University where he majored in auditing. The Board has determined that Mr. Shao should serve as our director based on his knowledge of the Company’s operations as well as his financial and accounting experience and expertise.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None of the events listed in Item 401(f) of Regulation S-K has occurred during the past ten years that is material to the evaluation of the ability or integrity of any of our directors, director nominees or executive officers. To the best of our knowledge, there have been no events under any bankruptcy act, criminal proceedings, judgments, injunctions, orders or decrees material to the evaluation of the ability and integrity of any director, executive officer, promoter or control person of the Company during the past ten years and there have been no material proceedings to which any director or executive officer is a party adverse to the Company or any of its subsidiaries or has any material interest averse to the Company or any of its subsidiaries.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AND BOARD COMMITTEES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During the 2022 fiscal year, the Board met via teleconference for a total of 7 times. All of the directors of the Board at the time attended 75% or more of the aggregate of meetings of the Board and meetings of any committee which such director is a member. Each director nominated above is expected to participate, either in person or via teleconference, in meetings of our Board and meetings of committees of our Board in which each director is a member, and to spend the time necessary to properly discharge such director’s respective duties and responsibilities. We do not have a written policy with regard to directors’ attendance at annual meetings of shareholders; however, all directors are encouraged to attend the annual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of Board; Risk Oversight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presently consists of five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There are no family relationships between any of our executive officers and directors. Officers are elected by, and serve at the discretion of, the Board. Our Board holds meetings on at least a quarterly basis. There are no other arrangements or understandings pursuant to which our directors are selected or nominated.</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There is no formal requirement under the Company’s memorandum and articles of association mandating that we hold an annual meeting of our shareholders.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 Officers are elected by, and serve at the discretion of, the board of directors. Our Board holds meetings on at least a quarterly basis. 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Further, there are no share ownership qualifications for directors unless so fixed by us in a general meeting.</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plays a significant role in our risk oversight and makes all relevant Company decisions. As such, it is important for us to have our Chief Executive Officer serve on the Board as he plays key roles in the risk oversight or the Company. As a smaller reporting company with a small Board, we believe it is appropriate to have the involvement and input of all of our directors in risk oversight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Board has reviewed the independence of our directors, applying the NASDAQ independence standards. Based on this review, the Board determined that each of Zhao Hui Feng, Kee Chong Seng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Currently, three committees have been established under the board: the Audit Committee, the Compensation Committee and the Nominating Committee.</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 is responsible for, among other matters:</w:t>
      </w:r>
    </w:p>
    <w:p>
      <w:pPr>
        <w:spacing w:after="0" w:line="144" w:lineRule="exact"/>
        <w:rPr>
          <w:sz w:val="20"/>
          <w:szCs w:val="20"/>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independence of its members from its management;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by our board of directors of our code of business conduct and our disclosure controls and procedures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and/or anonymous submission of concerns regarding accounting, internal controls or auditing matters;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related-party transactions.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Audit Committee consists of Zhao Hui Feng, Kee Chong Seng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w:t>
      </w:r>
    </w:p>
    <w:p>
      <w:pPr>
        <w:spacing w:after="0" w:line="3" w:lineRule="exact"/>
        <w:rPr>
          <w:sz w:val="20"/>
          <w:szCs w:val="20"/>
          <w:color w:val="auto"/>
        </w:rPr>
      </w:pPr>
    </w:p>
    <w:p>
      <w:pPr>
        <w:ind w:left="4460" w:right="1559" w:hanging="4006"/>
        <w:spacing w:after="0" w:line="480" w:lineRule="auto"/>
        <w:tabs>
          <w:tab w:leader="none" w:pos="7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meets the financial sophistication requirements of the NASDAQ rules.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7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preparing the Company’s financial statements, implementing and maintaining systems of internal control, and the independent auditors are responsible for auditing those financial statements and expressing its opinion as to whether the financial statements present fairly, in all material respects, the financial position, results of operations and cash flows of the Company in conformity with generally accepted accounting principles in the United States of America. The Audit Committee is responsible for overseeing the conduct of these activities by the Company’s management and the independent auditors. In fulfilling its responsibilities, the Board appointed Ernst &amp; Young Hua Ming LLP, an independent registered public accounting firm, as the Company’s independent auditors for the 2022 fiscal year. During 2022, the Audit Committee reviewed and discussed with the independent auditors the overall scope and specific plans for their audit.</w:t>
      </w:r>
    </w:p>
    <w:p>
      <w:pPr>
        <w:spacing w:after="0" w:line="14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Annual Report on Form 20-F, the Audit Committee reviewed and discussed with the independent auditors and with management the Company’s audited consolidated financial statements and the adequacy of its internal control over financial reporting. The Audit Committee met with the independent auditors, without management present, to discuss the results of the independent auditors’ audit and the overall quality of the Company’s financial reporting. The meeting was also designed to facilitate any desired private communication between the Audit Committee and the independent auditors.</w:t>
      </w:r>
    </w:p>
    <w:p>
      <w:pPr>
        <w:spacing w:after="0" w:line="13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Audit Committee discussed with the independent auditors the matters required to be discussed by the Statement on Auditing Standards No. 61 (AICPA, Professional Standards, Vol. 1. AU section 380), as adopted by the Public Company Accounting Oversight Board, or PCAOB, in Rule 3200T. The Audit Committee received the written disclosures and the letter from the independent auditors required by applicable requirements of the PCAOB regarding the independent accountants’ communications with the Audit Committee concerning independence, and has discussed with the independent auditors the independent auditors’ independence.</w:t>
      </w:r>
    </w:p>
    <w:p>
      <w:pPr>
        <w:spacing w:after="0" w:line="13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consolidated financial statements be included in the Company’s Annual Report on Form 20-F for the fiscal year ended June 30, 2022, as filed with the Securities and Exchange Commission.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Zhao Hui Feng, Kee Chong Seng, Jin He Shao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44450</wp:posOffset>
            </wp:positionV>
            <wp:extent cx="235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matters:</w:t>
      </w:r>
    </w:p>
    <w:p>
      <w:pPr>
        <w:spacing w:after="0" w:line="144" w:lineRule="exact"/>
        <w:rPr>
          <w:sz w:val="20"/>
          <w:szCs w:val="20"/>
          <w:color w:val="auto"/>
        </w:rPr>
      </w:pPr>
    </w:p>
    <w:p>
      <w:pPr>
        <w:ind w:left="1320" w:right="47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to approve the compensation of our CEO and other executive officers and directors;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key employee compensation goals, policies, plans and programs;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other similar arrangements between us and our executive officers;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or advisors.</w:t>
      </w:r>
    </w:p>
    <w:p>
      <w:pPr>
        <w:spacing w:after="0" w:line="15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Compensation Committee consists of Zhao Hui Feng, Kee Chong Seng and Jin He Shao, with Mr. Kee serving as chair of the Compensation Committee.</w:t>
      </w:r>
    </w:p>
    <w:p>
      <w:pPr>
        <w:spacing w:after="0" w:line="15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Nominating Committee is responsible for, among other matters:</w:t>
      </w:r>
    </w:p>
    <w:p>
      <w:pPr>
        <w:spacing w:after="0" w:line="158"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recommending for selection candidates for directorships;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of directors and director nominees;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regarding the structure and composition of our board and the board committees;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principles and practices;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Company’s Code of Business Conduct and Ethics;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Company’s management.</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Nominating Committee consists of Zhao Hui Feng, Kee Chong Seng and Jin He Shao, with Mr. Feng serving as chair of the Nominating Committee.</w:t>
      </w:r>
    </w:p>
    <w:p>
      <w:pPr>
        <w:spacing w:after="0" w:line="9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Nominating Committee will consider director candidates recommended by shareholders. Shareholders who wish to recommend to the Nominating Committee a candidate for election to the Board should send their letters to: c/o Unit 1102,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Millennium City III, 370 Kwun Tong Road, Kwun Tong, Kowloon, Hong Kong SAR. The corporate secretary will promptly forward all such letters to the members of the Nominating Committee.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Member Attendance at Annual Meetings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Board nominees are generally expected to attend our Annual Meetings in person or by telephone unless personal circumstances make the Board member or director nominee attendance impracticable or inappropriate.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Shareholder Communications with Directors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no formal written policy regarding communication with the Board. Persons wishing to write to the Board or to a specified director or committee of the Board should send correspondence to the Secretary at our main office. Electronic submissions of shareholder correspondence will not be accepted. The Secretary will forward to the directors all communications that, in his judgment, are appropriate for consideration by the directors. Any correspondence received that is addressed generically to the Board will be forwarded to the Chairman of the Board, with a copy will be sent to the Chairman of the Audit Committee.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16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Remuneration and Borrowing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Qualification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director is not required to hold shares as a qualification to office.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annual compensation paid by us for the years ended June 30, 2022 and June 30, 2021.</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Paid</w:t>
            </w:r>
          </w:p>
        </w:tc>
      </w:t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r>
      <w:tr>
        <w:trPr>
          <w:trHeight w:val="46"/>
        </w:trPr>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8"/>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106,104</w:t>
            </w:r>
          </w:p>
        </w:tc>
        <w:tc>
          <w:tcPr>
            <w:tcW w:w="20" w:type="dxa"/>
            <w:vAlign w:val="bottom"/>
          </w:tcPr>
          <w:p>
            <w:pPr>
              <w:spacing w:after="0"/>
              <w:rPr>
                <w:sz w:val="19"/>
                <w:szCs w:val="19"/>
                <w:color w:val="auto"/>
              </w:rPr>
            </w:pPr>
          </w:p>
        </w:tc>
      </w:tr>
      <w:tr>
        <w:trPr>
          <w:trHeight w:val="319"/>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the Board</w:t>
            </w:r>
            <w:r>
              <w:rPr>
                <w:rFonts w:ascii="Times New Roman" w:cs="Times New Roman" w:eastAsia="Times New Roman" w:hAnsi="Times New Roman"/>
                <w:sz w:val="20"/>
                <w:szCs w:val="20"/>
                <w:color w:val="auto"/>
                <w:vertAlign w:val="superscript"/>
              </w:rPr>
              <w:t>(1)</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99,445</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99,445</w:t>
            </w:r>
          </w:p>
        </w:tc>
        <w:tc>
          <w:tcPr>
            <w:tcW w:w="20" w:type="dxa"/>
            <w:vAlign w:val="bottom"/>
          </w:tcPr>
          <w:p>
            <w:pPr>
              <w:spacing w:after="0"/>
              <w:rPr>
                <w:sz w:val="24"/>
                <w:szCs w:val="24"/>
                <w:color w:val="auto"/>
              </w:rPr>
            </w:pPr>
          </w:p>
        </w:tc>
      </w:tr>
      <w:tr>
        <w:trPr>
          <w:trHeight w:val="35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257,531</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257,531</w:t>
            </w:r>
          </w:p>
        </w:tc>
      </w:tr>
      <w:tr>
        <w:trPr>
          <w:trHeight w:val="337"/>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CEO and Director</w:t>
            </w:r>
            <w:r>
              <w:rPr>
                <w:rFonts w:ascii="Times New Roman" w:cs="Times New Roman" w:eastAsia="Times New Roman" w:hAnsi="Times New Roman"/>
                <w:sz w:val="20"/>
                <w:szCs w:val="20"/>
                <w:color w:val="auto"/>
                <w:vertAlign w:val="superscript"/>
              </w:rPr>
              <w:t>(2)</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192,747</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192,747</w:t>
            </w:r>
          </w:p>
        </w:tc>
      </w:tr>
      <w:tr>
        <w:trPr>
          <w:trHeight w:val="35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Yang,</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133,841</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133,841</w:t>
            </w:r>
          </w:p>
        </w:tc>
        <w:tc>
          <w:tcPr>
            <w:tcW w:w="20" w:type="dxa"/>
            <w:vAlign w:val="bottom"/>
          </w:tcPr>
          <w:p>
            <w:pPr>
              <w:spacing w:after="0"/>
              <w:rPr>
                <w:sz w:val="24"/>
                <w:szCs w:val="24"/>
                <w:color w:val="auto"/>
              </w:rPr>
            </w:pPr>
          </w:p>
        </w:tc>
      </w:tr>
      <w:tr>
        <w:trPr>
          <w:trHeight w:val="338"/>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r>
              <w:rPr>
                <w:rFonts w:ascii="Times New Roman" w:cs="Times New Roman" w:eastAsia="Times New Roman" w:hAnsi="Times New Roman"/>
                <w:sz w:val="20"/>
                <w:szCs w:val="20"/>
                <w:color w:val="auto"/>
                <w:vertAlign w:val="superscript"/>
              </w:rPr>
              <w:t>(3)</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75,742</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75,742</w:t>
            </w:r>
          </w:p>
        </w:tc>
        <w:tc>
          <w:tcPr>
            <w:tcW w:w="20" w:type="dxa"/>
            <w:vAlign w:val="bottom"/>
          </w:tcPr>
          <w:p>
            <w:pPr>
              <w:spacing w:after="0"/>
              <w:rPr>
                <w:sz w:val="24"/>
                <w:szCs w:val="24"/>
                <w:color w:val="auto"/>
              </w:rPr>
            </w:pPr>
          </w:p>
        </w:tc>
      </w:tr>
      <w:tr>
        <w:trPr>
          <w:trHeight w:val="35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Li Li,</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216,175</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216,175</w:t>
            </w:r>
          </w:p>
        </w:tc>
      </w:tr>
      <w:tr>
        <w:trPr>
          <w:trHeight w:val="345"/>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r>
              <w:rPr>
                <w:rFonts w:ascii="Times New Roman" w:cs="Times New Roman" w:eastAsia="Times New Roman" w:hAnsi="Times New Roman"/>
                <w:sz w:val="20"/>
                <w:szCs w:val="20"/>
                <w:color w:val="auto"/>
                <w:vertAlign w:val="superscript"/>
              </w:rPr>
              <w:t>(4)</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183,202</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183,202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Chairman effective as of December 9, 2017 and President effective from December 9, 2017 to August 19, 2020.</w:t>
      </w:r>
    </w:p>
    <w:p>
      <w:pPr>
        <w:ind w:left="880" w:hanging="426"/>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Chief Executive Officer effective as of December 9, 2017.</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Chief Financial Officer effective as of December 17, 2020 and Acting Chief Financial Officer effective from November 1, 2019 to December 16, 2020.</w:t>
      </w:r>
    </w:p>
    <w:p>
      <w:pPr>
        <w:ind w:left="880" w:hanging="426"/>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Chief Operating Officer effective as of June 11, 2019.</w:t>
      </w:r>
    </w:p>
    <w:p>
      <w:pPr>
        <w:spacing w:after="0" w:line="15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the applicable Chinese laws, we may only terminate employment agreements without paying the Employee severance pay under the following circumstances: (1) upon the labor contract expires, the Employee does not renew the contract even though the conditions offered by us are the same as or better than those stipulated in the current contract, (2) the Employee is at fault such as (i) is proved during the probation period not to satisfy the conditions for employment, (ii) materially breaches the Company’s rules and regulations,</w:t>
      </w:r>
    </w:p>
    <w:p>
      <w:pPr>
        <w:spacing w:after="0" w:line="3" w:lineRule="exact"/>
        <w:rPr>
          <w:sz w:val="20"/>
          <w:szCs w:val="20"/>
          <w:color w:val="auto"/>
        </w:rPr>
      </w:pPr>
    </w:p>
    <w:p>
      <w:pPr>
        <w:jc w:val="both"/>
        <w:ind w:left="460" w:right="459" w:hanging="6"/>
        <w:spacing w:after="0" w:line="250" w:lineRule="auto"/>
        <w:tabs>
          <w:tab w:leader="none" w:pos="7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serious dereliction of duty or engaged in fraudulent practices, causing substantial damage to the Company, (iv) has additionally established an employment relationship with another employer which materially affects the completion of his tasks with the Company, or he refuses to rectify the matter after the same is brought to his attention by the Employer, (v) causes the employment contract to be invalid from the beginning,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his criminal liability pursued in accordance with the law, (3) the Employee has commenced drawing on his basic old age insurance pension in accordance with the law, (4) in the event of the Employee’s death, or being declared missing by a People’s Court, (5) the Company is declared bankrupt, (6) the Company has its business license revoked, is ordered to close or is closed down, or the Employer decides on early liquidation, or</w:t>
      </w:r>
    </w:p>
    <w:p>
      <w:pPr>
        <w:spacing w:after="0" w:line="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another circumstance specified in laws or administrative statutes arises.</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set forth above, the Company will pay the Employee severance pay. An Employee shall be paid severance pay based on the number of years worked with us at the rate of one month’s wage for each full year worked. Any period of not less than six months but less than one year shall be counted as one year. The severance pay payable to an Employee for any period of less than six months shall be one-half of his monthly wages.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Incentive Awards at Fiscal Year-End</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adopted a 2017 Equity Incentive Plan (the “2017 Plan”). The Plan is a stock-based compensation plan that provides for discretionary grants of, among others, stock options, stock awards and stock unit awards to key employees and directors of the Company. On July 12, 2018, our Board approved, upon a recommendation of the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Following the foregoing issuance, we had 1,986,179 common shares available under the Plan. In addition, in November 2018, our Board of Directors authorized and approved an issuance to various key employees of the Company a total of 306,967 options to purchase common shares under the terms of the Plan, which options are exercisable at the exercise price of $5.25 per share and vesting over a 4-year period. On June 11, 2019, our Board approved an issuance of 12,000 RSUs to key employee under the Plan. RSUs granted to key employee have a term of one year, but are subject to earlier termination in connection with termination of continuous service to the Company. RSUs vest after one-year period. As at the grant date of June 11, 2019, the weighted-average fair value per share was $ 5.91 and the estimated total fair value of the restricted shares granted was $0.07 million. On October 8, 2019, our Board approved an issuance of 18,700 RSUs to key employees under the Plan. RSUs granted to key employees have a term of one year, but are subject to earlier termination in connection with termination of continuous service to the Company. RSUs vest after one-year period. As at the grant date of October 8, 2019, the weighted-average fair value per share was $ 5.07 and the estimated total fair value of the restricted shares granted was $0.09 million. On November 27, 2019, our Board approved an issuance of 594,600 RSUs to key employees under the Plan. RSUs granted to key employees vest on the grant date. As at the grant date of November 27, 2019, the weighted-average fair value per share was $2.7 and the estimated total fair value of the restricted shares granted was $1.6 million. In November 2019, our Board of Directors authorized and approved an issuance to various key employees of the Company a total of 775,250 options to purchase common shares under the terms of the Plan, which options are exercisable at the exercise price of $2.68 per share and vesting over a 4-year period.</w:t>
      </w:r>
    </w:p>
    <w:p>
      <w:pPr>
        <w:spacing w:after="0" w:line="13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adopted a 2019 Equity Incentive Plan (the “2019 Plan”). The Plan is a stock-based compensation plan that provides for discretionary grants of, among others, stock options, stock awards and stock unit awards to key employees and directors of the Company. The Company has granted no award under the 2019 Plan yet.</w:t>
      </w:r>
    </w:p>
    <w:p>
      <w:pPr>
        <w:spacing w:after="0" w:line="10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On April 3, 2020, our annual meeting of shareholders approved the 2020 Equity Incentive Plan (the “2020 Plan”).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On May 6, 2020, the Company granted 1,073,700 RSUs to key employees under the 2020 Plan. The RSUs granted to the employees fully vest on the grant date. The RSUs are valid for a period of 10 years from the grant date. The weighted-average grant-date fair value per share was $2.06 and the estimated total fair value of the RSUs granted was $2,208,601. On June 24, 2020, the Company granted 46,050 RSUs to key employees under the 2020 Plan. The RSUs granted to the employees fully vest on specified date within two years. The RSUs are valid for a period of 10 years from the grant date. The weighted-average grant-date fair value per share was $2.41 and the estimated total fair value of the RSUs granted was $110,981. On November 6, 2020, the Company granted 724,000 RSUs to key employees under the 2020 Plan. The RSUs granted to the employees 30% vest on the grant date and 70% vest six months later. The RSUs are valid for a period of 10 years from the grant date. The weighted-average grant-date fair value per share was $2.89 and the estimated total fair value of the RSUs granted was $2,092,360. On November 6, 2020, our Board of Directors authorized and approved an issuance to various key employees of the Company a total of 618,839 options to purchase common shares under the terms of the Plan, which options are exercisable at the exercise price of $2.68 per share and vesting over a 4-year period. On December 17, 2020, the Company granted 2,420 RSUs to key employees under the 2020 Plan. The RSUs granted to the employees fully vest on the grant date. The RSUs are valid for a period of 10 years from the grant date. The weighted-average grant-date fair value per share was $3.01 and the estimated total fair value of the RSUs granted was $7,284.20. On May 7, 2021, the Company granted 635,950 RSUs to key employees under the 2020 Plan. 606,000 RSUs granted to the employees fully vest on the grant date and 29,950 RSUs granted to the employees fully vest on specified date within one years. The RSUs are valid for a period of 10 years from the grant date.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weighted-average grant-date fair value per share was $3.86 and the estimated total fair value of the RSUs granted was $2,454,767. On August 23, 2021, the Company granted 1,219,600 RSUs to key employees under the 2020 Plan. The RSUs granted to the employees fully vest on specified date within four years. The RSUs are valid for a period of 10 years from the grant date. The weighted-average grant-date fair value per share was $3.15 and the estimated total fair value of the RSUs granted was $3,841,740. On August 23, 2021, our Board of Directors authorized and approved an issuance to various key employees of the Company a total of 2,790,300 options to purchase common shares under the terms of the Plan, which options are exercisable at the exercise price of $2.68 per share and vesting over a 4-year period. On January 31, 2022, the Company granted 1,300,000 RSUs to key employees under the 2020 Plan. The RSUs granted to the employees fully vest on the grant date The RSUs are valid for a period of 10 years from the grant date. The weighted-average grant-date fair value per share was $1.92 and the estimated total fair value of the RSUs granted was $2,496,000. On January 31, 2022, our Board of Directors authorized and approved an issuance to various key employees of the Company a total of 1,300,000 options to purchase common shares under the terms of the Plan, which options are exercisable at the exercise price of $1.68 per share and vesting over a 4-year period. On November 14, 2022, the Company granted 1,161,000 RSUs to key employees under the 2020 Plan. The RSUs granted to the employees fully vest on the grant date. The RSUs are valid for a period of 10 years from the grant date. The weighted-average grant-date fair value per share was $1.135, and the estimated total fair value of the RSUs granted was $1,317,735.00. On November 14, 2022, our Board of Directors authorized and approved an issuance to various key employees of the Company a total of 1,023,531 options to purchase common shares under the terms of the Plan, which options are exercisable at the exercise price of $0.80 per share and vesting over a four-year period.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Xiao Feng Yang Employment Agreement</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The compensation by the Company to Xiao Feng Yang in 2022 fiscal year was USD 106,104.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 Mr. Yang is the chairman of the board of the Company and has been a director of the Company since May 11, 2017.</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Raymond Ming Hui Lin Employment Agreement</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The compensation paid by the Company to Raymond Ming Hui Lin in 2022 fiscal year was USD 257,531.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Rui Yang Employment Agreement</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November 1, 2019, we entered into an employment agreement with Rui Yang pursuant to which she agreed to serve as our Acting Chief Financial Officer. Ms. Yang was appointed as Chief Financial Officer effective as of December 17, 2020. The agreement provides for an annual salary of RMB420,000 (a total of approximately USD60,000) payable in accordance with the Company’s ordinary payroll practices. The compensation paid by the Company to Rui Yang in 2022 fiscal year was USD 133,841.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Li Li Agreement</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June 11, 2019, we entered into an employment agreement with Li Li pursuant to which he agreed to serve as our Chief Operating Officer. Mr. Li’s employment agreement, set to expire on June 10, 2022, provides for an annual salary of RMB 360,000 and HK$273,600 (approximately US$85,200) and 12,000 shares of common stock to be granted in June 2020. The compensation paid by us to Li Li for the fiscal year ended June 30, 2022 was US$216,175.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30,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 OF THE COMPANY’S SECURITIES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20"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March 1, 2023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broker-dealer. Applicable percentage ownership is based on 23,626,122 common shares outstanding as of March 1, 2023. Unless otherwise indicated, the address of each beneficial owner listed in the table below is c/o CLPS Incorporation, Unit 1102,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Millennium City III, 370 Kwun Tong Road, Kwun Tong, Kowloon, Hong Kong SAR.</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59"/>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80" w:type="dxa"/>
            <w:vAlign w:val="bottom"/>
          </w:tcPr>
          <w:p>
            <w:pPr>
              <w:jc w:val="right"/>
              <w:ind w:right="434"/>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9"/>
                <w:szCs w:val="9"/>
                <w:b w:val="1"/>
                <w:bCs w:val="1"/>
                <w:color w:val="auto"/>
              </w:rPr>
              <w:t>(1)</w:t>
            </w:r>
          </w:p>
        </w:tc>
      </w:tr>
      <w:tr>
        <w:trPr>
          <w:trHeight w:val="263"/>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r>
              <w:rPr>
                <w:rFonts w:ascii="Times New Roman" w:cs="Times New Roman" w:eastAsia="Times New Roman" w:hAnsi="Times New Roman"/>
                <w:sz w:val="20"/>
                <w:szCs w:val="20"/>
                <w:color w:val="auto"/>
                <w:vertAlign w:val="superscript"/>
              </w:rPr>
              <w:t>(2)(7)</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5,592,950</w:t>
            </w:r>
          </w:p>
        </w:tc>
        <w:tc>
          <w:tcPr>
            <w:tcW w:w="10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Ming Hui Lin</w:t>
            </w:r>
            <w:r>
              <w:rPr>
                <w:rFonts w:ascii="Times New Roman" w:cs="Times New Roman" w:eastAsia="Times New Roman" w:hAnsi="Times New Roman"/>
                <w:sz w:val="20"/>
                <w:szCs w:val="20"/>
                <w:color w:val="auto"/>
                <w:vertAlign w:val="superscript"/>
              </w:rPr>
              <w:t>(3)(6)(7)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7,075,873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Yang</w:t>
            </w:r>
            <w:r>
              <w:rPr>
                <w:rFonts w:ascii="Times New Roman" w:cs="Times New Roman" w:eastAsia="Times New Roman" w:hAnsi="Times New Roman"/>
                <w:sz w:val="20"/>
                <w:szCs w:val="20"/>
                <w:color w:val="auto"/>
                <w:vertAlign w:val="superscript"/>
              </w:rPr>
              <w:t>(4)(6)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440,710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84"/>
        </w:trPr>
        <w:tc>
          <w:tcPr>
            <w:tcW w:w="558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Li Li</w:t>
            </w:r>
            <w:r>
              <w:rPr>
                <w:rFonts w:ascii="Times New Roman" w:cs="Times New Roman" w:eastAsia="Times New Roman" w:hAnsi="Times New Roman"/>
                <w:sz w:val="10"/>
                <w:szCs w:val="10"/>
                <w:color w:val="auto"/>
              </w:rPr>
              <w:t>(6)(8)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647,863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 He Shao</w:t>
            </w:r>
            <w:r>
              <w:rPr>
                <w:rFonts w:ascii="Times New Roman" w:cs="Times New Roman" w:eastAsia="Times New Roman" w:hAnsi="Times New Roman"/>
                <w:sz w:val="20"/>
                <w:szCs w:val="20"/>
                <w:color w:val="auto"/>
                <w:vertAlign w:val="superscript"/>
              </w:rPr>
              <w:t>(5)(7)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Zhao Hui Feng</w:t>
            </w:r>
            <w:r>
              <w:rPr>
                <w:rFonts w:ascii="Times New Roman" w:cs="Times New Roman" w:eastAsia="Times New Roman" w:hAnsi="Times New Roman"/>
                <w:sz w:val="20"/>
                <w:szCs w:val="20"/>
                <w:color w:val="auto"/>
                <w:vertAlign w:val="superscript"/>
              </w:rPr>
              <w:t>(7)(9)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 Chong Seng</w:t>
            </w:r>
            <w:r>
              <w:rPr>
                <w:rFonts w:ascii="Times New Roman" w:cs="Times New Roman" w:eastAsia="Times New Roman" w:hAnsi="Times New Roman"/>
                <w:sz w:val="20"/>
                <w:szCs w:val="20"/>
                <w:color w:val="auto"/>
                <w:vertAlign w:val="superscript"/>
              </w:rPr>
              <w:t>(7)(10)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&amp; executive officers as a group (7 persons)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13,807,896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83"/>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Qinrui Ltd.</w:t>
            </w:r>
            <w:r>
              <w:rPr>
                <w:rFonts w:ascii="Times New Roman" w:cs="Times New Roman" w:eastAsia="Times New Roman" w:hAnsi="Times New Roman"/>
                <w:sz w:val="20"/>
                <w:szCs w:val="20"/>
                <w:color w:val="auto"/>
                <w:vertAlign w:val="superscript"/>
              </w:rPr>
              <w:t>(2)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4,976,000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Qinhui Ltd.</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4,999,996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4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beneficial owners as a group</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9,975,996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40"/>
        </w:trPr>
        <w:tc>
          <w:tcPr>
            <w:tcW w:w="5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 and includes voting or investment power with respect to the common shares or the power to receive the economic benefit of the common shares.</w:t>
      </w:r>
    </w:p>
    <w:p>
      <w:pPr>
        <w:jc w:val="both"/>
        <w:ind w:left="880" w:right="459" w:hanging="426"/>
        <w:spacing w:after="0" w:line="265"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British Virgin Islands corporation with the mailing address of c/o Ogier Global (BVI) Ltd., Ritter House, Wickhams Cay II, PO Box 3170,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to Mr. Yang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50,000 common shares and vest immediately on the grant date of award. Represents vested portion of the restricted stock granted dated as of January 31, 2022. The total grant of 270,000 common shares and vest immediately on the grant date of award. Represents vested portion of the restricted stock granted dated as of November 14, 2022. The total grant of 50,000 common shares vests in whole immediately on the grant date of award.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5" w:lineRule="auto"/>
        <w:tabs>
          <w:tab w:leader="none" w:pos="8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British Virgin Islands corporation with the mailing address of c/o Ogier Global (BVI) Ltd., Ritter House, Wickhams Cay II, PO Box 3170,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to Mr. Lin vests in three equal installments, with the first installment vesting upon grant, and the second and third — on the first and second anniversary of the grant. Also includes 404,600 restricted shares granted to Mr. Lin on November 27, 2019 and vested immediately.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520,000 common shares vests in whole immediately on the grant date of award. Represents vested portion of the restricted stock granted dated as of August 23, 2021. The total grant of 350,000 common shares and 50,000 vest immediately on the grant date of award, the rest will vest on May 23, 2022. Represents vested portion of the restricted stock granted dated as of January 31, 2022. The total grant of 517,000 common shares and vest immediately on the grant date of award. Represents vested portion of the restricted stock granted dated as of August, 23, 2021. The total grant of 300,000 common shares vested in whole on May 23, 2022. Represents vested portion of the restricted stock granted dated as of November 14, 2022. The total grant of 325,000 common shares vests in whole immediately on the grant date of award. From April 1, 2022 to March 1, 2023, a total of 201 shares were disposed of in various occasions, resulting in the net increased holding of 624,799 shares.</w:t>
      </w:r>
    </w:p>
    <w:p>
      <w:pPr>
        <w:spacing w:after="0" w:line="184"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17,793 shares, which she purchased prior to the Company’s IPO, and the vested portion of the restricted stock granted dated as of May 6, 2020. The total grant of 50,000 common shares vests in whole immediately on the grant date of award. Represents vested portion of the restricted stock granted dated as of June, 24, 2020. The total grant of 12,000 common shares vested in whole on November 1, 2020. Represents vested portion of the restricted stock granted dated as of November 6, 2020. The total grant of 50,000 common shares and 30% vests immediately on the grant date of award, the rest 70% vests on May 6, 2021. Represents vested portion of the restricted stock granted dated as of May 7, 2021. The total grant of 12,000 common shares vested in whole on November 1, 2021. Represents vested portion of the restricted stock granted dated as of May 7, 2021. The total grant of 20,000 common shares vests in whole immediately on the grant date of award. Represents vested portion of the restricted stock granted dated as of January 31, 2022. The total grant of 100,000 common shares and vest immediately on the grant date of award. Represents vested portion of the restricted stock granted dated as of August, 23, 2021. The total grant of 100,000 common shares vested in whole on May 23, 2022. Represents vested portion of the restricted stock granted dated as of August, 23, 2021. 12,000 common shares vested on November 1, 2022. Represents vested portion of the restricted stock granted dated as of November 14, 2022. The total grant of 150,000 common shares vests in whole immediately on the grant date of award. From April 1, 2022 to March 1, 2023 a total of 30,738 shares were disposed of in various occasions, resulting in the net increased holding of 231,262 shares.</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 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Represents vested portion of the restricted stock granted dated as of November 14, 2022. The total grant of 2,000 common shares vests in whole immediately on the grant date of award.</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officer.</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6"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grant of 12,000 common shares vests in one year after the date of award. Represents vested portion of the restricted stock granted dated as of May 6, 2020. The total grant of 100,000 common shares vests in whole immediately on the grant date of award. Represents vested portion of the restricted stock granted dated as of June, 24, 2020. The total grant of 12,000 common shares vested in whole on June 11, 2021.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January 31, 2022. The total grant of 150,000 common shares vests in whole immediately on the grant date of award. Represents vested portion of the restricted stock granted dated as of August, 23, 2021. The total grant of 150,000 common shares vested in whole on May 23, 2022. Represents vested portion of the restricted stock granted dated as of August, 23, 2021. 10,000 common shares vested on June 11, 2022. Represents vested portion of the restricted stock granted dated as of May 7, 2021. The total grant of 12,000 common shares vested in whole on June 11, 2022. Represents</w:t>
      </w:r>
    </w:p>
    <w:p>
      <w:pPr>
        <w:sectPr>
          <w:pgSz w:w="11900" w:h="16838" w:orient="portrait"/>
          <w:cols w:equalWidth="0" w:num="1">
            <w:col w:w="9019"/>
          </w:cols>
          <w:pgMar w:left="1440" w:top="270" w:right="1440"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73" w:lineRule="auto"/>
        <w:rPr>
          <w:sz w:val="20"/>
          <w:szCs w:val="20"/>
          <w:color w:val="auto"/>
        </w:rPr>
      </w:pPr>
      <w:r>
        <w:rPr>
          <w:rFonts w:ascii="Times New Roman" w:cs="Times New Roman" w:eastAsia="Times New Roman" w:hAnsi="Times New Roman"/>
          <w:sz w:val="16"/>
          <w:szCs w:val="16"/>
          <w:color w:val="auto"/>
        </w:rPr>
        <w:t>vested portion of the restricted stock granted dated as of November 14, 2022. The total grant of 100,000 common shares vests in whole immediately on the grant date of award. From April 1, 2022 to March 1,2023 a total of 272,000 shares were vested and 7,533 shares acquired from the market, resulting in the net increased holding of 279,533 shares.</w:t>
      </w:r>
    </w:p>
    <w:p>
      <w:pPr>
        <w:spacing w:after="0" w:line="176" w:lineRule="exact"/>
        <w:rPr>
          <w:sz w:val="20"/>
          <w:szCs w:val="20"/>
          <w:color w:val="auto"/>
        </w:rPr>
      </w:pPr>
    </w:p>
    <w:p>
      <w:pPr>
        <w:jc w:val="both"/>
        <w:ind w:left="880" w:right="459" w:hanging="426"/>
        <w:spacing w:after="0" w:line="264"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Represents vested portion of the restricted stock granted dated as of November 14, 2022. The total grant of 2,000 common shares vests in whole immediately on the grant date of award.</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6"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Represents vested portion of the restricted stock granted dated as of November 14, 2022. The total grant of 2,000 common shares vests in whole immediately on the grant date of award. From March 10, 2021 to April 1, 2022 a total of 16,500 shares were acquired from the market.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 and Related Party Transactions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transactions since July 1, 2020 in which the amount involved in the transaction exceeded or will exceed the lesser of $120,000 or one percent of the average of our total assets as at the year-end for the last two completed fiscal years ended June 30, 2022 and 2021,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Reorganization agreement with our shareholders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balances due to and due from related parties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226,421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Beijing Bright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102,993</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393,761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UniDev</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44,341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Fuson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3,887</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377,642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546,128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Due from related parties mainly represents loan provided to EMIT and software development fee prepaid to Beijing Bright.</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27,616</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UniDev</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33,727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66,884</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Due to related parties mainly represents the unpaid consulting service fee to EMIT and Beijing UniDev and unpaid administrative fee to MCT.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director nominees for directors who receive the affirmative vote of a majority of the common shares entitled to vote thereon which were present at the Annual Meeting and were voted will be elected. The Board recommends a vote FOR election of the director nominees.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is required for ratification of this Proposal. The Board recommends a vote FOR this Proposal.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APPROVE THE 2023 EQUITY INCENTIVE PLAN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8, 2023, our Board approved the 2023 Equity Incentive Plan (the “2023 Plan”), subject to shareholder approval. All of our employees, officers, and directors, and consultants are eligible to be granted options, restricted stock awards, stock unit awards, or stock appreciate rights (each, an “Award”) under the 2023 Plan. The 2023 Plan is currently administered by the Board, which has all the power to administer the 2023 Plan according to its terms, including the power to grant Awards, determine who may be granted Awards and the types and amounts of Awards to be granted, prescribe Award agreements, and establish programs for granting Awards. Awards may be made under the 2023 Plan for up to 20,000,000 of our common shares. No awards have been granted under the 2023 Plan as of today.</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2023 Plan is a stock-based compensation plan that provides for discretionary grants of, among others, stock options, stock awards and stock unit awards to employees, directors and consultants of the Company. The purpose of the 2023 Plan is to recognize contributions made to our company and its subsidiaries by such individuals and to provide them with additional incentive to achieve the objectives of our Company. The following is a summary of the 2023 Plan and is qualified by the full text of the 2020 Plan.</w:t>
      </w:r>
    </w:p>
    <w:p>
      <w:pPr>
        <w:spacing w:after="0" w:line="112"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The 2023 Plan will be administered by our board of directors, or, once constituted,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of the board of directors (we refer to body administering the 2023 Plan as the “Committee”).</w:t>
      </w:r>
    </w:p>
    <w:p>
      <w:pPr>
        <w:spacing w:after="0" w:line="9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Number of Shares of Common Shares. </w:t>
      </w:r>
      <w:r>
        <w:rPr>
          <w:rFonts w:ascii="Times New Roman" w:cs="Times New Roman" w:eastAsia="Times New Roman" w:hAnsi="Times New Roman"/>
          <w:sz w:val="18"/>
          <w:szCs w:val="18"/>
          <w:color w:val="auto"/>
        </w:rPr>
        <w:t>The number of common shares that may be issued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Plan is 20,000,000. Shares issuable under the 2023 Plan may be authorized but unissued shares or treasury shares. If there is a lapse, forfeiture, expiration, termination or cancellation of any award made under the 2023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2023 Plan. The number of common shares issuable under the 2023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2023 Plan. No award granted under the 2020 Plan may be transferred, except by will, the laws of descent and distribution.</w:t>
      </w:r>
    </w:p>
    <w:p>
      <w:pPr>
        <w:spacing w:after="0" w:line="120"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Eligibility. </w:t>
      </w:r>
      <w:r>
        <w:rPr>
          <w:rFonts w:ascii="Times New Roman" w:cs="Times New Roman" w:eastAsia="Times New Roman" w:hAnsi="Times New Roman"/>
          <w:sz w:val="18"/>
          <w:szCs w:val="18"/>
          <w:color w:val="auto"/>
        </w:rPr>
        <w:t>All employees, directors, and consultants of the Company are eligible to receive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2023 Plan.</w:t>
      </w:r>
    </w:p>
    <w:p>
      <w:pPr>
        <w:spacing w:after="0" w:line="8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Awards to Participants. </w:t>
      </w:r>
      <w:r>
        <w:rPr>
          <w:rFonts w:ascii="Times New Roman" w:cs="Times New Roman" w:eastAsia="Times New Roman" w:hAnsi="Times New Roman"/>
          <w:sz w:val="18"/>
          <w:szCs w:val="18"/>
          <w:color w:val="auto"/>
        </w:rPr>
        <w:t>The Plan provides for discretionary awards of, among others,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awards, stock unit awards and stock appreciation rights to participants. Each award made under the 2023 Plan will be evidenced by a written award agreement specifying the terms and conditions of the award as determined by the Committee in its sole discretion, consistent with the terms of the 2023 Plan.</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The Committee has the discretion to grant non-qualified stock options or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options to participants and to set the terms 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Employee may receive Stock Options and Stock Appreciation Rights in any calendar year is 800,000, except that the aggregate maximum number of shares as to which an Employee may receive Stock Options and Stock Appreciation Rights in the calendar year in which such Employee begins employment with the Company or its Subsidiaries is 1,000,000.</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18"/>
          <w:szCs w:val="18"/>
          <w:color w:val="auto"/>
        </w:rPr>
        <w:t>The Committee has the discretion to grant stock awards to participants. Shares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2023 Plan will be effective and 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employee in any calendar year is 800,000 or, in the event the award is settled in cash, an amount equal to the fair market value of such number of shares on the date on which the award is settled.</w:t>
      </w:r>
    </w:p>
    <w:p>
      <w:pPr>
        <w:spacing w:after="0" w:line="117"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Unit Awards. </w:t>
      </w:r>
      <w:r>
        <w:rPr>
          <w:rFonts w:ascii="Times New Roman" w:cs="Times New Roman" w:eastAsia="Times New Roman" w:hAnsi="Times New Roman"/>
          <w:sz w:val="18"/>
          <w:szCs w:val="18"/>
          <w:color w:val="auto"/>
        </w:rPr>
        <w:t>The Committee may, in its discretion, grant stock unit awards to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or SAR. </w:t>
      </w:r>
      <w:r>
        <w:rPr>
          <w:rFonts w:ascii="Times New Roman" w:cs="Times New Roman" w:eastAsia="Times New Roman" w:hAnsi="Times New Roman"/>
          <w:sz w:val="18"/>
          <w:szCs w:val="18"/>
          <w:color w:val="auto"/>
        </w:rPr>
        <w:t>The Committee may grant SARs to participants. Upon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Payment for Stock Options and Withholding Taxes. </w:t>
      </w:r>
      <w:r>
        <w:rPr>
          <w:rFonts w:ascii="Times New Roman" w:cs="Times New Roman" w:eastAsia="Times New Roman" w:hAnsi="Times New Roman"/>
          <w:sz w:val="18"/>
          <w:szCs w:val="18"/>
          <w:color w:val="auto"/>
        </w:rPr>
        <w:t>The Committee may make one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methods available for payment of any 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Amendment of Award Agreements; Amendment and Termination of the 2023 Plan; Term of the 2023 Plan. </w:t>
      </w:r>
      <w:r>
        <w:rPr>
          <w:rFonts w:ascii="Times New Roman" w:cs="Times New Roman" w:eastAsia="Times New Roman" w:hAnsi="Times New Roman"/>
          <w:sz w:val="18"/>
          <w:szCs w:val="18"/>
          <w:color w:val="auto"/>
        </w:rPr>
        <w:t>The Committee may amend any award agreement at any time, provided that no amendment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adversely affect the right of any participant under any agreement in any material way without the written consent of the participant, unless such amendment is required by applicable law, regulation or stock exchange rule. The Board may terminate, suspend or amend the 2023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2023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2023 Plan on or after the tenth anniversary of the effective date of the 2023 Plan.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is required for approval of this Proposal. The Board recommends a vote FOR this Proposal.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does not know of any matters other than those stated in this Proxy Statement that are to be presented for action at the meeting. If any other matters should properly come before the meeting, it is intended that proxies in the accompanying form will be voted on any such other matters in accordance with the judgment of the persons voting such proxies. Discretionary authority to vote on such matters is conferred by such proxies upon the persons voting them.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Shareholders wishing to communicate with the Board or any individual director may write to the Board or the individual director to the Board, CLPS Incorporation, c/o Unit 1102,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Millennium City III, 370 Kwun Tong Road, Kwun Tong, Kowloon, Hong Kong SAR. Any such communication must state the number of Shares beneficially owned by the shareholder making the communication. All such communications will be forwarded to the full Board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files annual and current reports and other documents with the SEC under the Exchange Act. The Company’s SEC filings made electronically through the SEC’s EDGAR system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read and copy any document the Company files at the website of the SEC referred to above. The Company’s file number with the SEC is 001-38505, and the Company began filing through EDGAR on December 8, 2017.</w:t>
      </w:r>
    </w:p>
    <w:p>
      <w:pPr>
        <w:spacing w:after="0" w:line="143" w:lineRule="exact"/>
        <w:rPr>
          <w:sz w:val="20"/>
          <w:szCs w:val="20"/>
          <w:color w:val="auto"/>
        </w:rPr>
      </w:pPr>
    </w:p>
    <w:p>
      <w:pPr>
        <w:ind w:left="460"/>
        <w:spacing w:after="0"/>
        <w:tabs>
          <w:tab w:leader="none" w:pos="5300" w:val="left"/>
        </w:tabs>
        <w:rPr>
          <w:sz w:val="20"/>
          <w:szCs w:val="20"/>
          <w:color w:val="auto"/>
        </w:rPr>
      </w:pPr>
      <w:r>
        <w:rPr>
          <w:rFonts w:ascii="Times New Roman" w:cs="Times New Roman" w:eastAsia="Times New Roman" w:hAnsi="Times New Roman"/>
          <w:sz w:val="18"/>
          <w:szCs w:val="18"/>
          <w:color w:val="auto"/>
        </w:rPr>
        <w:t>March 13, 2023</w:t>
      </w:r>
      <w:r>
        <w:rPr>
          <w:sz w:val="20"/>
          <w:szCs w:val="20"/>
          <w:color w:val="auto"/>
        </w:rPr>
        <w:tab/>
      </w:r>
      <w:r>
        <w:rPr>
          <w:rFonts w:ascii="Times New Roman" w:cs="Times New Roman" w:eastAsia="Times New Roman" w:hAnsi="Times New Roman"/>
          <w:sz w:val="17"/>
          <w:szCs w:val="17"/>
          <w:color w:val="auto"/>
        </w:rPr>
        <w:t>By Order of the Board of Directors</w:t>
      </w:r>
    </w:p>
    <w:p>
      <w:pPr>
        <w:spacing w:after="0" w:line="2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Raymond Ming Hui Lin</w:t>
      </w:r>
    </w:p>
    <w:p>
      <w:pPr>
        <w:spacing w:after="0" w:line="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-127635</wp:posOffset>
            </wp:positionV>
            <wp:extent cx="2057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ANNUAL MEETING OF SHAREHOLDERS OF CLPS INCORPORATION</w:t>
      </w:r>
    </w:p>
    <w:p>
      <w:pPr>
        <w:spacing w:after="0" w:line="1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April 24,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Notice of Meeting, Proxy Statement and Proxy Card are available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https://www.cstproxy.com/clpsglobal/2023.</w:t>
      </w:r>
    </w:p>
    <w:p>
      <w:pPr>
        <w:spacing w:after="0" w:line="17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Please sign, date and mail your proxy card in the envelope provided promptly.</w:t>
      </w:r>
    </w:p>
    <w:p>
      <w:pPr>
        <w:spacing w:after="0" w:line="18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ANNUAL MEETING OF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undersigned acknowledges receipt of the Notice of Annual Meeting of Shareholders and the Proxy Statement and hereby appoints Raymond Ming Hui Lin and Jian Xu or either of them, each with full power of substitution, proxies with power of substitution and hereby authorizes them to represent and to vote, as designated below, all of the shares of common stock of the Company held of record by the undersigned on March 1, 2023 at the Annual Meeting of Shareholders to be held on April 24, 2022 at 10AM local China time (or April 23, at 10PM Eastern Daylight Time) at the Company’s principal executive office in Hong Kong SAR, and at all postponements or adjournments thereof, with all powers the undersigned would possess if personally present. In their discretion, the proxies are authorized to vote upon such other business as may properly come before the Annual Meeting.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Board of Directors recommends that you vote “FOR” each proposal.</w:t>
      </w:r>
    </w:p>
    <w:p>
      <w:pPr>
        <w:spacing w:after="0" w:line="158" w:lineRule="exact"/>
        <w:rPr>
          <w:sz w:val="20"/>
          <w:szCs w:val="20"/>
          <w:color w:val="auto"/>
        </w:rPr>
      </w:pPr>
    </w:p>
    <w:p>
      <w:pPr>
        <w:ind w:left="1060" w:hanging="174"/>
        <w:spacing w:after="0"/>
        <w:tabs>
          <w:tab w:leader="none" w:pos="10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188" w:lineRule="exact"/>
        <w:rPr>
          <w:rFonts w:ascii="Times New Roman" w:cs="Times New Roman" w:eastAsia="Times New Roman" w:hAnsi="Times New Roman"/>
          <w:sz w:val="18"/>
          <w:szCs w:val="18"/>
          <w:b w:val="1"/>
          <w:bCs w:val="1"/>
          <w:color w:val="auto"/>
        </w:rPr>
      </w:pPr>
    </w:p>
    <w:p>
      <w:pPr>
        <w:ind w:left="1040" w:hanging="586"/>
        <w:spacing w:after="0"/>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NOMINEES</w:t>
      </w:r>
    </w:p>
    <w:p>
      <w:pPr>
        <w:spacing w:after="0" w:line="76" w:lineRule="exact"/>
        <w:rPr>
          <w:rFonts w:ascii="MS PGothic" w:cs="MS PGothic" w:eastAsia="MS PGothic" w:hAnsi="MS PGothic"/>
          <w:sz w:val="18"/>
          <w:szCs w:val="18"/>
          <w:color w:val="auto"/>
        </w:rPr>
      </w:pPr>
    </w:p>
    <w:p>
      <w:pPr>
        <w:ind w:left="1040" w:right="5579" w:hanging="586"/>
        <w:spacing w:after="0" w:line="312" w:lineRule="auto"/>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WITHHOLDING AUTHORITY FOR ALL NOMINEES</w:t>
      </w:r>
    </w:p>
    <w:p>
      <w:pPr>
        <w:spacing w:after="0" w:line="28" w:lineRule="exact"/>
        <w:rPr>
          <w:rFonts w:ascii="MS PGothic" w:cs="MS PGothic" w:eastAsia="MS PGothic" w:hAnsi="MS PGothic"/>
          <w:sz w:val="18"/>
          <w:szCs w:val="18"/>
          <w:color w:val="auto"/>
        </w:rPr>
      </w:pPr>
    </w:p>
    <w:p>
      <w:pPr>
        <w:ind w:left="1040" w:hanging="586"/>
        <w:spacing w:after="0"/>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EXCEPT</w:t>
      </w:r>
    </w:p>
    <w:p>
      <w:pPr>
        <w:spacing w:after="0" w:line="76" w:lineRule="exact"/>
        <w:rPr>
          <w:rFonts w:ascii="MS PGothic" w:cs="MS PGothic" w:eastAsia="MS PGothic" w:hAnsi="MS PGothic"/>
          <w:sz w:val="18"/>
          <w:szCs w:val="18"/>
          <w:color w:val="auto"/>
        </w:rPr>
      </w:pPr>
    </w:p>
    <w:p>
      <w:pPr>
        <w:ind w:left="10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INSTRUCTIONS BELOW)</w:t>
      </w:r>
    </w:p>
    <w:p>
      <w:pPr>
        <w:spacing w:after="0" w:line="236" w:lineRule="exact"/>
        <w:rPr>
          <w:rFonts w:ascii="MS PGothic" w:cs="MS PGothic" w:eastAsia="MS PGothic" w:hAnsi="MS PGothic"/>
          <w:sz w:val="18"/>
          <w:szCs w:val="18"/>
          <w:color w:val="auto"/>
        </w:rPr>
      </w:pPr>
    </w:p>
    <w:p>
      <w:pPr>
        <w:ind w:left="2780" w:hanging="211"/>
        <w:spacing w:after="0" w:line="207" w:lineRule="exact"/>
        <w:tabs>
          <w:tab w:leader="none" w:pos="2780" w:val="left"/>
        </w:tabs>
        <w:numPr>
          <w:ilvl w:val="2"/>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Xiao Feng Yang</w:t>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Raymond Ming Hui Lin</w:t>
      </w:r>
    </w:p>
    <w:p>
      <w:pPr>
        <w:spacing w:after="0" w:line="144" w:lineRule="exact"/>
        <w:rPr>
          <w:sz w:val="20"/>
          <w:szCs w:val="20"/>
          <w:color w:val="auto"/>
        </w:rPr>
      </w:pPr>
    </w:p>
    <w:p>
      <w:pPr>
        <w:ind w:left="2060"/>
        <w:spacing w:after="0" w:line="207" w:lineRule="exact"/>
        <w:tabs>
          <w:tab w:leader="none" w:pos="3880" w:val="left"/>
          <w:tab w:leader="none" w:pos="58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Zhao Hui Feng</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Kee Chong Seng</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Jin He Shao</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INSTRUCTION: To withhold authority to vote for any individual nominee(s), mark “FOR ALL EXCEPT”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fill in the circle next to each nominee you which to withhold, as shown here: •</w:t>
      </w:r>
    </w:p>
    <w:p>
      <w:pPr>
        <w:spacing w:after="0" w:line="203" w:lineRule="exact"/>
        <w:rPr>
          <w:sz w:val="20"/>
          <w:szCs w:val="20"/>
          <w:color w:val="auto"/>
        </w:rPr>
      </w:pPr>
    </w:p>
    <w:p>
      <w:pPr>
        <w:ind w:left="1060" w:hanging="174"/>
        <w:spacing w:after="0"/>
        <w:tabs>
          <w:tab w:leader="none" w:pos="10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approve CLPS Inc. 2023 Equity Incentive Plan; and</w:t>
      </w:r>
    </w:p>
    <w:p>
      <w:pPr>
        <w:spacing w:after="0" w:line="225" w:lineRule="exact"/>
        <w:rPr>
          <w:rFonts w:ascii="Times New Roman" w:cs="Times New Roman" w:eastAsia="Times New Roman" w:hAnsi="Times New Roman"/>
          <w:sz w:val="18"/>
          <w:szCs w:val="18"/>
          <w:b w:val="1"/>
          <w:bCs w:val="1"/>
          <w:color w:val="auto"/>
        </w:rPr>
      </w:pPr>
    </w:p>
    <w:p>
      <w:pPr>
        <w:ind w:left="460" w:right="479" w:firstLine="426"/>
        <w:spacing w:after="0" w:line="286" w:lineRule="auto"/>
        <w:tabs>
          <w:tab w:leader="none" w:pos="111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transact any other business that is properly brought before the Annual Meeting or any adjournment or postponement thereof.</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any other business is presented at the meeting, this proxy will be voted by those named in this proxy in their best judgment. At the present time, the Board of Directors is not aware of any other business to be presented at the meeting. If you return an executed copy of this proxy card and do not check a box with respect to any of the proposals set forth above, the Shares represented by this proxy card will be voted “For” the directors and “For” the ratification of the Company’s auditors.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of Shareholder: ___________________ Date: ______________________, 2023</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of Shareholder: ___________________ Date: ______________________, 2023</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Note: Please sign exactly as your name or names appear on this Proxy. If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Roman"/>
      <w:start w:val="3"/>
    </w:lvl>
  </w:abstractNum>
  <w:abstractNum w:abstractNumId="9">
    <w:nsid w:val="3352255A"/>
    <w:multiLevelType w:val="hybridMultilevel"/>
    <w:lvl w:ilvl="0">
      <w:lvlJc w:val="left"/>
      <w:lvlText w:val="(%1)"/>
      <w:numFmt w:val="lowerRoman"/>
      <w:start w:val="6"/>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1)"/>
      <w:numFmt w:val="decimal"/>
      <w:start w:val="9"/>
    </w:lvl>
  </w:abstractNum>
  <w:abstractNum w:abstractNumId="14">
    <w:nsid w:val="41A7C4C9"/>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2023-03-14T17:16:58Z</dcterms:created>
  <dcterms:modified xsi:type="dcterms:W3CDTF">2023-03-14T17:16:58Z</dcterms:modified>
</cp:coreProperties>
</file>