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1080" w:hanging="204"/>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REGISTRATION STATEMENT PURSUANT TO SECTION 12(b) OR (g) OF THE SECURITIES EXCHANGE ACT OF 1934</w:t>
      </w:r>
    </w:p>
    <w:p>
      <w:pPr>
        <w:spacing w:after="0" w:line="21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MS PGothic" w:cs="MS PGothic" w:eastAsia="MS PGothic" w:hAnsi="MS PGothic"/>
          <w:sz w:val="18"/>
          <w:szCs w:val="18"/>
          <w:color w:val="auto"/>
        </w:rPr>
      </w:pPr>
    </w:p>
    <w:p>
      <w:pPr>
        <w:ind w:left="1540" w:hanging="201"/>
        <w:spacing w:after="0"/>
        <w:tabs>
          <w:tab w:leader="none" w:pos="15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June 30, 2023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1380" w:hanging="204"/>
        <w:spacing w:after="0"/>
        <w:tabs>
          <w:tab w:leader="none" w:pos="13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MS PGothic" w:cs="MS PGothic" w:eastAsia="MS PGothic" w:hAnsi="MS PGothic"/>
          <w:sz w:val="18"/>
          <w:szCs w:val="18"/>
          <w:color w:val="auto"/>
        </w:rPr>
      </w:pPr>
    </w:p>
    <w:p>
      <w:pPr>
        <w:ind w:left="1180" w:hanging="210"/>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SHELL COMPANY REPORT PURSUANT TO SECTION 13 OR 15(d) OF THE SECURITIES EXCHANGE ACT OF 1934</w:t>
      </w:r>
    </w:p>
    <w:p>
      <w:pPr>
        <w:spacing w:after="0" w:line="225"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 the transition period from ____________to 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001-38505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1000, 10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Millennium City III</w:t>
      </w: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Raymond Ming Hui Lin, Chief Executive Officer</w:t>
      </w:r>
    </w:p>
    <w:p>
      <w:pPr>
        <w:jc w:val="center"/>
        <w:spacing w:after="0" w:line="208" w:lineRule="auto"/>
        <w:rPr>
          <w:sz w:val="20"/>
          <w:szCs w:val="20"/>
          <w:color w:val="auto"/>
        </w:rPr>
      </w:pPr>
      <w:r>
        <w:rPr>
          <w:rFonts w:ascii="Times New Roman" w:cs="Times New Roman" w:eastAsia="Times New Roman" w:hAnsi="Times New Roman"/>
          <w:sz w:val="18"/>
          <w:szCs w:val="18"/>
          <w:b w:val="1"/>
          <w:bCs w:val="1"/>
          <w:color w:val="auto"/>
        </w:rPr>
        <w:t>c/o Unit 1000, 10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Millennium City III</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CLPS</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On September 24, 2023, the issuer had 25,586,122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1016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1016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1016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ind w:left="1016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“accelerated filer and large accelerated filer” in Rule 12b-2 of the Exchange Act.</w:t>
      </w:r>
    </w:p>
    <w:p>
      <w:pPr>
        <w:spacing w:after="0" w:line="121" w:lineRule="exact"/>
        <w:rPr>
          <w:sz w:val="20"/>
          <w:szCs w:val="20"/>
          <w:color w:val="auto"/>
        </w:rPr>
      </w:pPr>
    </w:p>
    <w:p>
      <w:pPr>
        <w:spacing w:after="0" w:line="207" w:lineRule="exact"/>
        <w:tabs>
          <w:tab w:leader="none" w:pos="3700" w:val="left"/>
          <w:tab w:leader="none" w:pos="74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Non-accelerated filer</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84" w:lineRule="exact"/>
        <w:rPr>
          <w:sz w:val="20"/>
          <w:szCs w:val="20"/>
          <w:color w:val="auto"/>
        </w:rPr>
      </w:pPr>
    </w:p>
    <w:p>
      <w:pPr>
        <w:spacing w:after="0" w:line="207" w:lineRule="exact"/>
        <w:tabs>
          <w:tab w:leader="none" w:pos="22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GAAP</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International Financial Reporting Standards as issued by the International Accounting Standards Board</w:t>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Other</w:t>
      </w:r>
    </w:p>
    <w:p>
      <w:pPr>
        <w:spacing w:after="0" w:line="26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21" w:lineRule="exact"/>
        <w:rPr>
          <w:sz w:val="20"/>
          <w:szCs w:val="20"/>
          <w:color w:val="auto"/>
        </w:rPr>
      </w:pPr>
    </w:p>
    <w:p>
      <w:pPr>
        <w:ind w:left="96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84" w:lineRule="exact"/>
        <w:rPr>
          <w:sz w:val="20"/>
          <w:szCs w:val="20"/>
          <w:color w:val="auto"/>
        </w:rPr>
      </w:pPr>
    </w:p>
    <w:p>
      <w:pPr>
        <w:ind w:left="1016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Auditor Name:</w:t>
            </w: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Auditor Location: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Auditor Firm ID:</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Ernst &amp; Young Hua Ming LLP</w:t>
            </w:r>
          </w:p>
        </w:tc>
        <w:tc>
          <w:tcPr>
            <w:tcW w:w="12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Shanghai, the People’s Republic of China</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1408</w:t>
            </w:r>
          </w:p>
        </w:tc>
      </w:tr>
      <w:tr>
        <w:trPr>
          <w:trHeight w:val="198"/>
        </w:trPr>
        <w:tc>
          <w:tcPr>
            <w:tcW w:w="3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9"/>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CLPS Incorporation (the “Company”) is filing this Amendment No. 1 (this “Amendment”) to its Annual Report on Form 20-F for the fiscal year ended June 30, 2023, as initially filed with the U.S. Securities and Exchange Commission (the “SEC”) on October 18, 2023 (the “Initial Filing”), solely for the purpose of amending and restating in its entirety “Item 16I. Disclosure Regarding Foreign Jurisdictions that Prevent Inspections” in the Initial Filing in response to certain comments from the staff of the SEC.</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Amendment speaks as of October 18, 2023, the date of the Initial Filing. Except as set forth above, this Amendment does not amend, update or restate in any way the financial statements, any other item or disclosure contained in the Initial Filing. As a result, this Amendment does not reflect any event that has occurred after October 18, 2023. Accordingly, this Amendment should be read in conjunction with the Initial Filing as well as the Company’s other filings with, and reports furnished to, the SEC after October 18, 2023.</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required by Rule 12b-15 of the Securities and Exchange Act of 1934, as amended, the Company is filing or furnishing the certifications required under Section 302 and Section 906 of the Sarbanes-Oxley Act of 2002 as exhibits to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Supplemental Submission pursuant to Item 16I(a) of Form 20-F, which has been furnished as Exhibit 99.4 to this annual report.</w:t>
      </w:r>
    </w:p>
    <w:p>
      <w:pPr>
        <w:spacing w:after="0" w:line="225" w:lineRule="exact"/>
        <w:rPr>
          <w:rFonts w:ascii="Times New Roman" w:cs="Times New Roman" w:eastAsia="Times New Roman" w:hAnsi="Times New Roman"/>
          <w:sz w:val="18"/>
          <w:szCs w:val="18"/>
          <w:color w:val="auto"/>
        </w:rPr>
      </w:pPr>
    </w:p>
    <w:p>
      <w:pPr>
        <w:ind w:right="40" w:firstLine="8"/>
        <w:spacing w:after="0" w:line="255"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2022, we were conclusively identified by the SEC as a “Commission-Identified Issuer” under the HFCAA following the filing of our annual report on Form 20-F for the fiscal year ended June 30, 2022. Our auditor who conducted auditing for the fiscal years ended June 30, 2022 and 2021, a registered public accounting firm that headquartered in mainland China, a jurisdiction where the PCAOB was unable to inspect or investigate completely in 2021, issued an audit report for our fiscal year ended June 30, 2022. On December 15, 2022, the PCAOB vacated its 2021 Determinations and removed mainland China and Hong Kong from the list of jurisdictions where it was unable to inspect or investigate completely registered public accounting firms that has a branch or office located. As a result, we do not expect to be identified as a “Commission-Identified Issuer” under the HFCAA for the fiscal year ended June 30, 2023 after we file our annual report on Form 20-F for such fiscal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w:t>
      </w:r>
    </w:p>
    <w:p>
      <w:pPr>
        <w:spacing w:after="0" w:line="225" w:lineRule="exact"/>
        <w:rPr>
          <w:sz w:val="20"/>
          <w:szCs w:val="20"/>
          <w:color w:val="auto"/>
        </w:rPr>
      </w:pPr>
    </w:p>
    <w:p>
      <w:pPr>
        <w:ind w:right="40" w:firstLine="8"/>
        <w:spacing w:after="0" w:line="266"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checked and confirmed its register of members in order to confirm that, to the best of its knowledge, none of the shares of the Company or its consolidated foreign operating entities is owned by governmental entities in the Cayman Islands, Hong Kong, mainland China, United States, Japan, Singapore, Australia, Malaysia, India, the Philippines, Vietnam, and Canada;</w:t>
      </w:r>
    </w:p>
    <w:p>
      <w:pPr>
        <w:spacing w:after="0" w:line="175" w:lineRule="exact"/>
        <w:rPr>
          <w:rFonts w:ascii="Times New Roman" w:cs="Times New Roman" w:eastAsia="Times New Roman" w:hAnsi="Times New Roman"/>
          <w:sz w:val="18"/>
          <w:szCs w:val="18"/>
          <w:color w:val="auto"/>
        </w:rPr>
      </w:pPr>
    </w:p>
    <w:p>
      <w:pPr>
        <w:ind w:firstLine="8"/>
        <w:spacing w:after="0" w:line="261"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reviewed (i) the shareholders list provided by its transfer agent and the register of members, (ii) Schedules 13D and 13G filed by the shareholders with the SEC, in order to confirm that, to the best of its knowledge, none of the governmental entities in Hong Kong or mainland China have a controlling financial interest in us or any of our consolidated foreign operating entities. The Company did not rely upon any legal opinions or third-party certifications such as affidavits as the basis for disclosure;</w:t>
      </w:r>
    </w:p>
    <w:p>
      <w:pPr>
        <w:spacing w:after="0" w:line="179" w:lineRule="exact"/>
        <w:rPr>
          <w:rFonts w:ascii="Times New Roman" w:cs="Times New Roman" w:eastAsia="Times New Roman" w:hAnsi="Times New Roman"/>
          <w:sz w:val="18"/>
          <w:szCs w:val="18"/>
          <w:color w:val="auto"/>
        </w:rPr>
      </w:pPr>
    </w:p>
    <w:p>
      <w:pPr>
        <w:ind w:right="260" w:firstLine="8"/>
        <w:spacing w:after="0" w:line="25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examination of the biographies of, and the inquiries made with, all the directors of the Company and its consolidated foreign operating entities, and the review of the official list published by the Chinese Communist Party, none of the members of our board of directors or the board of directors of our consolidated foreign operating entities is an official of the Chinese Communist Party. In connection with such review and inquiries, the Company did not take into consideration such individuals’ current or prior memberships on, or affiliations with, committees of the Chinese Communist Party, based on information provided by the applicable individuals to the Company. The Company did not rely upon any legal opinions or third-party certifications such as affidavits as the basis for disclosure. After taking the foregoing steps, nothing has come to the Company’s attention suggesting that any such individual is an official of the Chinese Communist Party; and</w:t>
      </w:r>
    </w:p>
    <w:p>
      <w:pPr>
        <w:spacing w:after="0" w:line="188" w:lineRule="exact"/>
        <w:rPr>
          <w:rFonts w:ascii="Times New Roman" w:cs="Times New Roman" w:eastAsia="Times New Roman" w:hAnsi="Times New Roman"/>
          <w:sz w:val="18"/>
          <w:szCs w:val="18"/>
          <w:color w:val="auto"/>
        </w:rPr>
      </w:pPr>
    </w:p>
    <w:p>
      <w:pPr>
        <w:ind w:right="660" w:firstLine="8"/>
        <w:spacing w:after="0" w:line="312" w:lineRule="auto"/>
        <w:tabs>
          <w:tab w:leader="none" w:pos="30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currently effective memorandum and articles of association of our company or equivalent organizing documents of its consolidated foreign operating entities do not contain any charter of the Chinese Communist Party, including the text of any such articles or organizing documents.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are filed as part of this Annual Report beginning on page F-1.</w:t>
      </w:r>
    </w:p>
    <w:p>
      <w:pPr>
        <w:spacing w:after="0" w:line="14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r:id="rId14">
        <w:r>
          <w:rPr>
            <w:rFonts w:ascii="Times New Roman" w:cs="Times New Roman" w:eastAsia="Times New Roman" w:hAnsi="Times New Roman"/>
            <w:sz w:val="17"/>
            <w:szCs w:val="17"/>
            <w:u w:val="single" w:color="auto"/>
            <w:color w:val="0000EE"/>
          </w:rPr>
          <w:t>Form of Underwriting Agreement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40" w:hanging="1132"/>
        <w:spacing w:after="0"/>
        <w:tabs>
          <w:tab w:leader="none" w:pos="1140" w:val="left"/>
        </w:tabs>
        <w:numPr>
          <w:ilvl w:val="0"/>
          <w:numId w:val="5"/>
        </w:numPr>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Description of Securities registered under Section 12 of the Exchange Act (6)</w:t>
        </w:r>
      </w:hyperlink>
    </w:p>
    <w:tbl>
      <w:tblPr>
        <w:tblLayout w:type="fixed"/>
        <w:tblInd w:w="0" w:type="dxa"/>
        <w:tblCellMar>
          <w:top w:w="0" w:type="dxa"/>
          <w:left w:w="0" w:type="dxa"/>
          <w:bottom w:w="0" w:type="dxa"/>
          <w:right w:w="0" w:type="dxa"/>
        </w:tblCellMar>
      </w:tblPr>
      <w:tr>
        <w:trPr>
          <w:trHeight w:val="205"/>
        </w:trPr>
        <w:tc>
          <w:tcPr>
            <w:tcW w:w="1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10100" w:type="dxa"/>
            <w:vAlign w:val="bottom"/>
            <w:gridSpan w:val="32"/>
            <w:shd w:val="clear" w:color="auto" w:fill="CCEEFF"/>
          </w:tcPr>
          <w:p>
            <w:pPr>
              <w:spacing w:after="0" w:line="184"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Memorandum and Articles of Association (1).</w:t>
              </w:r>
            </w:hyperlink>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3320" w:type="dxa"/>
            <w:vAlign w:val="bottom"/>
            <w:tcBorders>
              <w:top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Specimen Share Certificate (1).</w:t>
              </w:r>
            </w:hyperlink>
          </w:p>
        </w:tc>
        <w:tc>
          <w:tcPr>
            <w:tcW w:w="6780" w:type="dxa"/>
            <w:vAlign w:val="bottom"/>
            <w:tcBorders>
              <w:top w:val="single" w:sz="8" w:color="CCEEFF"/>
            </w:tcBorders>
            <w:gridSpan w:val="17"/>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2017 Equity Incentive Plan (1).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2019 Equity Incentive Plan (3).</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18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2020 Equity Incentive Plan(4)</w:t>
              </w:r>
            </w:hyperlink>
          </w:p>
        </w:tc>
        <w:tc>
          <w:tcPr>
            <w:tcW w:w="7920" w:type="dxa"/>
            <w:vAlign w:val="bottom"/>
            <w:tcBorders>
              <w:bottom w:val="single" w:sz="8" w:color="CCEEFF"/>
            </w:tcBorders>
            <w:gridSpan w:val="28"/>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2023 Equity Incentive Plan(8)</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312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Independent Director Agreement (1).</w:t>
              </w:r>
            </w:hyperlink>
          </w:p>
        </w:tc>
        <w:tc>
          <w:tcPr>
            <w:tcW w:w="6980" w:type="dxa"/>
            <w:vAlign w:val="bottom"/>
            <w:tcBorders>
              <w:bottom w:val="single" w:sz="8" w:color="CCEEFF"/>
            </w:tcBorders>
            <w:gridSpan w:val="20"/>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Employment Agreement between the Company and Xiao Feng Yang (1).</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Employment Agreement between the Company and Raymond Ming Hui Lin (1).</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5820" w:type="dxa"/>
            <w:vAlign w:val="bottom"/>
            <w:tcBorders>
              <w:top w:val="single" w:sz="8" w:color="0000EE"/>
            </w:tcBorders>
            <w:gridSpan w:val="25"/>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Employment Agreement between the Company and Rui Yang (5).</w:t>
              </w:r>
            </w:hyperlink>
          </w:p>
        </w:tc>
        <w:tc>
          <w:tcPr>
            <w:tcW w:w="4280" w:type="dxa"/>
            <w:vAlign w:val="bottom"/>
            <w:tcBorders>
              <w:top w:val="single" w:sz="8" w:color="CCEEFF"/>
            </w:tcBorders>
            <w:gridSpan w:val="7"/>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Employment Agreement between the Company and Li Li (7).</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ANZ Global Services and Operations (Chengdu) Company Limited Agreement (1).</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Master Lease Agreement - Shanghai Pudong Software Park Co., Ltd.*</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Master Lease Agreement - Shanghai Pudong Software Park Co., Ltd.*</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372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Master Lease Agreement - Dalian High-Tech Park*</w:t>
              </w:r>
            </w:hyperlink>
          </w:p>
        </w:tc>
        <w:tc>
          <w:tcPr>
            <w:tcW w:w="6380" w:type="dxa"/>
            <w:vAlign w:val="bottom"/>
            <w:tcBorders>
              <w:bottom w:val="single" w:sz="8" w:color="CCEEFF"/>
            </w:tcBorders>
            <w:gridSpan w:val="16"/>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Master Lease Agreement -Guangzhou Fengxing Plaza-A20F*</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Master Lease Agreement -Guangzhou Fengxing Plaza-A21F*</w:t>
              </w:r>
            </w:hyperlink>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4460" w:type="dxa"/>
            <w:vAlign w:val="bottom"/>
            <w:tcBorders>
              <w:top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Framework Contract for Subcontracting (1).</w:t>
              </w:r>
            </w:hyperlink>
          </w:p>
        </w:tc>
        <w:tc>
          <w:tcPr>
            <w:tcW w:w="5640" w:type="dxa"/>
            <w:vAlign w:val="bottom"/>
            <w:tcBorders>
              <w:top w:val="single" w:sz="8" w:color="CCEEFF"/>
            </w:tcBorders>
            <w:gridSpan w:val="1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216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Form Warrant Agreement (2).</w:t>
              </w:r>
            </w:hyperlink>
          </w:p>
        </w:tc>
        <w:tc>
          <w:tcPr>
            <w:tcW w:w="7940" w:type="dxa"/>
            <w:vAlign w:val="bottom"/>
            <w:tcBorders>
              <w:bottom w:val="single" w:sz="8" w:color="CCEEFF"/>
            </w:tcBorders>
            <w:gridSpan w:val="29"/>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Lockup Agreement (2).</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288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Escrow Indemnification Agreement (2).</w:t>
              </w:r>
            </w:hyperlink>
          </w:p>
        </w:tc>
        <w:tc>
          <w:tcPr>
            <w:tcW w:w="7220" w:type="dxa"/>
            <w:vAlign w:val="bottom"/>
            <w:tcBorders>
              <w:bottom w:val="single" w:sz="8" w:color="CCEEFF"/>
            </w:tcBorders>
            <w:gridSpan w:val="22"/>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Credit Agreement with Bank of Shanghai Pudong Development Bank Co. Ltd-22 million*</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652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Credit Agreement with Bank of Shanghai Pudong Development Bank Co. Ltd-18 million*</w:t>
              </w:r>
            </w:hyperlink>
          </w:p>
        </w:tc>
        <w:tc>
          <w:tcPr>
            <w:tcW w:w="358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Credit Agreement with Bank of Communications Bank Co., Ltd.-10 million. *</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Credit Agreement with China Merchants Bank Co., Ltd.-10 million*</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9780" w:type="dxa"/>
            <w:vAlign w:val="bottom"/>
            <w:tcBorders>
              <w:bottom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(Principal Executive Officer) pursuant to Rule 13a-14(a) of the Securities Exchange Act, as</w:t>
            </w:r>
          </w:p>
        </w:tc>
        <w:tc>
          <w:tcPr>
            <w:tcW w:w="320" w:type="dxa"/>
            <w:vAlign w:val="bottom"/>
            <w:gridSpan w:val="2"/>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968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(Principal Financial Officer) pursuant to Rule 13a-14(a) of the Securities Exchange Act, as</w:t>
            </w:r>
          </w:p>
        </w:tc>
        <w:tc>
          <w:tcPr>
            <w:tcW w:w="42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9400" w:type="dxa"/>
            <w:vAlign w:val="bottom"/>
            <w:tcBorders>
              <w:bottom w:val="single" w:sz="8" w:color="CCEEFF"/>
            </w:tcBorders>
            <w:gridSpan w:val="31"/>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9980" w:type="dxa"/>
            <w:vAlign w:val="bottom"/>
            <w:tcBorders>
              <w:bottom w:val="single" w:sz="8" w:color="0000EE"/>
            </w:tcBorders>
            <w:gridSpan w:val="31"/>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and Chief Financial Officer pursuant to 18 U.S.C. 1350, as adopted pursuant to Section 906 of</w:t>
            </w:r>
          </w:p>
        </w:tc>
        <w:tc>
          <w:tcPr>
            <w:tcW w:w="1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234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Code of Conduct and Ethics (1).</w:t>
              </w:r>
            </w:hyperlink>
          </w:p>
        </w:tc>
        <w:tc>
          <w:tcPr>
            <w:tcW w:w="7760" w:type="dxa"/>
            <w:vAlign w:val="bottom"/>
            <w:tcBorders>
              <w:bottom w:val="single" w:sz="8" w:color="CCEEFF"/>
            </w:tcBorders>
            <w:gridSpan w:val="26"/>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01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the Chief Executive Officer Pursuant to Item 16I(a) of Form 20-F(9)</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List of Subsidiaries of the Registrant.*</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Consent of Ernst &amp; Young Hua Ming LLP.*</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Charter of the Audit Committee (1).</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100" w:type="dxa"/>
            <w:vAlign w:val="bottom"/>
            <w:gridSpan w:val="32"/>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Charter of the Compensation Committee (1).</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30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Charter of the Nominating Committee (1).</w:t>
              </w:r>
            </w:hyperlink>
          </w:p>
        </w:tc>
        <w:tc>
          <w:tcPr>
            <w:tcW w:w="7040" w:type="dxa"/>
            <w:vAlign w:val="bottom"/>
            <w:tcBorders>
              <w:bottom w:val="single" w:sz="8" w:color="CCEEFF"/>
            </w:tcBorders>
            <w:gridSpan w:val="21"/>
            <w:shd w:val="clear" w:color="auto" w:fill="CCEEFF"/>
          </w:tcPr>
          <w:p>
            <w:pPr>
              <w:spacing w:after="0"/>
              <w:rPr>
                <w:sz w:val="17"/>
                <w:szCs w:val="17"/>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part of the registration statement filed with the SEC on March 27, 2018 and incorporated by reference herein.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as exhibit to Form F-1/A filed on May 18, 2018 and incorporated by reference herein.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part of the registration statement filed with the SEC on April 29, 2019 and incorporated by reference herein.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registration statement filed with the SEC on April 27, 2020 and incorporated by reference herein.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Form 6-K filed with the SEC on November 4, 2019 and incorporated by reference herein.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Form 8-A 12B on May 22, 2018 and incorporated by reference herein.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as an exhibit to Form 20-F on October 22, 2020 and incorporated by reference herein.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part of the registration statement filed with the SEC on May 12, 2023 and incorporated by reference herein.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Amendment.</w:t>
      </w:r>
    </w:p>
    <w:p>
      <w:pPr>
        <w:spacing w:after="0" w:line="12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or furnished, as applicable, with the Initial Filing.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95" w:gutter="0" w:footer="0" w:header="0"/>
        </w:sectPr>
      </w:pPr>
    </w:p>
    <w:bookmarkStart w:id="5" w:name="page6"/>
    <w:bookmarkEnd w:id="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7"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April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April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Rui Yang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873" w:right="5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Ming Hui Lin,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as amended by Amendment No. 1 thereto, of CLPS Incorporation;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160" w:hanging="328"/>
        <w:spacing w:after="0" w:line="312" w:lineRule="auto"/>
        <w:tabs>
          <w:tab w:leader="none" w:pos="6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9" w:lineRule="exact"/>
        <w:rPr>
          <w:rFonts w:ascii="Times New Roman" w:cs="Times New Roman" w:eastAsia="Times New Roman" w:hAnsi="Times New Roman"/>
          <w:sz w:val="17"/>
          <w:szCs w:val="17"/>
          <w:color w:val="auto"/>
        </w:rPr>
      </w:pPr>
    </w:p>
    <w:p>
      <w:pPr>
        <w:ind w:left="340" w:right="16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April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Rui Yang,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as amended by Amendment No. 1 thereto, of CLPS Incorporation;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160" w:hanging="328"/>
        <w:spacing w:after="0" w:line="312" w:lineRule="auto"/>
        <w:tabs>
          <w:tab w:leader="none" w:pos="6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9" w:lineRule="exact"/>
        <w:rPr>
          <w:rFonts w:ascii="Times New Roman" w:cs="Times New Roman" w:eastAsia="Times New Roman" w:hAnsi="Times New Roman"/>
          <w:sz w:val="17"/>
          <w:szCs w:val="17"/>
          <w:color w:val="auto"/>
        </w:rPr>
      </w:pPr>
    </w:p>
    <w:p>
      <w:pPr>
        <w:ind w:left="340" w:right="16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April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Rui Yang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 for the year ended June 30, 2023, as amended by Amendment No. 1 thereto,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17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April 8, 2024</w:t>
      </w:r>
      <w:r>
        <w:rPr>
          <w:sz w:val="20"/>
          <w:szCs w:val="20"/>
          <w:color w:val="auto"/>
        </w:rPr>
        <w:tab/>
      </w:r>
      <w:r>
        <w:rPr>
          <w:rFonts w:ascii="Times New Roman" w:cs="Times New Roman" w:eastAsia="Times New Roman" w:hAnsi="Times New Roman"/>
          <w:sz w:val="18"/>
          <w:szCs w:val="18"/>
          <w:color w:val="auto"/>
        </w:rPr>
        <w:t>By:</w:t>
        <w:tab/>
        <w:t>/s/Raymond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April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Rui Yang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Submission Pursuant to Item 16I(a) of Form 20-F</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November 18, 2022, the Company was conclusively identified by the U.S. Securities and Exchange Commission (the “SEC”) as a “Commission-Identified Issuer” pursuant to the HFCAA because it filed an annual report on Form 20-F for the year ended June 30, 2022 with the SEC on October 20, 2022 with an audit report issued by Ernst &amp; Young Hua Ming LLP (“EY”), a registered public accounting firm retained by the Company, for the preparation of the audit report on the Company’s financial statements included therein. On December 15, 2022, the PCAOB issued a report that vacated its December 16, 2021 determination and removed mainland China and Hong Kong from the list of jurisdictions where it is unable to inspect or investigate completely registered public accounting firms that has a branch or office located. For this reason, we do not expect to be identified as a Commission-Identified Issuer under the HFCAA after we filed the annual report on Form 20-F for the fiscal year ended June 30, 2023.</w:t>
      </w:r>
    </w:p>
    <w:p>
      <w:pPr>
        <w:spacing w:after="0" w:line="18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Based on the examination of the Company’s register of members and the beneficial ownership schedules filed by its shareholders and other publicly available information, to the Company’s knowledge, as of the date of this annual report, shareholders held 5% or more of the total outstanding ordinary shares of the Company were Mr. Xiao Feng Yang and Mr. Raymond Ming Hui Lin.</w:t>
      </w:r>
    </w:p>
    <w:p>
      <w:pPr>
        <w:spacing w:after="0" w:line="176" w:lineRule="exact"/>
        <w:rPr>
          <w:sz w:val="20"/>
          <w:szCs w:val="20"/>
          <w:color w:val="auto"/>
        </w:rPr>
      </w:pPr>
    </w:p>
    <w:p>
      <w:pPr>
        <w:ind w:right="80" w:firstLine="656"/>
        <w:spacing w:after="0" w:line="282" w:lineRule="auto"/>
        <w:tabs>
          <w:tab w:leader="none" w:pos="8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Xiao Feng Yang and his affiliate entity, Qinrui Ltd., together owned 22.15% of the Company’s total outstanding common shares. Mr. Yang is a natural person not affiliated with any governmental entities.</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9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Raymond Ming Hui Lin and his affiliate entity, Qinhui Ltd., together owned 29.73% of the Company’s total outstanding common shares. Mr. Lin is a natural person not affiliated with any governmental entities.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Therefore, as of the date of this annual report, the Company was not owned or controlled by any governmental entity in the Cayman Islands, where it is incorporated, or in Hong Kong or mainland China, where EY has a branch or office located.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rely upon any legal opinions or third party certifications such as affidavits as the basis for the submission.</w:t>
      </w:r>
    </w:p>
    <w:p>
      <w:pPr>
        <w:spacing w:after="0" w:line="252"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8, 2024</w:t>
      </w:r>
    </w:p>
    <w:p>
      <w:pPr>
        <w:spacing w:after="0" w:line="279"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4688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36"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Executive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48" Type="http://schemas.openxmlformats.org/officeDocument/2006/relationships/image" Target="media/image8.png"/><Relationship Id="rId49" Type="http://schemas.openxmlformats.org/officeDocument/2006/relationships/image" Target="media/image9.png"/><Relationship Id="rId50" Type="http://schemas.openxmlformats.org/officeDocument/2006/relationships/image" Target="media/image10.png"/><Relationship Id="rId51" Type="http://schemas.openxmlformats.org/officeDocument/2006/relationships/image" Target="media/image11.png"/><Relationship Id="rId52" Type="http://schemas.openxmlformats.org/officeDocument/2006/relationships/image" Target="media/image12.png"/><Relationship Id="rId53" Type="http://schemas.openxmlformats.org/officeDocument/2006/relationships/image" Target="media/image13.png"/><Relationship Id="rId54"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14" Type="http://schemas.openxmlformats.org/officeDocument/2006/relationships/hyperlink" Target="http://www.sec.gov/Archives/edgar/data/1724542/000121390018006558/ff12018a2ex1-1_clpsinc.htm" TargetMode="External"/><Relationship Id="rId16" Type="http://schemas.openxmlformats.org/officeDocument/2006/relationships/hyperlink" Target="http://www.sec.gov/Archives/edgar/data/1724542/000121390018006724/f8a12b0518_clpsincorporation.htm" TargetMode="External"/><Relationship Id="rId17" Type="http://schemas.openxmlformats.org/officeDocument/2006/relationships/hyperlink" Target="http://www.sec.gov/Archives/edgar/data/1724542/000121390018003524/ff12018ex3-1_clpsincorp.htm" TargetMode="External"/><Relationship Id="rId18" Type="http://schemas.openxmlformats.org/officeDocument/2006/relationships/hyperlink" Target="http://www.sec.gov/Archives/edgar/data/1724542/000121390018003524/ff12018ex4-1_clpsincorp.htm" TargetMode="External"/><Relationship Id="rId19" Type="http://schemas.openxmlformats.org/officeDocument/2006/relationships/hyperlink" Target="http://www.sec.gov/Archives/edgar/data/1724542/000121390018003524/ff12018ex10-1_clpsincorp.htm" TargetMode="External"/><Relationship Id="rId20" Type="http://schemas.openxmlformats.org/officeDocument/2006/relationships/hyperlink" Target="http://www.sec.gov/Archives/edgar/data/1724542/000121390019007304/fs82019ex10-1_clpsincorp.htm" TargetMode="External"/><Relationship Id="rId21" Type="http://schemas.openxmlformats.org/officeDocument/2006/relationships/hyperlink" Target="http://www.sec.gov/Archives/edgar/data/1724542/000121390020010075/ea121022ex10-1_clpsincorp.htm" TargetMode="External"/><Relationship Id="rId22" Type="http://schemas.openxmlformats.org/officeDocument/2006/relationships/hyperlink" Target="http://www.sec.gov/Archives/edgar/data/1724542/000121390023038741/ea178469ex10-1_clpsincorp.htm" TargetMode="External"/><Relationship Id="rId23" Type="http://schemas.openxmlformats.org/officeDocument/2006/relationships/hyperlink" Target="http://www.sec.gov/Archives/edgar/data/1724542/000121390018003524/ff12018ex10-2_clpsincorp.htm" TargetMode="External"/><Relationship Id="rId24" Type="http://schemas.openxmlformats.org/officeDocument/2006/relationships/hyperlink" Target="http://www.sec.gov/Archives/edgar/data/1724542/000121390018003524/ff12018ex10-3_clpsincorp.htm" TargetMode="External"/><Relationship Id="rId25" Type="http://schemas.openxmlformats.org/officeDocument/2006/relationships/hyperlink" Target="http://www.sec.gov/Archives/edgar/data/1724542/000121390018003524/ff12018ex10-4_clpsincorp.htm" TargetMode="External"/><Relationship Id="rId26" Type="http://schemas.openxmlformats.org/officeDocument/2006/relationships/hyperlink" Target="http://www.sec.gov/Archives/edgar/data/1724542/000121390019021899/f6k110419ex99-1_clpsincorp.htm" TargetMode="External"/><Relationship Id="rId27" Type="http://schemas.openxmlformats.org/officeDocument/2006/relationships/hyperlink" Target="http://www.sec.gov/Archives/edgar/data/1724542/000121390020032817/f20f2020ex10-8_clpsincorp.htm" TargetMode="External"/><Relationship Id="rId28" Type="http://schemas.openxmlformats.org/officeDocument/2006/relationships/hyperlink" Target="http://www.sec.gov/Archives/edgar/data/1724542/000121390018003524/ff12018ex10-6_clpsincorp.htm" TargetMode="External"/><Relationship Id="rId29" Type="http://schemas.openxmlformats.org/officeDocument/2006/relationships/hyperlink" Target="http://www.sec.gov/Archives/edgar/data/1724542/000101376223004641/f20f2023ex10-11_clpsinc.htm" TargetMode="External"/><Relationship Id="rId30" Type="http://schemas.openxmlformats.org/officeDocument/2006/relationships/hyperlink" Target="http://www.sec.gov/Archives/edgar/data/1724542/000101376223004641/f20f2023ex10-12_clpsinc.htm" TargetMode="External"/><Relationship Id="rId31" Type="http://schemas.openxmlformats.org/officeDocument/2006/relationships/hyperlink" Target="http://www.sec.gov/Archives/edgar/data/1724542/000101376223004641/f20f2023ex10-13_clpsinc.htm" TargetMode="External"/><Relationship Id="rId32" Type="http://schemas.openxmlformats.org/officeDocument/2006/relationships/hyperlink" Target="http://www.sec.gov/Archives/edgar/data/1724542/000101376223004641/f20f2023ex10-14_clpsinc.htm" TargetMode="External"/><Relationship Id="rId33" Type="http://schemas.openxmlformats.org/officeDocument/2006/relationships/hyperlink" Target="http://www.sec.gov/Archives/edgar/data/1724542/000101376223004641/f20f2023ex10-15_clpsinc.htm" TargetMode="External"/><Relationship Id="rId34" Type="http://schemas.openxmlformats.org/officeDocument/2006/relationships/hyperlink" Target="http://www.sec.gov/Archives/edgar/data/1724542/000121390018003524/ff12018ex10-8_clpsincorp.htm" TargetMode="External"/><Relationship Id="rId35" Type="http://schemas.openxmlformats.org/officeDocument/2006/relationships/hyperlink" Target="http://www.sec.gov/Archives/edgar/data/1724542/000121390018006558/ff12018a2ex10-9_clpsinc.htm" TargetMode="External"/><Relationship Id="rId36" Type="http://schemas.openxmlformats.org/officeDocument/2006/relationships/hyperlink" Target="http://www.sec.gov/Archives/edgar/data/1724542/000121390018006558/ff12018a2ex10-10_clpsinc.htm" TargetMode="External"/><Relationship Id="rId37" Type="http://schemas.openxmlformats.org/officeDocument/2006/relationships/hyperlink" Target="http://www.sec.gov/Archives/edgar/data/1724542/000121390018006558/ff12018a2ex10-11_clpsinc.htm" TargetMode="External"/><Relationship Id="rId38" Type="http://schemas.openxmlformats.org/officeDocument/2006/relationships/hyperlink" Target="http://www.sec.gov/Archives/edgar/data/1724542/000101376223004641/f20f2023ex10-20_clpsinc.htm" TargetMode="External"/><Relationship Id="rId39" Type="http://schemas.openxmlformats.org/officeDocument/2006/relationships/hyperlink" Target="http://www.sec.gov/Archives/edgar/data/1724542/000101376223004641/f20f2023ex10-21_clpsinc.htm" TargetMode="External"/><Relationship Id="rId40" Type="http://schemas.openxmlformats.org/officeDocument/2006/relationships/hyperlink" Target="http://www.sec.gov/Archives/edgar/data/1724542/000101376223004641/f20f2023ex10-22_clpsinc.htm" TargetMode="External"/><Relationship Id="rId41" Type="http://schemas.openxmlformats.org/officeDocument/2006/relationships/hyperlink" Target="http://www.sec.gov/Archives/edgar/data/1724542/000101376223004641/f20f2023ex10-23_clpsinc.htm" TargetMode="External"/><Relationship Id="rId42" Type="http://schemas.openxmlformats.org/officeDocument/2006/relationships/hyperlink" Target="http://www.sec.gov/Archives/edgar/data/1724542/000121390018003524/ff12018ex14-1_clpsincorp.htm" TargetMode="External"/><Relationship Id="rId43" Type="http://schemas.openxmlformats.org/officeDocument/2006/relationships/hyperlink" Target="http://www.sec.gov/Archives/edgar/data/1724542/000101376223004641/f20f2023ex21-1_clpsinc.htm" TargetMode="External"/><Relationship Id="rId44" Type="http://schemas.openxmlformats.org/officeDocument/2006/relationships/hyperlink" Target="http://www.sec.gov/Archives/edgar/data/1724542/000101376223004641/f20f2023ex23-1_clpsinc.htm" TargetMode="External"/><Relationship Id="rId45" Type="http://schemas.openxmlformats.org/officeDocument/2006/relationships/hyperlink" Target="http://www.sec.gov/Archives/edgar/data/1724542/000121390018003524/ff12018ex99-1_clpsincorp.htm" TargetMode="External"/><Relationship Id="rId46" Type="http://schemas.openxmlformats.org/officeDocument/2006/relationships/hyperlink" Target="http://www.sec.gov/Archives/edgar/data/1724542/000121390018003524/ff12018ex99-2_clpsincorp.htm" TargetMode="External"/><Relationship Id="rId47" Type="http://schemas.openxmlformats.org/officeDocument/2006/relationships/hyperlink" Target="http://www.sec.gov/Archives/edgar/data/1724542/000121390018003524/ff12018ex99-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2024-04-08T15:42:53Z</dcterms:created>
  <dcterms:modified xsi:type="dcterms:W3CDTF">2024-04-08T15:42:53Z</dcterms:modified>
</cp:coreProperties>
</file>