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3"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424(b)(4)</w:t>
      </w:r>
    </w:p>
    <w:p>
      <w:pPr>
        <w:spacing w:after="0" w:line="5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333-223956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137795</wp:posOffset>
            </wp:positionV>
            <wp:extent cx="2289810" cy="1037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9810" cy="10375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820" w:space="720"/>
            <w:col w:w="2480"/>
          </w:cols>
          <w:pgMar w:left="1440" w:top="324" w:right="1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CLPS Incorporation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2,000,000 common shares</w:t>
      </w:r>
    </w:p>
    <w:p>
      <w:pPr>
        <w:spacing w:after="0" w:line="61" w:lineRule="exact"/>
        <w:rPr>
          <w:sz w:val="24"/>
          <w:szCs w:val="24"/>
          <w:color w:val="auto"/>
        </w:rPr>
      </w:pPr>
    </w:p>
    <w:p>
      <w:pPr>
        <w:ind w:left="460" w:right="520" w:firstLine="432"/>
        <w:spacing w:after="0" w:line="290" w:lineRule="auto"/>
        <w:rPr>
          <w:sz w:val="20"/>
          <w:szCs w:val="20"/>
          <w:color w:val="auto"/>
        </w:rPr>
      </w:pPr>
      <w:r>
        <w:rPr>
          <w:rFonts w:ascii="Arial" w:cs="Arial" w:eastAsia="Arial" w:hAnsi="Arial"/>
          <w:sz w:val="17"/>
          <w:szCs w:val="17"/>
          <w:color w:val="auto"/>
        </w:rPr>
        <w:t>This is the initial public offering of CLPS Incorporation. We are offering 2,000,000 common shares. The initial public offering price is $5.25 per common share.</w:t>
      </w:r>
    </w:p>
    <w:p>
      <w:pPr>
        <w:spacing w:after="0" w:line="14" w:lineRule="exact"/>
        <w:rPr>
          <w:sz w:val="24"/>
          <w:szCs w:val="24"/>
          <w:color w:val="auto"/>
        </w:rPr>
      </w:pPr>
    </w:p>
    <w:p>
      <w:pPr>
        <w:ind w:left="460" w:right="640" w:firstLine="432"/>
        <w:spacing w:after="0" w:line="290" w:lineRule="auto"/>
        <w:rPr>
          <w:sz w:val="20"/>
          <w:szCs w:val="20"/>
          <w:color w:val="auto"/>
        </w:rPr>
      </w:pPr>
      <w:r>
        <w:rPr>
          <w:rFonts w:ascii="Arial" w:cs="Arial" w:eastAsia="Arial" w:hAnsi="Arial"/>
          <w:sz w:val="17"/>
          <w:szCs w:val="17"/>
          <w:color w:val="auto"/>
        </w:rPr>
        <w:t>No public market currently exists for our common shares. Our common shares have been approved for listing on the NASDAQ Capital Market under the symbol “CLPS”.</w:t>
      </w:r>
    </w:p>
    <w:p>
      <w:pPr>
        <w:spacing w:after="0" w:line="14" w:lineRule="exact"/>
        <w:rPr>
          <w:sz w:val="24"/>
          <w:szCs w:val="24"/>
          <w:color w:val="auto"/>
        </w:rPr>
      </w:pPr>
    </w:p>
    <w:p>
      <w:pPr>
        <w:ind w:left="460" w:right="460" w:firstLine="432"/>
        <w:spacing w:after="0" w:line="290" w:lineRule="auto"/>
        <w:rPr>
          <w:sz w:val="20"/>
          <w:szCs w:val="20"/>
          <w:color w:val="auto"/>
        </w:rPr>
      </w:pPr>
      <w:r>
        <w:rPr>
          <w:rFonts w:ascii="Arial" w:cs="Arial" w:eastAsia="Arial" w:hAnsi="Arial"/>
          <w:sz w:val="17"/>
          <w:szCs w:val="17"/>
          <w:color w:val="auto"/>
        </w:rPr>
        <w:t>We are an “emerging growth company” as defined in the Jumpstart Our Business Act of 2012, as amended, and, as such, will be subject to reduced public company reporting requirements.</w:t>
      </w:r>
    </w:p>
    <w:p>
      <w:pPr>
        <w:spacing w:after="0" w:line="14" w:lineRule="exact"/>
        <w:rPr>
          <w:sz w:val="24"/>
          <w:szCs w:val="24"/>
          <w:color w:val="auto"/>
        </w:rPr>
      </w:pPr>
    </w:p>
    <w:p>
      <w:pPr>
        <w:ind w:left="460" w:right="600" w:firstLine="432"/>
        <w:spacing w:after="0" w:line="300" w:lineRule="auto"/>
        <w:rPr>
          <w:sz w:val="20"/>
          <w:szCs w:val="20"/>
          <w:color w:val="auto"/>
        </w:rPr>
      </w:pPr>
      <w:r>
        <w:rPr>
          <w:rFonts w:ascii="Arial" w:cs="Arial" w:eastAsia="Arial" w:hAnsi="Arial"/>
          <w:sz w:val="15"/>
          <w:szCs w:val="15"/>
          <w:color w:val="auto"/>
        </w:rPr>
        <w:t>We anticipate that following the completion of this initial public offering of our securities our Chairman, Xiao Feng Yang, and our Chief Executive Officer, Raymond Ming Hui Lin, each will beneficially own approximately</w:t>
      </w:r>
    </w:p>
    <w:p>
      <w:pPr>
        <w:spacing w:after="0" w:line="1" w:lineRule="exact"/>
        <w:rPr>
          <w:sz w:val="24"/>
          <w:szCs w:val="24"/>
          <w:color w:val="auto"/>
        </w:rPr>
      </w:pPr>
    </w:p>
    <w:p>
      <w:pPr>
        <w:jc w:val="both"/>
        <w:ind w:left="460" w:right="560"/>
        <w:spacing w:after="0" w:line="277" w:lineRule="auto"/>
        <w:rPr>
          <w:sz w:val="20"/>
          <w:szCs w:val="20"/>
          <w:color w:val="auto"/>
        </w:rPr>
      </w:pPr>
      <w:r>
        <w:rPr>
          <w:rFonts w:ascii="Arial" w:cs="Arial" w:eastAsia="Arial" w:hAnsi="Arial"/>
          <w:sz w:val="17"/>
          <w:szCs w:val="17"/>
          <w:color w:val="auto"/>
        </w:rPr>
        <w:t>37.62% of the Company’s then outstanding securities. While under NASDAQ Marketplace Rules 5615(c), it may be deemed a “controlled company,” the Company does not intend to avail itself of the corporate governance exemptions afforded to a “controlled company” under the NASDAQ Marketplace Rules.</w:t>
      </w:r>
    </w:p>
    <w:p>
      <w:pPr>
        <w:spacing w:after="0" w:line="19" w:lineRule="exact"/>
        <w:rPr>
          <w:sz w:val="24"/>
          <w:szCs w:val="24"/>
          <w:color w:val="auto"/>
        </w:rPr>
      </w:pPr>
    </w:p>
    <w:p>
      <w:pPr>
        <w:ind w:left="460" w:right="560"/>
        <w:spacing w:after="0" w:line="281" w:lineRule="auto"/>
        <w:rPr>
          <w:sz w:val="20"/>
          <w:szCs w:val="20"/>
          <w:color w:val="auto"/>
        </w:rPr>
      </w:pPr>
      <w:r>
        <w:rPr>
          <w:rFonts w:ascii="Arial" w:cs="Arial" w:eastAsia="Arial" w:hAnsi="Arial"/>
          <w:sz w:val="17"/>
          <w:szCs w:val="17"/>
          <w:b w:val="1"/>
          <w:bCs w:val="1"/>
          <w:color w:val="auto"/>
        </w:rPr>
        <w:t>An investment in our securities is highly speculative, involves a high degree of risk and should be considered only by persons who can afford the loss of their entire investment. See “Risk Factors” beginning on page 15 of this prospectus.</w:t>
      </w:r>
    </w:p>
    <w:p>
      <w:pPr>
        <w:spacing w:after="0" w:line="206" w:lineRule="exact"/>
        <w:rPr>
          <w:sz w:val="24"/>
          <w:szCs w:val="24"/>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10,500,000</w:t>
            </w:r>
          </w:p>
        </w:tc>
      </w:tr>
      <w:tr>
        <w:trPr>
          <w:trHeight w:val="257"/>
        </w:trPr>
        <w:tc>
          <w:tcPr>
            <w:tcW w:w="2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0.3412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682,500</w:t>
            </w: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9.817,600</w:t>
            </w:r>
          </w:p>
        </w:tc>
      </w:tr>
      <w:tr>
        <w:trPr>
          <w:trHeight w:val="169"/>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____________</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ind w:left="900" w:right="600" w:hanging="438"/>
        <w:spacing w:after="0" w:line="264" w:lineRule="auto"/>
        <w:tabs>
          <w:tab w:leader="none" w:pos="86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underwriting discount and commissions equal to (i) 6.5% per share (or $0.3412 per share), which is the underwriting discount we have agreed to pay on all investors in this Offering introduced by the underwriters; and (ii) 4% per share (or $0.21 per share), which is the underwriting discount we have agreed to pay on all investors in this Offering introduced by us.</w:t>
      </w:r>
    </w:p>
    <w:p>
      <w:pPr>
        <w:spacing w:after="0" w:line="1" w:lineRule="exact"/>
        <w:rPr>
          <w:rFonts w:ascii="Arial" w:cs="Arial" w:eastAsia="Arial" w:hAnsi="Arial"/>
          <w:sz w:val="13"/>
          <w:szCs w:val="13"/>
          <w:color w:val="auto"/>
        </w:rPr>
      </w:pPr>
    </w:p>
    <w:p>
      <w:pPr>
        <w:ind w:left="900" w:right="460" w:hanging="438"/>
        <w:spacing w:after="0" w:line="292" w:lineRule="auto"/>
        <w:tabs>
          <w:tab w:leader="none" w:pos="8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Does not include a non-accountable expense allowance equal to 0.5% of the gross proceeds of this offering, payable the underwriters, or the reimbursement of certain expenses of the underwriters. See “Underwriting” for additional information regarding underwriter compensation and our arrangements with the underwriters.</w:t>
      </w:r>
    </w:p>
    <w:p>
      <w:pPr>
        <w:spacing w:after="0" w:line="14" w:lineRule="exact"/>
        <w:rPr>
          <w:sz w:val="24"/>
          <w:szCs w:val="24"/>
          <w:color w:val="auto"/>
        </w:rPr>
      </w:pPr>
    </w:p>
    <w:p>
      <w:pPr>
        <w:ind w:left="460" w:right="560" w:firstLine="432"/>
        <w:spacing w:after="0" w:line="310" w:lineRule="auto"/>
        <w:rPr>
          <w:sz w:val="20"/>
          <w:szCs w:val="20"/>
          <w:color w:val="auto"/>
        </w:rPr>
      </w:pPr>
      <w:r>
        <w:rPr>
          <w:rFonts w:ascii="Arial" w:cs="Arial" w:eastAsia="Arial" w:hAnsi="Arial"/>
          <w:sz w:val="15"/>
          <w:szCs w:val="15"/>
          <w:color w:val="auto"/>
        </w:rPr>
        <w:t>In addition to the underwriting discounts listed above and the non-accountable expense allowance described in the footnote, we have agreed to issue upon the closing of this offering, compensation warrants to The Benchmark Company, LLC, as representative of the underwriters, entitling them to purchase: (i) up to 5% of the number of common shares sold to investors introduced by the underwriters in this offering; and (ii) up to 3% of the number of common shares issued to investors identified by the Company in this offering. The registration statement relating to this offering also covers the underwriters’ warrants and the common shares issuable upon the exercise thereof.</w:t>
      </w:r>
    </w:p>
    <w:p>
      <w:pPr>
        <w:ind w:left="460" w:right="820" w:firstLine="432"/>
        <w:spacing w:after="0" w:line="276" w:lineRule="auto"/>
        <w:rPr>
          <w:sz w:val="20"/>
          <w:szCs w:val="20"/>
          <w:color w:val="auto"/>
        </w:rPr>
      </w:pPr>
      <w:r>
        <w:rPr>
          <w:rFonts w:ascii="Arial" w:cs="Arial" w:eastAsia="Arial" w:hAnsi="Arial"/>
          <w:sz w:val="17"/>
          <w:szCs w:val="17"/>
          <w:color w:val="auto"/>
        </w:rPr>
        <w:t>We have granted the representative an option, exercisable for 45 days from the date of this prospectus, to purchase up to an additional 300,000 common shares on the same terms as the other shares being purchased by the underwriters from us.</w:t>
      </w:r>
    </w:p>
    <w:p>
      <w:pPr>
        <w:spacing w:after="0" w:line="1" w:lineRule="exact"/>
        <w:rPr>
          <w:sz w:val="24"/>
          <w:szCs w:val="24"/>
          <w:color w:val="auto"/>
        </w:rPr>
      </w:pPr>
    </w:p>
    <w:p>
      <w:pPr>
        <w:ind w:left="900"/>
        <w:spacing w:after="0"/>
        <w:rPr>
          <w:sz w:val="20"/>
          <w:szCs w:val="20"/>
          <w:color w:val="auto"/>
        </w:rPr>
      </w:pPr>
      <w:r>
        <w:rPr>
          <w:rFonts w:ascii="Arial" w:cs="Arial" w:eastAsia="Arial" w:hAnsi="Arial"/>
          <w:sz w:val="16"/>
          <w:szCs w:val="16"/>
          <w:color w:val="auto"/>
        </w:rPr>
        <w:t>The underwriters expect to deliver the common shares against payment in U.S. dollars on or about May 29,</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7"/>
          <w:szCs w:val="17"/>
          <w:color w:val="auto"/>
        </w:rPr>
        <w:t>2018.</w:t>
      </w:r>
    </w:p>
    <w:p>
      <w:pPr>
        <w:spacing w:after="0" w:line="55" w:lineRule="exact"/>
        <w:rPr>
          <w:sz w:val="24"/>
          <w:szCs w:val="24"/>
          <w:color w:val="auto"/>
        </w:rPr>
      </w:pPr>
    </w:p>
    <w:p>
      <w:pPr>
        <w:ind w:left="460" w:right="500"/>
        <w:spacing w:after="0" w:line="273" w:lineRule="auto"/>
        <w:rPr>
          <w:sz w:val="20"/>
          <w:szCs w:val="20"/>
          <w:color w:val="auto"/>
        </w:rPr>
      </w:pPr>
      <w:r>
        <w:rPr>
          <w:rFonts w:ascii="Arial" w:cs="Arial" w:eastAsia="Arial" w:hAnsi="Arial"/>
          <w:sz w:val="17"/>
          <w:szCs w:val="17"/>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ectPr>
          <w:pgSz w:w="11900" w:h="16838" w:orient="portrait"/>
          <w:cols w:equalWidth="0" w:num="1">
            <w:col w:w="9020"/>
          </w:cols>
          <w:pgMar w:left="1440" w:top="324" w:right="1439" w:bottom="1440" w:gutter="0" w:footer="0" w:header="0"/>
          <w:type w:val="continuous"/>
        </w:sectPr>
      </w:pPr>
    </w:p>
    <w:p>
      <w:pPr>
        <w:spacing w:after="0" w:line="132"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The Benchmark Company, LLC</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1340"/>
        <w:spacing w:after="0"/>
        <w:rPr>
          <w:sz w:val="20"/>
          <w:szCs w:val="20"/>
          <w:color w:val="auto"/>
        </w:rPr>
      </w:pPr>
      <w:r>
        <w:rPr>
          <w:rFonts w:ascii="Arial" w:cs="Arial" w:eastAsia="Arial" w:hAnsi="Arial"/>
          <w:sz w:val="24"/>
          <w:szCs w:val="24"/>
          <w:b w:val="1"/>
          <w:bCs w:val="1"/>
          <w:color w:val="auto"/>
        </w:rPr>
        <w:t>Cuttone &amp; Co., LLC</w:t>
      </w:r>
    </w:p>
    <w:p>
      <w:pPr>
        <w:spacing w:after="0" w:line="53" w:lineRule="exact"/>
        <w:rPr>
          <w:sz w:val="24"/>
          <w:szCs w:val="24"/>
          <w:color w:val="auto"/>
        </w:rPr>
      </w:pPr>
    </w:p>
    <w:p>
      <w:pPr>
        <w:sectPr>
          <w:pgSz w:w="11900" w:h="16838" w:orient="portrait"/>
          <w:cols w:equalWidth="0" w:num="2">
            <w:col w:w="4740" w:space="720"/>
            <w:col w:w="3560"/>
          </w:cols>
          <w:pgMar w:left="1440" w:top="324" w:right="1439" w:bottom="1440" w:gutter="0" w:footer="0" w:header="0"/>
          <w:type w:val="continuous"/>
        </w:sectPr>
      </w:pPr>
    </w:p>
    <w:p>
      <w:pPr>
        <w:ind w:left="1640"/>
        <w:spacing w:after="0"/>
        <w:rPr>
          <w:sz w:val="20"/>
          <w:szCs w:val="20"/>
          <w:color w:val="auto"/>
        </w:rPr>
      </w:pPr>
      <w:r>
        <w:rPr>
          <w:rFonts w:ascii="Arial" w:cs="Arial" w:eastAsia="Arial" w:hAnsi="Arial"/>
          <w:sz w:val="15"/>
          <w:szCs w:val="15"/>
          <w:i w:val="1"/>
          <w:iCs w:val="1"/>
          <w:color w:val="auto"/>
        </w:rPr>
        <w:t>Book Running Manager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Co-Manager</w:t>
      </w:r>
    </w:p>
    <w:p>
      <w:pPr>
        <w:spacing w:after="0" w:line="200" w:lineRule="exact"/>
        <w:rPr>
          <w:sz w:val="24"/>
          <w:szCs w:val="24"/>
          <w:color w:val="auto"/>
        </w:rPr>
      </w:pPr>
    </w:p>
    <w:p>
      <w:pPr>
        <w:sectPr>
          <w:pgSz w:w="11900" w:h="16838" w:orient="portrait"/>
          <w:cols w:equalWidth="0" w:num="2">
            <w:col w:w="5420" w:space="720"/>
            <w:col w:w="2880"/>
          </w:cols>
          <w:pgMar w:left="1440" w:top="324" w:right="14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The date of this prospectus is May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283210</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20"/>
          </w:cols>
          <w:pgMar w:left="1440" w:top="324" w:right="1439" w:bottom="1440"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Risk Factors</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Use of Proceeds</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Exchange Rate Information</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Selected Historical Financial and Operating Data</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Capitalization</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Post-Offering Ownership</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Our Business</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 and Executive Officers</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Related Party Transactions</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3"/>
              </w:rPr>
              <w:t>102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Eligible for Future Sale</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Tax Matters Applicable to U.S. Holders of Our Shares</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106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Underwriting</w:t>
            </w:r>
          </w:p>
        </w:tc>
        <w:tc>
          <w:tcPr>
            <w:tcW w:w="1060" w:type="dxa"/>
            <w:vAlign w:val="bottom"/>
          </w:tcPr>
          <w:p>
            <w:pPr>
              <w:jc w:val="center"/>
              <w:ind w:left="350"/>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Determination of Offering Price</w:t>
            </w: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Legal Matters</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Experts</w:t>
            </w: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499" w:firstLine="432"/>
        <w:spacing w:after="0" w:line="298"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73" w:lineRule="exact"/>
        <w:rPr>
          <w:sz w:val="20"/>
          <w:szCs w:val="20"/>
          <w:color w:val="auto"/>
        </w:rPr>
      </w:pPr>
    </w:p>
    <w:p>
      <w:pPr>
        <w:ind w:left="460" w:right="699" w:firstLine="432"/>
        <w:spacing w:after="0" w:line="298" w:lineRule="auto"/>
        <w:rPr>
          <w:sz w:val="20"/>
          <w:szCs w:val="20"/>
          <w:color w:val="auto"/>
        </w:rPr>
      </w:pPr>
      <w:r>
        <w:rPr>
          <w:rFonts w:ascii="Arial" w:cs="Arial" w:eastAsia="Arial" w:hAnsi="Arial"/>
          <w:sz w:val="16"/>
          <w:szCs w:val="16"/>
          <w:b w:val="1"/>
          <w:bCs w:val="1"/>
          <w:color w:val="auto"/>
        </w:rPr>
        <w:t xml:space="preserve">For investors outside the United States: </w:t>
      </w:r>
      <w:r>
        <w:rPr>
          <w:rFonts w:ascii="Arial" w:cs="Arial" w:eastAsia="Arial" w:hAnsi="Arial"/>
          <w:sz w:val="16"/>
          <w:szCs w:val="16"/>
          <w:color w:val="auto"/>
        </w:rPr>
        <w:t>Neither we, nor the underwriters have done anything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77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8577580"/>
                    </a:xfrm>
                    <a:prstGeom prst="rect">
                      <a:avLst/>
                    </a:prstGeom>
                    <a:noFill/>
                  </pic:spPr>
                </pic:pic>
              </a:graphicData>
            </a:graphic>
          </wp:anchor>
        </w:drawing>
        <w:t>PROSPECTUS SUMMARY</w:t>
      </w:r>
    </w:p>
    <w:p>
      <w:pPr>
        <w:spacing w:after="0" w:line="148" w:lineRule="exact"/>
        <w:rPr>
          <w:sz w:val="20"/>
          <w:szCs w:val="20"/>
          <w:color w:val="auto"/>
        </w:rPr>
      </w:pPr>
    </w:p>
    <w:p>
      <w:pPr>
        <w:ind w:left="560" w:right="719" w:firstLine="432"/>
        <w:spacing w:after="0" w:line="287" w:lineRule="auto"/>
        <w:rPr>
          <w:sz w:val="20"/>
          <w:szCs w:val="20"/>
          <w:color w:val="auto"/>
        </w:rPr>
      </w:pPr>
      <w:r>
        <w:rPr>
          <w:rFonts w:ascii="Arial" w:cs="Arial" w:eastAsia="Arial" w:hAnsi="Arial"/>
          <w:sz w:val="16"/>
          <w:szCs w:val="16"/>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560" w:right="579" w:firstLine="432"/>
        <w:spacing w:after="0" w:line="285"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On a very limited basis, the Company implements its own software systems, such as CLPS Virtual Banking Platform.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01" w:lineRule="exact"/>
        <w:rPr>
          <w:sz w:val="20"/>
          <w:szCs w:val="20"/>
          <w:color w:val="auto"/>
        </w:rPr>
      </w:pPr>
    </w:p>
    <w:p>
      <w:pPr>
        <w:ind w:left="560" w:right="1019" w:firstLine="432"/>
        <w:spacing w:after="0" w:line="277" w:lineRule="auto"/>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89" w:lineRule="exact"/>
        <w:rPr>
          <w:sz w:val="20"/>
          <w:szCs w:val="20"/>
          <w:color w:val="auto"/>
        </w:rPr>
      </w:pPr>
    </w:p>
    <w:p>
      <w:pPr>
        <w:ind w:left="1420" w:right="939" w:hanging="436"/>
        <w:spacing w:after="0" w:line="308" w:lineRule="auto"/>
        <w:tabs>
          <w:tab w:leader="none" w:pos="1402"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Banking or their China-based IT centers — </w:t>
      </w:r>
      <w:r>
        <w:rPr>
          <w:rFonts w:ascii="Arial" w:cs="Arial" w:eastAsia="Arial" w:hAnsi="Arial"/>
          <w:sz w:val="17"/>
          <w:szCs w:val="17"/>
          <w:color w:val="auto"/>
        </w:rPr>
        <w:t>Citibank, Standard Chartered Bank (China) Ltd.,</w:t>
      </w:r>
      <w:r>
        <w:rPr>
          <w:rFonts w:ascii="Arial" w:cs="Arial" w:eastAsia="Arial" w:hAnsi="Arial"/>
          <w:sz w:val="17"/>
          <w:szCs w:val="17"/>
          <w:i w:val="1"/>
          <w:iCs w:val="1"/>
          <w:color w:val="auto"/>
        </w:rPr>
        <w:t xml:space="preserve"> </w:t>
      </w:r>
      <w:r>
        <w:rPr>
          <w:rFonts w:ascii="Arial" w:cs="Arial" w:eastAsia="Arial" w:hAnsi="Arial"/>
          <w:sz w:val="17"/>
          <w:szCs w:val="17"/>
          <w:color w:val="auto"/>
        </w:rPr>
        <w:t>ANZ Bank, Commonwealth Bank of Australia, Bank of Communications.</w:t>
      </w:r>
    </w:p>
    <w:p>
      <w:pPr>
        <w:spacing w:after="0" w:line="79" w:lineRule="exact"/>
        <w:rPr>
          <w:rFonts w:ascii="Arial" w:cs="Arial" w:eastAsia="Arial" w:hAnsi="Arial"/>
          <w:sz w:val="17"/>
          <w:szCs w:val="17"/>
          <w:i w:val="1"/>
          <w:iCs w:val="1"/>
          <w:color w:val="auto"/>
        </w:rPr>
      </w:pPr>
    </w:p>
    <w:p>
      <w:pPr>
        <w:ind w:left="1420" w:right="559" w:hanging="436"/>
        <w:spacing w:after="0" w:line="277" w:lineRule="auto"/>
        <w:tabs>
          <w:tab w:leader="none" w:pos="1402"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 </w:t>
      </w:r>
      <w:r>
        <w:rPr>
          <w:rFonts w:ascii="Arial" w:cs="Arial" w:eastAsia="Arial" w:hAnsi="Arial"/>
          <w:sz w:val="18"/>
          <w:szCs w:val="18"/>
          <w:color w:val="auto"/>
        </w:rPr>
        <w:t>AIA, China Life Insurance, First Data, Haitong Securities, Orient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China Universal Asset Management Company.</w:t>
      </w:r>
    </w:p>
    <w:p>
      <w:pPr>
        <w:spacing w:after="0" w:line="102" w:lineRule="exact"/>
        <w:rPr>
          <w:rFonts w:ascii="Arial" w:cs="Arial" w:eastAsia="Arial" w:hAnsi="Arial"/>
          <w:sz w:val="18"/>
          <w:szCs w:val="18"/>
          <w:i w:val="1"/>
          <w:iCs w:val="1"/>
          <w:color w:val="auto"/>
        </w:rPr>
      </w:pPr>
    </w:p>
    <w:p>
      <w:pPr>
        <w:ind w:left="1400" w:hanging="416"/>
        <w:spacing w:after="0"/>
        <w:tabs>
          <w:tab w:leader="none" w:pos="140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Technology — </w:t>
      </w:r>
      <w:r>
        <w:rPr>
          <w:rFonts w:ascii="Arial" w:cs="Arial" w:eastAsia="Arial" w:hAnsi="Arial"/>
          <w:sz w:val="17"/>
          <w:szCs w:val="17"/>
          <w:color w:val="auto"/>
        </w:rPr>
        <w:t>eBay, CRIF Information Technology, Experian, AGFA Healthcare and Neusoft.</w:t>
      </w:r>
    </w:p>
    <w:p>
      <w:pPr>
        <w:spacing w:after="0" w:line="156" w:lineRule="exact"/>
        <w:rPr>
          <w:sz w:val="20"/>
          <w:szCs w:val="20"/>
          <w:color w:val="auto"/>
        </w:rPr>
      </w:pPr>
    </w:p>
    <w:p>
      <w:pPr>
        <w:jc w:val="both"/>
        <w:ind w:left="560" w:right="819" w:firstLine="432"/>
        <w:spacing w:after="0" w:line="264"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technological know-how to attract new business and remain cost competitive.</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Credit Card Services</w:t>
      </w:r>
    </w:p>
    <w:p>
      <w:pPr>
        <w:spacing w:after="0" w:line="144" w:lineRule="exact"/>
        <w:rPr>
          <w:sz w:val="20"/>
          <w:szCs w:val="20"/>
          <w:color w:val="auto"/>
        </w:rPr>
      </w:pPr>
    </w:p>
    <w:p>
      <w:pPr>
        <w:ind w:left="560" w:right="619" w:firstLine="432"/>
        <w:spacing w:after="0" w:line="257"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ectPr>
          <w:pgSz w:w="11900" w:h="16838" w:orient="portrait"/>
          <w:cols w:equalWidth="0" w:num="1">
            <w:col w:w="9019"/>
          </w:cols>
          <w:pgMar w:left="1440" w:top="540" w:right="1440"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 w:name="page4"/>
    <w:bookmarkEnd w:id="3"/>
    <w:p>
      <w:pPr>
        <w:ind w:left="560" w:right="599" w:firstLine="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346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8346440"/>
                    </a:xfrm>
                    <a:prstGeom prst="rect">
                      <a:avLst/>
                    </a:prstGeom>
                    <a:noFill/>
                  </pic:spPr>
                </pic:pic>
              </a:graphicData>
            </a:graphic>
          </wp:anchor>
        </w:drawing>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126" w:lineRule="exact"/>
        <w:rPr>
          <w:sz w:val="20"/>
          <w:szCs w:val="20"/>
          <w:color w:val="auto"/>
        </w:rPr>
      </w:pPr>
    </w:p>
    <w:p>
      <w:pPr>
        <w:ind w:left="560" w:right="639" w:firstLine="432"/>
        <w:spacing w:after="0" w:line="297" w:lineRule="auto"/>
        <w:rPr>
          <w:sz w:val="20"/>
          <w:szCs w:val="20"/>
          <w:color w:val="auto"/>
        </w:rPr>
      </w:pPr>
      <w:r>
        <w:rPr>
          <w:rFonts w:ascii="Arial" w:cs="Arial" w:eastAsia="Arial" w:hAnsi="Arial"/>
          <w:sz w:val="16"/>
          <w:szCs w:val="16"/>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meet the needs of our clients better.</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Core Banking Services</w:t>
      </w:r>
    </w:p>
    <w:p>
      <w:pPr>
        <w:spacing w:after="0" w:line="144" w:lineRule="exact"/>
        <w:rPr>
          <w:sz w:val="20"/>
          <w:szCs w:val="20"/>
          <w:color w:val="auto"/>
        </w:rPr>
      </w:pPr>
    </w:p>
    <w:p>
      <w:pPr>
        <w:ind w:left="560" w:right="559" w:firstLine="432"/>
        <w:spacing w:after="0" w:line="286"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07" w:lineRule="exact"/>
        <w:rPr>
          <w:sz w:val="20"/>
          <w:szCs w:val="20"/>
          <w:color w:val="auto"/>
        </w:rPr>
      </w:pPr>
    </w:p>
    <w:p>
      <w:pPr>
        <w:ind w:left="560" w:right="719" w:firstLine="432"/>
        <w:spacing w:after="0" w:line="255" w:lineRule="auto"/>
        <w:rPr>
          <w:sz w:val="20"/>
          <w:szCs w:val="20"/>
          <w:color w:val="auto"/>
        </w:rPr>
      </w:pPr>
      <w:r>
        <w:rPr>
          <w:rFonts w:ascii="Arial" w:cs="Arial" w:eastAsia="Arial" w:hAnsi="Arial"/>
          <w:sz w:val="18"/>
          <w:szCs w:val="18"/>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158" w:lineRule="exact"/>
        <w:rPr>
          <w:sz w:val="20"/>
          <w:szCs w:val="20"/>
          <w:color w:val="auto"/>
        </w:rPr>
      </w:pPr>
    </w:p>
    <w:p>
      <w:pPr>
        <w:ind w:left="560" w:right="659" w:firstLine="432"/>
        <w:spacing w:after="0" w:line="273" w:lineRule="auto"/>
        <w:rPr>
          <w:sz w:val="20"/>
          <w:szCs w:val="20"/>
          <w:color w:val="auto"/>
        </w:rPr>
      </w:pPr>
      <w:r>
        <w:rPr>
          <w:rFonts w:ascii="Arial" w:cs="Arial" w:eastAsia="Arial" w:hAnsi="Arial"/>
          <w:sz w:val="17"/>
          <w:szCs w:val="17"/>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97" w:lineRule="exact"/>
        <w:rPr>
          <w:sz w:val="20"/>
          <w:szCs w:val="20"/>
          <w:color w:val="auto"/>
        </w:rPr>
      </w:pPr>
    </w:p>
    <w:p>
      <w:pPr>
        <w:ind w:left="560" w:right="679" w:firstLine="432"/>
        <w:spacing w:after="0" w:line="293" w:lineRule="auto"/>
        <w:rPr>
          <w:sz w:val="20"/>
          <w:szCs w:val="20"/>
          <w:color w:val="auto"/>
        </w:rPr>
      </w:pPr>
      <w:r>
        <w:rPr>
          <w:rFonts w:ascii="Arial" w:cs="Arial" w:eastAsia="Arial" w:hAnsi="Arial"/>
          <w:sz w:val="16"/>
          <w:szCs w:val="16"/>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97" w:lineRule="exact"/>
        <w:rPr>
          <w:sz w:val="20"/>
          <w:szCs w:val="20"/>
          <w:color w:val="auto"/>
        </w:rPr>
      </w:pPr>
    </w:p>
    <w:p>
      <w:pPr>
        <w:ind w:left="560" w:right="599" w:firstLine="432"/>
        <w:spacing w:after="0" w:line="302" w:lineRule="auto"/>
        <w:rPr>
          <w:sz w:val="20"/>
          <w:szCs w:val="20"/>
          <w:color w:val="auto"/>
        </w:rPr>
      </w:pPr>
      <w:r>
        <w:rPr>
          <w:rFonts w:ascii="Arial" w:cs="Arial" w:eastAsia="Arial" w:hAnsi="Arial"/>
          <w:sz w:val="16"/>
          <w:szCs w:val="16"/>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87" w:lineRule="exact"/>
        <w:rPr>
          <w:sz w:val="20"/>
          <w:szCs w:val="20"/>
          <w:color w:val="auto"/>
        </w:rPr>
      </w:pPr>
    </w:p>
    <w:p>
      <w:pPr>
        <w:ind w:left="560" w:right="659" w:firstLine="432"/>
        <w:spacing w:after="0" w:line="264" w:lineRule="auto"/>
        <w:rPr>
          <w:sz w:val="20"/>
          <w:szCs w:val="20"/>
          <w:color w:val="auto"/>
        </w:rPr>
      </w:pPr>
      <w:r>
        <w:rPr>
          <w:rFonts w:ascii="Arial" w:cs="Arial" w:eastAsia="Arial" w:hAnsi="Arial"/>
          <w:sz w:val="18"/>
          <w:szCs w:val="18"/>
          <w:color w:val="auto"/>
        </w:rPr>
        <w:t>The solution sets up a consortium chain platform using blockchain technology. When a bank or a merchant joins the consortium, it becomes a node of the consortium chain. This allows the bank’s customers to manage and</w:t>
      </w:r>
    </w:p>
    <w:p>
      <w:pPr>
        <w:sectPr>
          <w:pgSz w:w="11900" w:h="16838" w:orient="portrait"/>
          <w:cols w:equalWidth="0" w:num="1">
            <w:col w:w="9019"/>
          </w:cols>
          <w:pgMar w:left="1440" w:top="463" w:right="1440"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4" w:name="page5"/>
    <w:bookmarkEnd w:id="4"/>
    <w:p>
      <w:pPr>
        <w:jc w:val="both"/>
        <w:ind w:left="560" w:right="63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123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850" cy="8123555"/>
                    </a:xfrm>
                    <a:prstGeom prst="rect">
                      <a:avLst/>
                    </a:prstGeom>
                    <a:noFill/>
                  </pic:spPr>
                </pic:pic>
              </a:graphicData>
            </a:graphic>
          </wp:anchor>
        </w:drawing>
        <w:t>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w:t>
      </w:r>
    </w:p>
    <w:p>
      <w:pPr>
        <w:spacing w:after="0" w:line="121" w:lineRule="exact"/>
        <w:rPr>
          <w:sz w:val="20"/>
          <w:szCs w:val="20"/>
          <w:color w:val="auto"/>
        </w:rPr>
      </w:pPr>
    </w:p>
    <w:p>
      <w:pPr>
        <w:ind w:left="560" w:right="599" w:firstLine="432"/>
        <w:spacing w:after="0" w:line="308" w:lineRule="auto"/>
        <w:rPr>
          <w:sz w:val="20"/>
          <w:szCs w:val="20"/>
          <w:color w:val="auto"/>
        </w:rPr>
      </w:pPr>
      <w:r>
        <w:rPr>
          <w:rFonts w:ascii="Arial" w:cs="Arial" w:eastAsia="Arial" w:hAnsi="Arial"/>
          <w:sz w:val="17"/>
          <w:szCs w:val="17"/>
          <w:color w:val="auto"/>
        </w:rPr>
        <w:t>We will continue to develop our new IT solutions to meet the evolving needs of our Chinese and global financial institutional clientele drawing upon the forward-looking research of our R&amp;D center.</w:t>
      </w:r>
    </w:p>
    <w:p>
      <w:pPr>
        <w:spacing w:after="0" w:line="79" w:lineRule="exact"/>
        <w:rPr>
          <w:sz w:val="20"/>
          <w:szCs w:val="20"/>
          <w:color w:val="auto"/>
        </w:rPr>
      </w:pPr>
    </w:p>
    <w:p>
      <w:pPr>
        <w:ind w:left="560" w:right="719" w:firstLine="432"/>
        <w:spacing w:after="0" w:line="272" w:lineRule="auto"/>
        <w:rPr>
          <w:sz w:val="20"/>
          <w:szCs w:val="20"/>
          <w:color w:val="auto"/>
        </w:rPr>
      </w:pPr>
      <w:r>
        <w:rPr>
          <w:rFonts w:ascii="Arial" w:cs="Arial" w:eastAsia="Arial" w:hAnsi="Arial"/>
          <w:sz w:val="17"/>
          <w:szCs w:val="17"/>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Services</w:t>
      </w:r>
    </w:p>
    <w:p>
      <w:pPr>
        <w:spacing w:after="0" w:line="144" w:lineRule="exact"/>
        <w:rPr>
          <w:sz w:val="20"/>
          <w:szCs w:val="20"/>
          <w:color w:val="auto"/>
        </w:rPr>
      </w:pPr>
    </w:p>
    <w:p>
      <w:pPr>
        <w:ind w:left="560" w:right="539" w:firstLine="432"/>
        <w:spacing w:after="0" w:line="254" w:lineRule="auto"/>
        <w:rPr>
          <w:sz w:val="20"/>
          <w:szCs w:val="20"/>
          <w:color w:val="auto"/>
        </w:rPr>
      </w:pPr>
      <w:r>
        <w:rPr>
          <w:rFonts w:ascii="Arial" w:cs="Arial" w:eastAsia="Arial" w:hAnsi="Arial"/>
          <w:sz w:val="18"/>
          <w:szCs w:val="18"/>
          <w:i w:val="1"/>
          <w:iCs w:val="1"/>
          <w:color w:val="auto"/>
        </w:rPr>
        <w:t xml:space="preserve">CLPS Virtual Banking Platform (CLB) – </w:t>
      </w:r>
      <w:r>
        <w:rPr>
          <w:rFonts w:ascii="Arial" w:cs="Arial" w:eastAsia="Arial" w:hAnsi="Arial"/>
          <w:sz w:val="18"/>
          <w:szCs w:val="18"/>
          <w:color w:val="auto"/>
        </w:rPr>
        <w:t>CLB is a unique and successful training platform for IT talents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25" w:lineRule="exact"/>
        <w:rPr>
          <w:sz w:val="20"/>
          <w:szCs w:val="20"/>
          <w:color w:val="auto"/>
        </w:rPr>
      </w:pPr>
    </w:p>
    <w:p>
      <w:pPr>
        <w:ind w:left="560" w:right="819" w:firstLine="432"/>
        <w:spacing w:after="0" w:line="273" w:lineRule="auto"/>
        <w:rPr>
          <w:sz w:val="20"/>
          <w:szCs w:val="20"/>
          <w:color w:val="auto"/>
        </w:rPr>
      </w:pPr>
      <w:r>
        <w:rPr>
          <w:rFonts w:ascii="Arial" w:cs="Arial" w:eastAsia="Arial" w:hAnsi="Arial"/>
          <w:sz w:val="17"/>
          <w:szCs w:val="17"/>
          <w:color w:val="auto"/>
        </w:rPr>
        <w:t>In fiscal years 2017 and 2016, revenue from other services was approximately USD$0.4 million and USD$0.08 million, respectively. Revenues from other services accounted for 1.2% and 0.3% of our total revenues in fiscal years 2017 and 2016, respectively. For six months ended December 31, 2017 and 2016, revenue from other services was approximately USD$0.04 million and USD$0.3 million, respectively. Revenues from other services accounted for 0.2% and 2% of our total revenues for six months ended December 31, 2017 and 2016, respectively.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560" w:right="879" w:firstLine="432"/>
        <w:spacing w:after="0" w:line="264" w:lineRule="auto"/>
        <w:rPr>
          <w:sz w:val="20"/>
          <w:szCs w:val="20"/>
          <w:color w:val="auto"/>
        </w:rPr>
      </w:pPr>
      <w:r>
        <w:rPr>
          <w:rFonts w:ascii="Arial" w:cs="Arial" w:eastAsia="Arial" w:hAnsi="Arial"/>
          <w:sz w:val="18"/>
          <w:szCs w:val="18"/>
          <w:color w:val="auto"/>
        </w:rPr>
        <w:t>R&amp;D is an integral part of our continued growth. In order to serve our Chinese and global clients’ needs better, we focus on exploring and researching new and advanced technologies and how to integrate them into our existing and new solutions.</w:t>
      </w:r>
    </w:p>
    <w:p>
      <w:pPr>
        <w:spacing w:after="0" w:line="100" w:lineRule="exact"/>
        <w:rPr>
          <w:sz w:val="20"/>
          <w:szCs w:val="20"/>
          <w:color w:val="auto"/>
        </w:rPr>
      </w:pPr>
    </w:p>
    <w:p>
      <w:pPr>
        <w:ind w:left="560" w:right="559" w:firstLine="432"/>
        <w:spacing w:after="0" w:line="269"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During fiscal years 2017 and 2016, our R&amp;D expense were approximately USD$4.2 million and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USD$5.6 million, respectively, representing 13.5% and 19.2% of our total revenues for fiscal years 2017 and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2016, respectively. During six months ended December 2017 and 2016, our R&amp;D expense were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approximately USD$3.6 million and USD$2.0 million, respectively, representing 16% and 14% of our total</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for six months ended December 31, 2017 and 2016, respectively.</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5" w:name="page6"/>
    <w:bookmarkEnd w:id="5"/>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833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5833745"/>
                    </a:xfrm>
                    <a:prstGeom prst="rect">
                      <a:avLst/>
                    </a:prstGeom>
                    <a:noFill/>
                  </pic:spPr>
                </pic:pic>
              </a:graphicData>
            </a:graphic>
          </wp:anchor>
        </w:drawing>
        <w:t>Significant Customers</w:t>
      </w:r>
    </w:p>
    <w:p>
      <w:pPr>
        <w:spacing w:after="0" w:line="148" w:lineRule="exact"/>
        <w:rPr>
          <w:sz w:val="20"/>
          <w:szCs w:val="20"/>
          <w:color w:val="auto"/>
        </w:rPr>
      </w:pPr>
    </w:p>
    <w:p>
      <w:pPr>
        <w:ind w:left="560" w:right="539" w:firstLine="432"/>
        <w:spacing w:after="0" w:line="291"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same fiscal periods, Citibank and eBay, accounted in the aggregate for 53.9% and 71.6% of the Company’s total revenues, respectively. For the six months ended December 31, 2017 and 2016, Citibank and its affiliates accounted for 30.7% and 41% of the Company’s total revenues, respectively. For the same periods, Citibank and eBay, accounted in the aggregate for 40.3% and 56.5% of the Company’s total revenues, respectively.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Industry and Market Background</w:t>
      </w:r>
    </w:p>
    <w:p>
      <w:pPr>
        <w:spacing w:after="0" w:line="162" w:lineRule="exact"/>
        <w:rPr>
          <w:sz w:val="20"/>
          <w:szCs w:val="20"/>
          <w:color w:val="auto"/>
        </w:rPr>
      </w:pPr>
    </w:p>
    <w:p>
      <w:pPr>
        <w:ind w:left="560" w:right="959" w:firstLine="432"/>
        <w:spacing w:after="0" w:line="277" w:lineRule="auto"/>
        <w:rPr>
          <w:sz w:val="20"/>
          <w:szCs w:val="20"/>
          <w:color w:val="auto"/>
        </w:rPr>
      </w:pPr>
      <w:r>
        <w:rPr>
          <w:rFonts w:ascii="Arial" w:cs="Arial" w:eastAsia="Arial" w:hAnsi="Arial"/>
          <w:sz w:val="18"/>
          <w:szCs w:val="18"/>
          <w:color w:val="auto"/>
        </w:rPr>
        <w:t>Businesses, both domestically in China and globally, are outsourcing a growing portion of their IT services and business processes to China-based IT providers.</w:t>
      </w:r>
    </w:p>
    <w:p>
      <w:pPr>
        <w:spacing w:after="0" w:line="103" w:lineRule="exact"/>
        <w:rPr>
          <w:sz w:val="20"/>
          <w:szCs w:val="20"/>
          <w:color w:val="auto"/>
        </w:rPr>
      </w:pPr>
    </w:p>
    <w:p>
      <w:pPr>
        <w:ind w:left="560" w:right="619" w:firstLine="432"/>
        <w:spacing w:after="0" w:line="259" w:lineRule="auto"/>
        <w:rPr>
          <w:sz w:val="20"/>
          <w:szCs w:val="20"/>
          <w:color w:val="auto"/>
        </w:rPr>
      </w:pPr>
      <w:r>
        <w:rPr>
          <w:rFonts w:ascii="Arial" w:cs="Arial" w:eastAsia="Arial" w:hAnsi="Arial"/>
          <w:sz w:val="18"/>
          <w:szCs w:val="18"/>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560" w:right="979" w:firstLine="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7351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7351395"/>
                    </a:xfrm>
                    <a:prstGeom prst="rect">
                      <a:avLst/>
                    </a:prstGeom>
                    <a:noFill/>
                  </pic:spPr>
                </pic:pic>
              </a:graphicData>
            </a:graphic>
          </wp:anchor>
        </w:drawing>
        <w:t>Financial institutions/banking IT services market is composed of software and services,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Data source: Wind Terminal</w:t>
      </w:r>
    </w:p>
    <w:p>
      <w:pPr>
        <w:spacing w:after="0" w:line="144" w:lineRule="exact"/>
        <w:rPr>
          <w:sz w:val="20"/>
          <w:szCs w:val="20"/>
          <w:color w:val="auto"/>
        </w:rPr>
      </w:pPr>
    </w:p>
    <w:p>
      <w:pPr>
        <w:ind w:left="560" w:right="579" w:firstLine="432"/>
        <w:spacing w:after="0" w:line="284" w:lineRule="auto"/>
        <w:rPr>
          <w:sz w:val="20"/>
          <w:szCs w:val="20"/>
          <w:color w:val="auto"/>
        </w:rPr>
      </w:pPr>
      <w:r>
        <w:rPr>
          <w:rFonts w:ascii="Arial" w:cs="Arial" w:eastAsia="Arial" w:hAnsi="Arial"/>
          <w:sz w:val="16"/>
          <w:szCs w:val="16"/>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w:t>
      </w:r>
    </w:p>
    <w:p>
      <w:pPr>
        <w:spacing w:after="0" w:line="1" w:lineRule="exact"/>
        <w:rPr>
          <w:sz w:val="20"/>
          <w:szCs w:val="20"/>
          <w:color w:val="auto"/>
        </w:rPr>
      </w:pPr>
    </w:p>
    <w:p>
      <w:pPr>
        <w:ind w:left="560" w:right="599"/>
        <w:spacing w:after="0" w:line="252" w:lineRule="auto"/>
        <w:rPr>
          <w:sz w:val="20"/>
          <w:szCs w:val="20"/>
          <w:color w:val="auto"/>
        </w:rPr>
      </w:pPr>
      <w:r>
        <w:rPr>
          <w:rFonts w:ascii="Arial" w:cs="Arial" w:eastAsia="Arial" w:hAnsi="Arial"/>
          <w:sz w:val="18"/>
          <w:szCs w:val="18"/>
          <w:color w:val="auto"/>
        </w:rPr>
        <w:t>22.1% compared with 2015 (IDC China Banking IT Services Market Forecast and Analysis 2016-2020). In 2015, these services still comprised the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27" w:lineRule="exact"/>
        <w:rPr>
          <w:sz w:val="20"/>
          <w:szCs w:val="20"/>
          <w:color w:val="auto"/>
        </w:rPr>
      </w:pPr>
    </w:p>
    <w:p>
      <w:pPr>
        <w:ind w:left="560" w:right="619" w:firstLine="432"/>
        <w:spacing w:after="0" w:line="253" w:lineRule="auto"/>
        <w:rPr>
          <w:sz w:val="20"/>
          <w:szCs w:val="20"/>
          <w:color w:val="auto"/>
        </w:rPr>
      </w:pPr>
      <w:r>
        <w:rPr>
          <w:rFonts w:ascii="Arial" w:cs="Arial" w:eastAsia="Arial" w:hAnsi="Arial"/>
          <w:sz w:val="18"/>
          <w:szCs w:val="18"/>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7" w:name="page8"/>
    <w:bookmarkEnd w:id="7"/>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483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8483600"/>
                    </a:xfrm>
                    <a:prstGeom prst="rect">
                      <a:avLst/>
                    </a:prstGeom>
                    <a:noFill/>
                  </pic:spPr>
                </pic:pic>
              </a:graphicData>
            </a:graphic>
          </wp:anchor>
        </w:drawing>
        <w:t>Our Strategies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have developed and intend to implement the following strategies to expand and grow the size of our</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w:t>
      </w:r>
    </w:p>
    <w:p>
      <w:pPr>
        <w:spacing w:after="0" w:line="143" w:lineRule="exact"/>
        <w:rPr>
          <w:sz w:val="20"/>
          <w:szCs w:val="20"/>
          <w:color w:val="auto"/>
        </w:rPr>
      </w:pPr>
    </w:p>
    <w:p>
      <w:pPr>
        <w:ind w:left="1420" w:right="559" w:hanging="436"/>
        <w:spacing w:after="0" w:line="253" w:lineRule="auto"/>
        <w:tabs>
          <w:tab w:leader="none" w:pos="140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Grow revenue with existing and new clients </w:t>
      </w:r>
      <w:r>
        <w:rPr>
          <w:rFonts w:ascii="Arial" w:cs="Arial" w:eastAsia="Arial" w:hAnsi="Arial"/>
          <w:sz w:val="18"/>
          <w:szCs w:val="18"/>
          <w:color w:val="auto"/>
        </w:rPr>
        <w:t>— We intend to pursue additional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from existing Chinese and global clients, 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27" w:lineRule="exact"/>
        <w:rPr>
          <w:rFonts w:ascii="Arial" w:cs="Arial" w:eastAsia="Arial" w:hAnsi="Arial"/>
          <w:sz w:val="18"/>
          <w:szCs w:val="18"/>
          <w:i w:val="1"/>
          <w:iCs w:val="1"/>
          <w:color w:val="auto"/>
        </w:rPr>
      </w:pPr>
    </w:p>
    <w:p>
      <w:pPr>
        <w:ind w:left="1420" w:right="719" w:hanging="436"/>
        <w:spacing w:after="0" w:line="271" w:lineRule="auto"/>
        <w:tabs>
          <w:tab w:leader="none" w:pos="140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 will continue to enhance our domain knowledge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97" w:lineRule="exact"/>
        <w:rPr>
          <w:rFonts w:ascii="Arial" w:cs="Arial" w:eastAsia="Arial" w:hAnsi="Arial"/>
          <w:sz w:val="17"/>
          <w:szCs w:val="17"/>
          <w:i w:val="1"/>
          <w:iCs w:val="1"/>
          <w:color w:val="auto"/>
        </w:rPr>
      </w:pPr>
    </w:p>
    <w:p>
      <w:pPr>
        <w:ind w:left="1420" w:right="559" w:hanging="436"/>
        <w:spacing w:after="0" w:line="285" w:lineRule="auto"/>
        <w:tabs>
          <w:tab w:leader="none" w:pos="140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training and development of our world-class human capital base </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place a high priority on attracting, training, 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07" w:lineRule="exact"/>
        <w:rPr>
          <w:rFonts w:ascii="Arial" w:cs="Arial" w:eastAsia="Arial" w:hAnsi="Arial"/>
          <w:sz w:val="16"/>
          <w:szCs w:val="16"/>
          <w:i w:val="1"/>
          <w:iCs w:val="1"/>
          <w:color w:val="auto"/>
        </w:rPr>
      </w:pPr>
    </w:p>
    <w:p>
      <w:pPr>
        <w:ind w:left="1420" w:right="599" w:hanging="436"/>
        <w:spacing w:after="0" w:line="270" w:lineRule="auto"/>
        <w:tabs>
          <w:tab w:leader="none" w:pos="140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efficiencies through ongoing improvements in operational excellence </w:t>
      </w:r>
      <w:r>
        <w:rPr>
          <w:rFonts w:ascii="Arial" w:cs="Arial" w:eastAsia="Arial" w:hAnsi="Arial"/>
          <w:sz w:val="17"/>
          <w:szCs w:val="17"/>
          <w:color w:val="auto"/>
        </w:rPr>
        <w:t>— We strive to gain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operating efficiencies by 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10" w:lineRule="exact"/>
        <w:rPr>
          <w:rFonts w:ascii="Arial" w:cs="Arial" w:eastAsia="Arial" w:hAnsi="Arial"/>
          <w:sz w:val="17"/>
          <w:szCs w:val="17"/>
          <w:i w:val="1"/>
          <w:iCs w:val="1"/>
          <w:color w:val="auto"/>
        </w:rPr>
      </w:pPr>
    </w:p>
    <w:p>
      <w:pPr>
        <w:ind w:left="1420" w:right="739" w:hanging="436"/>
        <w:spacing w:after="0" w:line="272" w:lineRule="auto"/>
        <w:tabs>
          <w:tab w:leader="none" w:pos="140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Capture new growth opportunities through strategic alliances and acquisitions </w:t>
      </w:r>
      <w:r>
        <w:rPr>
          <w:rFonts w:ascii="Arial" w:cs="Arial" w:eastAsia="Arial" w:hAnsi="Arial"/>
          <w:sz w:val="17"/>
          <w:szCs w:val="17"/>
          <w:color w:val="auto"/>
        </w:rPr>
        <w: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pursue selective alliances and 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ectPr>
          <w:pgSz w:w="11900" w:h="16838" w:orient="portrait"/>
          <w:cols w:equalWidth="0" w:num="1">
            <w:col w:w="9019"/>
          </w:cols>
          <w:pgMar w:left="1440" w:top="540" w:right="1440"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8" w:name="page9"/>
    <w:bookmarkEnd w:id="8"/>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20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8209280"/>
                    </a:xfrm>
                    <a:prstGeom prst="rect">
                      <a:avLst/>
                    </a:prstGeom>
                    <a:noFill/>
                  </pic:spPr>
                </pic:pic>
              </a:graphicData>
            </a:graphic>
          </wp:anchor>
        </w:drawing>
        <w:t>Our Competitive Strengths</w:t>
      </w:r>
    </w:p>
    <w:p>
      <w:pPr>
        <w:spacing w:after="0" w:line="148" w:lineRule="exact"/>
        <w:rPr>
          <w:sz w:val="20"/>
          <w:szCs w:val="20"/>
          <w:color w:val="auto"/>
        </w:rPr>
      </w:pPr>
    </w:p>
    <w:p>
      <w:pPr>
        <w:ind w:left="560" w:right="699" w:firstLine="432"/>
        <w:spacing w:after="0" w:line="264"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14" w:lineRule="exact"/>
        <w:rPr>
          <w:sz w:val="20"/>
          <w:szCs w:val="20"/>
          <w:color w:val="auto"/>
        </w:rPr>
      </w:pPr>
    </w:p>
    <w:p>
      <w:pPr>
        <w:ind w:left="560" w:right="1059" w:firstLine="432"/>
        <w:spacing w:after="0" w:line="277" w:lineRule="auto"/>
        <w:rPr>
          <w:sz w:val="20"/>
          <w:szCs w:val="20"/>
          <w:color w:val="auto"/>
        </w:rPr>
      </w:pPr>
      <w:r>
        <w:rPr>
          <w:rFonts w:ascii="Arial" w:cs="Arial" w:eastAsia="Arial" w:hAnsi="Arial"/>
          <w:sz w:val="18"/>
          <w:szCs w:val="18"/>
          <w:color w:val="auto"/>
        </w:rPr>
        <w:t>We believe that there are several key strengths that differentiate us from our competitors and will continue to contribute to our growth and success.</w:t>
      </w:r>
    </w:p>
    <w:p>
      <w:pPr>
        <w:spacing w:after="0" w:line="103" w:lineRule="exact"/>
        <w:rPr>
          <w:sz w:val="20"/>
          <w:szCs w:val="20"/>
          <w:color w:val="auto"/>
        </w:rPr>
      </w:pPr>
    </w:p>
    <w:p>
      <w:pPr>
        <w:ind w:left="560" w:right="579" w:firstLine="432"/>
        <w:spacing w:after="0" w:line="285" w:lineRule="auto"/>
        <w:rPr>
          <w:sz w:val="20"/>
          <w:szCs w:val="20"/>
          <w:color w:val="auto"/>
        </w:rPr>
      </w:pPr>
      <w:r>
        <w:rPr>
          <w:rFonts w:ascii="Arial" w:cs="Arial" w:eastAsia="Arial" w:hAnsi="Arial"/>
          <w:sz w:val="16"/>
          <w:szCs w:val="16"/>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89" w:lineRule="exact"/>
        <w:rPr>
          <w:sz w:val="20"/>
          <w:szCs w:val="20"/>
          <w:color w:val="auto"/>
        </w:rPr>
      </w:pPr>
    </w:p>
    <w:p>
      <w:pPr>
        <w:ind w:left="560" w:right="579" w:firstLine="432"/>
        <w:spacing w:after="0" w:line="273"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11" w:lineRule="exact"/>
        <w:rPr>
          <w:sz w:val="20"/>
          <w:szCs w:val="20"/>
          <w:color w:val="auto"/>
        </w:rPr>
      </w:pPr>
    </w:p>
    <w:p>
      <w:pPr>
        <w:ind w:left="560" w:right="719" w:firstLine="432"/>
        <w:spacing w:after="0" w:line="302" w:lineRule="auto"/>
        <w:rPr>
          <w:sz w:val="20"/>
          <w:szCs w:val="20"/>
          <w:color w:val="auto"/>
        </w:rPr>
      </w:pPr>
      <w:r>
        <w:rPr>
          <w:rFonts w:ascii="Arial" w:cs="Arial" w:eastAsia="Arial" w:hAnsi="Arial"/>
          <w:sz w:val="16"/>
          <w:szCs w:val="16"/>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87" w:lineRule="exact"/>
        <w:rPr>
          <w:sz w:val="20"/>
          <w:szCs w:val="20"/>
          <w:color w:val="auto"/>
        </w:rPr>
      </w:pPr>
    </w:p>
    <w:p>
      <w:pPr>
        <w:ind w:left="1400" w:hanging="41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144" w:lineRule="exact"/>
        <w:rPr>
          <w:rFonts w:ascii="Arial" w:cs="Arial" w:eastAsia="Arial" w:hAnsi="Arial"/>
          <w:sz w:val="18"/>
          <w:szCs w:val="18"/>
          <w:color w:val="auto"/>
        </w:rPr>
      </w:pPr>
    </w:p>
    <w:p>
      <w:pPr>
        <w:ind w:left="1400" w:hanging="41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157" w:lineRule="exact"/>
        <w:rPr>
          <w:rFonts w:ascii="Arial" w:cs="Arial" w:eastAsia="Arial" w:hAnsi="Arial"/>
          <w:sz w:val="18"/>
          <w:szCs w:val="18"/>
          <w:color w:val="auto"/>
        </w:rPr>
      </w:pPr>
    </w:p>
    <w:p>
      <w:pPr>
        <w:ind w:left="1420" w:right="639" w:hanging="436"/>
        <w:spacing w:after="0" w:line="277" w:lineRule="auto"/>
        <w:tabs>
          <w:tab w:leader="none" w:pos="1402"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which have been with us since our inception;</w:t>
      </w:r>
    </w:p>
    <w:p>
      <w:pPr>
        <w:spacing w:after="0" w:line="102" w:lineRule="exact"/>
        <w:rPr>
          <w:rFonts w:ascii="Arial" w:cs="Arial" w:eastAsia="Arial" w:hAnsi="Arial"/>
          <w:sz w:val="18"/>
          <w:szCs w:val="18"/>
          <w:color w:val="auto"/>
        </w:rPr>
      </w:pPr>
    </w:p>
    <w:p>
      <w:pPr>
        <w:ind w:left="1420" w:right="839" w:hanging="436"/>
        <w:spacing w:after="0" w:line="277" w:lineRule="auto"/>
        <w:tabs>
          <w:tab w:leader="none" w:pos="140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89" w:lineRule="exact"/>
        <w:rPr>
          <w:rFonts w:ascii="Arial" w:cs="Arial" w:eastAsia="Arial" w:hAnsi="Arial"/>
          <w:sz w:val="18"/>
          <w:szCs w:val="18"/>
          <w:color w:val="auto"/>
        </w:rPr>
      </w:pPr>
    </w:p>
    <w:p>
      <w:pPr>
        <w:ind w:left="1400" w:hanging="416"/>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and Challenges</w:t>
      </w:r>
    </w:p>
    <w:p>
      <w:pPr>
        <w:spacing w:after="0" w:line="162" w:lineRule="exact"/>
        <w:rPr>
          <w:sz w:val="20"/>
          <w:szCs w:val="20"/>
          <w:color w:val="auto"/>
        </w:rPr>
      </w:pPr>
    </w:p>
    <w:p>
      <w:pPr>
        <w:ind w:left="560" w:right="739" w:firstLine="432"/>
        <w:spacing w:after="0" w:line="286" w:lineRule="auto"/>
        <w:rPr>
          <w:sz w:val="20"/>
          <w:szCs w:val="20"/>
          <w:color w:val="auto"/>
        </w:rPr>
      </w:pPr>
      <w:r>
        <w:rPr>
          <w:rFonts w:ascii="Arial" w:cs="Arial" w:eastAsia="Arial" w:hAnsi="Arial"/>
          <w:sz w:val="17"/>
          <w:szCs w:val="17"/>
          <w:color w:val="auto"/>
        </w:rPr>
        <w:t>Our prospects should be considered in light of the risks, uncertainties, expenses and difficulties frequently encountered by similar companies. Our ability to realize our business objectives and execute our strategies is subject to risks and uncertainties, including, among others, the following:</w:t>
      </w:r>
    </w:p>
    <w:p>
      <w:pPr>
        <w:spacing w:after="0" w:line="98" w:lineRule="exact"/>
        <w:rPr>
          <w:sz w:val="20"/>
          <w:szCs w:val="20"/>
          <w:color w:val="auto"/>
        </w:rPr>
      </w:pPr>
    </w:p>
    <w:p>
      <w:pPr>
        <w:ind w:left="1420" w:right="719" w:hanging="436"/>
        <w:spacing w:after="0" w:line="277" w:lineRule="auto"/>
        <w:tabs>
          <w:tab w:leader="none" w:pos="140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manage our rapid growth, which could place significant strain on our management personnel, systems and resources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545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6545580"/>
                    </a:xfrm>
                    <a:prstGeom prst="rect">
                      <a:avLst/>
                    </a:prstGeom>
                    <a:noFill/>
                  </pic:spPr>
                </pic:pic>
              </a:graphicData>
            </a:graphic>
          </wp:anchor>
        </w:drawing>
        <w:t>adverse changes in the economic environment either in China or globally</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from onshore and offshore IT services companies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for highly skilled personnel</w:t>
      </w:r>
    </w:p>
    <w:p>
      <w:pPr>
        <w:spacing w:after="0" w:line="144" w:lineRule="exact"/>
        <w:rPr>
          <w:rFonts w:ascii="Arial" w:cs="Arial" w:eastAsia="Arial" w:hAnsi="Arial"/>
          <w:sz w:val="18"/>
          <w:szCs w:val="18"/>
          <w:color w:val="auto"/>
        </w:rPr>
      </w:pPr>
    </w:p>
    <w:p>
      <w:pPr>
        <w:ind w:left="1420" w:right="619" w:hanging="436"/>
        <w:spacing w:after="0" w:line="342" w:lineRule="auto"/>
        <w:tabs>
          <w:tab w:leader="none" w:pos="1402"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reliance on a relatively small number of major clients, including Citibank and its affiliates accounted for 38.6% and 59.2% of our total revenue for fiscal years 2017 and 2016, respectively.</w:t>
      </w:r>
    </w:p>
    <w:p>
      <w:pPr>
        <w:spacing w:after="0" w:line="56" w:lineRule="exact"/>
        <w:rPr>
          <w:rFonts w:ascii="Arial" w:cs="Arial" w:eastAsia="Arial" w:hAnsi="Arial"/>
          <w:sz w:val="16"/>
          <w:szCs w:val="16"/>
          <w:color w:val="auto"/>
        </w:rPr>
      </w:pPr>
    </w:p>
    <w:p>
      <w:pPr>
        <w:ind w:left="1420" w:right="559" w:hanging="436"/>
        <w:spacing w:after="0" w:line="277" w:lineRule="auto"/>
        <w:tabs>
          <w:tab w:leader="none" w:pos="140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and develop new services and enhance existing services to keep pace with rapid changes in technology</w:t>
      </w:r>
    </w:p>
    <w:p>
      <w:pPr>
        <w:spacing w:after="0" w:line="102"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integrate or manage acquired companies efficiently</w:t>
      </w:r>
    </w:p>
    <w:p>
      <w:pPr>
        <w:spacing w:after="0" w:line="144"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new clients for our services and/or growing revenues from existing clients</w:t>
      </w:r>
    </w:p>
    <w:p>
      <w:pPr>
        <w:spacing w:after="0" w:line="169" w:lineRule="exact"/>
        <w:rPr>
          <w:rFonts w:ascii="Arial" w:cs="Arial" w:eastAsia="Arial" w:hAnsi="Arial"/>
          <w:sz w:val="17"/>
          <w:szCs w:val="17"/>
          <w:color w:val="auto"/>
        </w:rPr>
      </w:pPr>
    </w:p>
    <w:p>
      <w:pPr>
        <w:ind w:left="1420" w:right="639" w:hanging="436"/>
        <w:spacing w:after="0" w:line="342" w:lineRule="auto"/>
        <w:tabs>
          <w:tab w:leader="none" w:pos="1402"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having a long selling and implementation cycle for our services that require us to make significant resource commitments prior to realizing revenues for those services</w:t>
      </w:r>
    </w:p>
    <w:p>
      <w:pPr>
        <w:spacing w:after="0" w:line="56" w:lineRule="exact"/>
        <w:rPr>
          <w:rFonts w:ascii="Arial" w:cs="Arial" w:eastAsia="Arial" w:hAnsi="Arial"/>
          <w:sz w:val="16"/>
          <w:szCs w:val="16"/>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wages for professionals in China</w:t>
      </w:r>
    </w:p>
    <w:p>
      <w:pPr>
        <w:spacing w:after="0" w:line="144"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unauthorized disclosure of sensitive and confidential information</w:t>
      </w:r>
    </w:p>
    <w:p>
      <w:pPr>
        <w:spacing w:after="0" w:line="157"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intellectual property infringement claims</w:t>
      </w:r>
    </w:p>
    <w:p>
      <w:pPr>
        <w:spacing w:after="0" w:line="144" w:lineRule="exact"/>
        <w:rPr>
          <w:rFonts w:ascii="Arial" w:cs="Arial" w:eastAsia="Arial" w:hAnsi="Arial"/>
          <w:sz w:val="18"/>
          <w:szCs w:val="18"/>
          <w:color w:val="auto"/>
        </w:rPr>
      </w:pPr>
    </w:p>
    <w:p>
      <w:pPr>
        <w:jc w:val="both"/>
        <w:ind w:left="1420" w:right="719" w:hanging="436"/>
        <w:spacing w:after="0" w:line="286" w:lineRule="auto"/>
        <w:tabs>
          <w:tab w:leader="none" w:pos="1402"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material weakness in our internal control over financial reporting such that if we fail to develop and maintain an effective system of internal control over financial reporting, we may be unable to accurately report our financial results or prevent fraud.</w:t>
      </w:r>
    </w:p>
    <w:p>
      <w:pPr>
        <w:spacing w:after="0" w:line="97" w:lineRule="exact"/>
        <w:rPr>
          <w:rFonts w:ascii="Arial" w:cs="Arial" w:eastAsia="Arial" w:hAnsi="Arial"/>
          <w:sz w:val="17"/>
          <w:szCs w:val="17"/>
          <w:color w:val="auto"/>
        </w:rPr>
      </w:pPr>
    </w:p>
    <w:p>
      <w:pPr>
        <w:ind w:left="1420" w:right="659" w:hanging="436"/>
        <w:spacing w:after="0" w:line="277" w:lineRule="auto"/>
        <w:tabs>
          <w:tab w:leader="none" w:pos="1402"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resulting from business interruptions resulting from occurrence of natural disasters, health epidemics and other outbreaks or events</w:t>
      </w:r>
    </w:p>
    <w:p>
      <w:pPr>
        <w:spacing w:after="0" w:line="102" w:lineRule="exact"/>
        <w:rPr>
          <w:rFonts w:ascii="Arial" w:cs="Arial" w:eastAsia="Arial" w:hAnsi="Arial"/>
          <w:sz w:val="18"/>
          <w:szCs w:val="18"/>
          <w:color w:val="auto"/>
        </w:rPr>
      </w:pPr>
    </w:p>
    <w:p>
      <w:pPr>
        <w:ind w:left="1400" w:hanging="416"/>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the value of the Renminbi and other currencies</w:t>
      </w:r>
    </w:p>
    <w:p>
      <w:pPr>
        <w:spacing w:after="0" w:line="144" w:lineRule="exact"/>
        <w:rPr>
          <w:rFonts w:ascii="Arial" w:cs="Arial" w:eastAsia="Arial" w:hAnsi="Arial"/>
          <w:sz w:val="18"/>
          <w:szCs w:val="18"/>
          <w:color w:val="auto"/>
        </w:rPr>
      </w:pPr>
    </w:p>
    <w:p>
      <w:pPr>
        <w:ind w:left="1420" w:right="879" w:hanging="436"/>
        <w:spacing w:after="0" w:line="277" w:lineRule="auto"/>
        <w:tabs>
          <w:tab w:leader="none" w:pos="1402"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telecommunications or significant failure in our IT systems that could harm our service model</w:t>
      </w:r>
    </w:p>
    <w:p>
      <w:pPr>
        <w:spacing w:after="0" w:line="102" w:lineRule="exact"/>
        <w:rPr>
          <w:rFonts w:ascii="Arial" w:cs="Arial" w:eastAsia="Arial" w:hAnsi="Arial"/>
          <w:sz w:val="18"/>
          <w:szCs w:val="18"/>
          <w:color w:val="auto"/>
        </w:rPr>
      </w:pPr>
    </w:p>
    <w:p>
      <w:pPr>
        <w:ind w:left="1420" w:right="619" w:hanging="436"/>
        <w:spacing w:after="0" w:line="277" w:lineRule="auto"/>
        <w:tabs>
          <w:tab w:leader="none" w:pos="140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vulnerabilities to security risks that could disrupt our services and adversely affect our results of operations</w:t>
      </w:r>
    </w:p>
    <w:p>
      <w:pPr>
        <w:spacing w:after="0" w:line="89" w:lineRule="exact"/>
        <w:rPr>
          <w:sz w:val="20"/>
          <w:szCs w:val="20"/>
          <w:color w:val="auto"/>
        </w:rPr>
      </w:pPr>
    </w:p>
    <w:p>
      <w:pPr>
        <w:ind w:left="560" w:right="719" w:firstLine="432"/>
        <w:spacing w:after="0" w:line="264" w:lineRule="auto"/>
        <w:rPr>
          <w:sz w:val="20"/>
          <w:szCs w:val="20"/>
          <w:color w:val="auto"/>
        </w:rPr>
      </w:pPr>
      <w:r>
        <w:rPr>
          <w:rFonts w:ascii="Arial" w:cs="Arial" w:eastAsia="Arial" w:hAnsi="Arial"/>
          <w:sz w:val="18"/>
          <w:szCs w:val="18"/>
          <w:color w:val="auto"/>
        </w:rPr>
        <w:t>In addition, we face other risks and uncertainties that may materially affect our business prospect, financial condition, and results of operations. You should consider the risks discussed in “Risk Factors” and elsewhere in this prospectus before investing in our common shares.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left="560" w:right="619" w:firstLine="432"/>
        <w:spacing w:after="0" w:line="285" w:lineRule="auto"/>
        <w:rPr>
          <w:sz w:val="20"/>
          <w:szCs w:val="20"/>
          <w:color w:val="auto"/>
        </w:rPr>
      </w:pPr>
      <w:r>
        <w:rPr>
          <w:rFonts w:ascii="Arial" w:cs="Arial" w:eastAsia="Arial" w:hAnsi="Arial"/>
          <w:sz w:val="16"/>
          <w:szCs w:val="16"/>
          <w:color w:val="auto"/>
        </w:rPr>
        <w:t>Our principal executive office is located at the 2</w:t>
      </w:r>
      <w:r>
        <w:rPr>
          <w:rFonts w:ascii="Arial" w:cs="Arial" w:eastAsia="Arial" w:hAnsi="Arial"/>
          <w:sz w:val="19"/>
          <w:szCs w:val="19"/>
          <w:color w:val="auto"/>
          <w:vertAlign w:val="superscript"/>
        </w:rPr>
        <w:t>nd</w:t>
      </w:r>
      <w:r>
        <w:rPr>
          <w:rFonts w:ascii="Arial" w:cs="Arial" w:eastAsia="Arial" w:hAnsi="Arial"/>
          <w:sz w:val="16"/>
          <w:szCs w:val="16"/>
          <w:color w:val="auto"/>
        </w:rPr>
        <w:t xml:space="preserve"> Floor, Building 18, Shanghai Pudong Software Park, 498 Guoshoujing Road, Pudong, Shanghai 201203, PRC. Our telephone number is (+86)21-31268010. Our website is as follows </w:t>
      </w:r>
      <w:r>
        <w:rPr>
          <w:rFonts w:ascii="Arial" w:cs="Arial" w:eastAsia="Arial" w:hAnsi="Arial"/>
          <w:sz w:val="16"/>
          <w:szCs w:val="16"/>
          <w:i w:val="1"/>
          <w:iCs w:val="1"/>
          <w:color w:val="auto"/>
        </w:rPr>
        <w:t>www.clpsglobal.com.</w:t>
      </w:r>
      <w:r>
        <w:rPr>
          <w:rFonts w:ascii="Arial" w:cs="Arial" w:eastAsia="Arial" w:hAnsi="Arial"/>
          <w:sz w:val="16"/>
          <w:szCs w:val="16"/>
          <w:color w:val="auto"/>
        </w:rPr>
        <w:t xml:space="preserve"> </w:t>
      </w:r>
      <w:r>
        <w:rPr>
          <w:rFonts w:ascii="Arial" w:cs="Arial" w:eastAsia="Arial" w:hAnsi="Arial"/>
          <w:sz w:val="16"/>
          <w:szCs w:val="16"/>
          <w:b w:val="1"/>
          <w:bCs w:val="1"/>
          <w:color w:val="auto"/>
        </w:rPr>
        <w:t>The information on our website is not part of this prospectus.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0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8509000"/>
                    </a:xfrm>
                    <a:prstGeom prst="rect">
                      <a:avLst/>
                    </a:prstGeom>
                    <a:noFill/>
                  </pic:spPr>
                </pic:pic>
              </a:graphicData>
            </a:graphic>
          </wp:anchor>
        </w:drawing>
        <w:t>Our Corporate Structure</w:t>
      </w:r>
    </w:p>
    <w:p>
      <w:pPr>
        <w:spacing w:after="0" w:line="148" w:lineRule="exact"/>
        <w:rPr>
          <w:sz w:val="20"/>
          <w:szCs w:val="20"/>
          <w:color w:val="auto"/>
        </w:rPr>
      </w:pPr>
    </w:p>
    <w:p>
      <w:pPr>
        <w:ind w:left="560" w:right="599" w:firstLine="432"/>
        <w:spacing w:after="0" w:line="264" w:lineRule="auto"/>
        <w:rPr>
          <w:sz w:val="20"/>
          <w:szCs w:val="20"/>
          <w:color w:val="auto"/>
        </w:rPr>
      </w:pPr>
      <w:r>
        <w:rPr>
          <w:rFonts w:ascii="Arial" w:cs="Arial" w:eastAsia="Arial" w:hAnsi="Arial"/>
          <w:sz w:val="18"/>
          <w:szCs w:val="18"/>
          <w:color w:val="auto"/>
        </w:rPr>
        <w:t>The following diagram illustrates our corporate structure as of the date of this prospectus. For more detail on our corporate history please refer to “Corporate History and Background” appearing on p. 71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ind w:left="560" w:right="579" w:firstLine="432"/>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79" w:lineRule="exact"/>
        <w:rPr>
          <w:sz w:val="20"/>
          <w:szCs w:val="20"/>
          <w:color w:val="auto"/>
        </w:rPr>
      </w:pPr>
    </w:p>
    <w:p>
      <w:pPr>
        <w:jc w:val="both"/>
        <w:ind w:left="1420" w:right="539" w:hanging="436"/>
        <w:spacing w:after="0" w:line="264" w:lineRule="auto"/>
        <w:tabs>
          <w:tab w:leader="none" w:pos="1377"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our SEC filings;</w:t>
      </w:r>
    </w:p>
    <w:p>
      <w:pPr>
        <w:spacing w:after="0" w:line="73" w:lineRule="exact"/>
        <w:rPr>
          <w:rFonts w:ascii="Arial" w:cs="Arial" w:eastAsia="Arial" w:hAnsi="Arial"/>
          <w:sz w:val="18"/>
          <w:szCs w:val="18"/>
          <w:color w:val="auto"/>
        </w:rPr>
      </w:pPr>
    </w:p>
    <w:p>
      <w:pPr>
        <w:ind w:left="1420" w:right="1019" w:hanging="436"/>
        <w:spacing w:after="0" w:line="277" w:lineRule="auto"/>
        <w:tabs>
          <w:tab w:leader="none" w:pos="140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62" w:lineRule="exact"/>
        <w:rPr>
          <w:rFonts w:ascii="Arial" w:cs="Arial" w:eastAsia="Arial" w:hAnsi="Arial"/>
          <w:sz w:val="18"/>
          <w:szCs w:val="18"/>
          <w:color w:val="auto"/>
        </w:rPr>
      </w:pPr>
    </w:p>
    <w:p>
      <w:pPr>
        <w:ind w:left="1420" w:right="1039" w:hanging="436"/>
        <w:spacing w:after="0" w:line="277" w:lineRule="auto"/>
        <w:tabs>
          <w:tab w:leader="none" w:pos="140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periodic reports, proxy statements and registration statements; and</w:t>
      </w:r>
    </w:p>
    <w:p>
      <w:pPr>
        <w:spacing w:after="0" w:line="62" w:lineRule="exact"/>
        <w:rPr>
          <w:rFonts w:ascii="Arial" w:cs="Arial" w:eastAsia="Arial" w:hAnsi="Arial"/>
          <w:sz w:val="18"/>
          <w:szCs w:val="18"/>
          <w:color w:val="auto"/>
        </w:rPr>
      </w:pPr>
    </w:p>
    <w:p>
      <w:pPr>
        <w:ind w:left="1420" w:right="1139" w:hanging="436"/>
        <w:spacing w:after="0" w:line="264" w:lineRule="auto"/>
        <w:tabs>
          <w:tab w:leader="none" w:pos="1402"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0" w:lineRule="exact"/>
        <w:rPr>
          <w:sz w:val="20"/>
          <w:szCs w:val="20"/>
          <w:color w:val="auto"/>
        </w:rPr>
      </w:pPr>
    </w:p>
    <w:p>
      <w:pPr>
        <w:ind w:left="560" w:right="719" w:firstLine="432"/>
        <w:spacing w:after="0" w:line="293"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ectPr>
          <w:pgSz w:w="11900" w:h="16838" w:orient="portrait"/>
          <w:cols w:equalWidth="0" w:num="1">
            <w:col w:w="9019"/>
          </w:cols>
          <w:pgMar w:left="1440" w:top="540" w:right="1440"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p>
      <w:pPr>
        <w:ind w:left="560" w:right="719" w:firstLine="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346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8346440"/>
                    </a:xfrm>
                    <a:prstGeom prst="rect">
                      <a:avLst/>
                    </a:prstGeom>
                    <a:noFill/>
                  </pic:spPr>
                </pic:pic>
              </a:graphicData>
            </a:graphic>
          </wp:anchor>
        </w:drawing>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Private Issuer Status</w:t>
      </w:r>
    </w:p>
    <w:p>
      <w:pPr>
        <w:spacing w:after="0" w:line="162" w:lineRule="exact"/>
        <w:rPr>
          <w:sz w:val="20"/>
          <w:szCs w:val="20"/>
          <w:color w:val="auto"/>
        </w:rPr>
      </w:pPr>
    </w:p>
    <w:p>
      <w:pPr>
        <w:ind w:left="560" w:right="599" w:firstLine="432"/>
        <w:spacing w:after="0" w:line="270" w:lineRule="auto"/>
        <w:rPr>
          <w:sz w:val="20"/>
          <w:szCs w:val="20"/>
          <w:color w:val="auto"/>
        </w:rPr>
      </w:pPr>
      <w:r>
        <w:rPr>
          <w:rFonts w:ascii="Arial" w:cs="Arial" w:eastAsia="Arial" w:hAnsi="Arial"/>
          <w:sz w:val="17"/>
          <w:szCs w:val="17"/>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Notes on Prospectus Presentation</w:t>
      </w:r>
    </w:p>
    <w:p>
      <w:pPr>
        <w:spacing w:after="0" w:line="162" w:lineRule="exact"/>
        <w:rPr>
          <w:sz w:val="20"/>
          <w:szCs w:val="20"/>
          <w:color w:val="auto"/>
        </w:rPr>
      </w:pPr>
    </w:p>
    <w:p>
      <w:pPr>
        <w:ind w:left="560" w:right="619" w:firstLine="432"/>
        <w:spacing w:after="0" w:line="270"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are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01" w:lineRule="exact"/>
        <w:rPr>
          <w:sz w:val="20"/>
          <w:szCs w:val="20"/>
          <w:color w:val="auto"/>
        </w:rPr>
      </w:pPr>
    </w:p>
    <w:p>
      <w:pPr>
        <w:ind w:left="560" w:right="559" w:firstLine="432"/>
        <w:spacing w:after="0" w:line="277" w:lineRule="auto"/>
        <w:rPr>
          <w:sz w:val="20"/>
          <w:szCs w:val="20"/>
          <w:color w:val="auto"/>
        </w:rPr>
      </w:pPr>
      <w:r>
        <w:rPr>
          <w:rFonts w:ascii="Arial" w:cs="Arial" w:eastAsia="Arial" w:hAnsi="Arial"/>
          <w:sz w:val="18"/>
          <w:szCs w:val="18"/>
          <w:color w:val="auto"/>
        </w:rPr>
        <w:t>For the sake of clarity, this prospectus follows the English naming convention of first name followed by last name, regardless of whether an individual’s name is Chinese or English.</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1420" w:right="1159" w:hanging="436"/>
        <w:spacing w:after="0" w:line="342" w:lineRule="auto"/>
        <w:tabs>
          <w:tab w:leader="none" w:pos="1402"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Depending on the context, the terms “we,” “us,” “our company,” and “our” refer to CLPS Incorporation, a Cayman Islands company, and its subsidiary and affiliated companies:</w:t>
      </w:r>
    </w:p>
    <w:p>
      <w:pPr>
        <w:spacing w:after="0" w:line="42" w:lineRule="exact"/>
        <w:rPr>
          <w:rFonts w:ascii="Arial" w:cs="Arial" w:eastAsia="Arial" w:hAnsi="Arial"/>
          <w:sz w:val="16"/>
          <w:szCs w:val="16"/>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157"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157"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144" w:lineRule="exact"/>
        <w:rPr>
          <w:rFonts w:ascii="Arial" w:cs="Arial" w:eastAsia="Arial" w:hAnsi="Arial"/>
          <w:sz w:val="18"/>
          <w:szCs w:val="18"/>
          <w:color w:val="auto"/>
        </w:rPr>
      </w:pPr>
    </w:p>
    <w:p>
      <w:pPr>
        <w:ind w:left="1840" w:right="1179" w:hanging="423"/>
        <w:spacing w:after="0" w:line="277" w:lineRule="auto"/>
        <w:tabs>
          <w:tab w:leader="none" w:pos="1822" w:val="left"/>
        </w:tabs>
        <w:numPr>
          <w:ilvl w:val="1"/>
          <w:numId w:val="8"/>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102"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157"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144" w:lineRule="exact"/>
        <w:rPr>
          <w:rFonts w:ascii="Arial" w:cs="Arial" w:eastAsia="Arial" w:hAnsi="Arial"/>
          <w:sz w:val="18"/>
          <w:szCs w:val="18"/>
          <w:color w:val="auto"/>
        </w:rPr>
      </w:pPr>
    </w:p>
    <w:p>
      <w:pPr>
        <w:ind w:left="1840" w:right="879" w:hanging="423"/>
        <w:spacing w:after="0" w:line="277" w:lineRule="auto"/>
        <w:tabs>
          <w:tab w:leader="none" w:pos="1822" w:val="left"/>
        </w:tabs>
        <w:numPr>
          <w:ilvl w:val="1"/>
          <w:numId w:val="8"/>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102"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7"/>
          <w:szCs w:val="17"/>
          <w:color w:val="auto"/>
        </w:rPr>
      </w:pPr>
      <w:r>
        <w:rPr>
          <w:rFonts w:ascii="Arial" w:cs="Arial" w:eastAsia="Arial" w:hAnsi="Arial"/>
          <w:sz w:val="17"/>
          <w:szCs w:val="17"/>
          <w:color w:val="auto"/>
        </w:rPr>
        <w:t>“CLPS Shanghai” refers to ChinaLink Professional Services Co., Ltd., a PRC company;</w:t>
      </w:r>
    </w:p>
    <w:p>
      <w:pPr>
        <w:spacing w:after="0" w:line="169" w:lineRule="exact"/>
        <w:rPr>
          <w:rFonts w:ascii="Arial" w:cs="Arial" w:eastAsia="Arial" w:hAnsi="Arial"/>
          <w:sz w:val="17"/>
          <w:szCs w:val="17"/>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144"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157"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144" w:lineRule="exact"/>
        <w:rPr>
          <w:rFonts w:ascii="Arial" w:cs="Arial" w:eastAsia="Arial" w:hAnsi="Arial"/>
          <w:sz w:val="18"/>
          <w:szCs w:val="18"/>
          <w:color w:val="auto"/>
        </w:rPr>
      </w:pPr>
    </w:p>
    <w:p>
      <w:pPr>
        <w:ind w:left="1840" w:hanging="423"/>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ectPr>
          <w:pgSz w:w="11900" w:h="16838" w:orient="portrait"/>
          <w:cols w:equalWidth="0" w:num="1">
            <w:col w:w="9019"/>
          </w:cols>
          <w:pgMar w:left="1440" w:top="463"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2" w:name="page13"/>
    <w:bookmarkEnd w:id="12"/>
    <w:p>
      <w:pPr>
        <w:ind w:left="1840" w:hanging="423"/>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4779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4779010"/>
                    </a:xfrm>
                    <a:prstGeom prst="rect">
                      <a:avLst/>
                    </a:prstGeom>
                    <a:noFill/>
                  </pic:spPr>
                </pic:pic>
              </a:graphicData>
            </a:graphic>
          </wp:anchor>
        </w:drawing>
        <w:t>“Judge HR” refers to Judge (Shanghai) Human Resource Co., Ltd., a PRC company;</w:t>
      </w:r>
    </w:p>
    <w:p>
      <w:pPr>
        <w:spacing w:after="0" w:line="169" w:lineRule="exact"/>
        <w:rPr>
          <w:rFonts w:ascii="Arial" w:cs="Arial" w:eastAsia="Arial" w:hAnsi="Arial"/>
          <w:sz w:val="17"/>
          <w:szCs w:val="17"/>
          <w:color w:val="auto"/>
        </w:rPr>
      </w:pPr>
    </w:p>
    <w:p>
      <w:pPr>
        <w:ind w:left="1840" w:hanging="423"/>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“CLPS AU” refers to CLPS Technology (Australia) Pty. Ltd., an Australian company;</w:t>
      </w:r>
    </w:p>
    <w:p>
      <w:pPr>
        <w:spacing w:after="0" w:line="169" w:lineRule="exact"/>
        <w:rPr>
          <w:rFonts w:ascii="Arial" w:cs="Arial" w:eastAsia="Arial" w:hAnsi="Arial"/>
          <w:sz w:val="17"/>
          <w:szCs w:val="17"/>
          <w:color w:val="auto"/>
        </w:rPr>
      </w:pPr>
    </w:p>
    <w:p>
      <w:pPr>
        <w:ind w:left="1840" w:hanging="423"/>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“CLPS SG” refers to CLPS Technology (Singapore) Pte. Ltd., a Singaporean company;</w:t>
      </w:r>
    </w:p>
    <w:p>
      <w:pPr>
        <w:spacing w:after="0" w:line="155" w:lineRule="exact"/>
        <w:rPr>
          <w:rFonts w:ascii="Arial" w:cs="Arial" w:eastAsia="Arial" w:hAnsi="Arial"/>
          <w:sz w:val="17"/>
          <w:szCs w:val="17"/>
          <w:color w:val="auto"/>
        </w:rPr>
      </w:pPr>
    </w:p>
    <w:p>
      <w:pPr>
        <w:ind w:left="1840" w:hanging="423"/>
        <w:spacing w:after="0"/>
        <w:tabs>
          <w:tab w:leader="none" w:pos="1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“CLPS Hong Kong” refers to CLPS Technology (HK) Co., Ltd., a Hong Kong company;</w:t>
      </w:r>
    </w:p>
    <w:p>
      <w:pPr>
        <w:spacing w:after="0" w:line="169" w:lineRule="exact"/>
        <w:rPr>
          <w:rFonts w:ascii="Arial" w:cs="Arial" w:eastAsia="Arial" w:hAnsi="Arial"/>
          <w:sz w:val="17"/>
          <w:szCs w:val="17"/>
          <w:color w:val="auto"/>
        </w:rPr>
      </w:pPr>
    </w:p>
    <w:p>
      <w:pPr>
        <w:ind w:left="1840" w:hanging="423"/>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157" w:lineRule="exact"/>
        <w:rPr>
          <w:rFonts w:ascii="Arial" w:cs="Arial" w:eastAsia="Arial" w:hAnsi="Arial"/>
          <w:sz w:val="18"/>
          <w:szCs w:val="18"/>
          <w:color w:val="auto"/>
        </w:rPr>
      </w:pPr>
    </w:p>
    <w:p>
      <w:pPr>
        <w:ind w:left="1840" w:right="1099" w:hanging="423"/>
        <w:spacing w:after="0" w:line="277" w:lineRule="auto"/>
        <w:tabs>
          <w:tab w:leader="none" w:pos="1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89" w:lineRule="exact"/>
        <w:rPr>
          <w:rFonts w:ascii="Arial" w:cs="Arial" w:eastAsia="Arial" w:hAnsi="Arial"/>
          <w:sz w:val="18"/>
          <w:szCs w:val="18"/>
          <w:color w:val="auto"/>
        </w:rPr>
      </w:pPr>
    </w:p>
    <w:p>
      <w:pPr>
        <w:ind w:left="1840" w:hanging="423"/>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157" w:lineRule="exact"/>
        <w:rPr>
          <w:rFonts w:ascii="Arial" w:cs="Arial" w:eastAsia="Arial" w:hAnsi="Arial"/>
          <w:sz w:val="18"/>
          <w:szCs w:val="18"/>
          <w:color w:val="auto"/>
        </w:rPr>
      </w:pPr>
    </w:p>
    <w:p>
      <w:pPr>
        <w:ind w:left="1840" w:hanging="423"/>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157" w:lineRule="exact"/>
        <w:rPr>
          <w:rFonts w:ascii="Arial" w:cs="Arial" w:eastAsia="Arial" w:hAnsi="Arial"/>
          <w:sz w:val="18"/>
          <w:szCs w:val="18"/>
          <w:color w:val="auto"/>
        </w:rPr>
      </w:pPr>
    </w:p>
    <w:p>
      <w:pPr>
        <w:ind w:left="1840" w:right="659" w:hanging="423"/>
        <w:spacing w:after="0" w:line="277" w:lineRule="auto"/>
        <w:tabs>
          <w:tab w:leader="none" w:pos="1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prospectus only, Macau, Taiwan and Hong Kong; and</w:t>
      </w:r>
    </w:p>
    <w:p>
      <w:pPr>
        <w:spacing w:after="0" w:line="89" w:lineRule="exact"/>
        <w:rPr>
          <w:rFonts w:ascii="Arial" w:cs="Arial" w:eastAsia="Arial" w:hAnsi="Arial"/>
          <w:sz w:val="18"/>
          <w:szCs w:val="18"/>
          <w:color w:val="auto"/>
        </w:rPr>
      </w:pPr>
    </w:p>
    <w:p>
      <w:pPr>
        <w:ind w:left="1840" w:right="579" w:hanging="423"/>
        <w:spacing w:after="0" w:line="342" w:lineRule="auto"/>
        <w:tabs>
          <w:tab w:leader="none" w:pos="1822"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references to “RMB,” “yuan” and “Renminbi” are to the legal currency of China, and all references to “USD,” and “U.S. dollars” are to the legal currency of the United States.</w:t>
      </w:r>
    </w:p>
    <w:p>
      <w:pPr>
        <w:spacing w:after="0" w:line="56" w:lineRule="exact"/>
        <w:rPr>
          <w:sz w:val="20"/>
          <w:szCs w:val="20"/>
          <w:color w:val="auto"/>
        </w:rPr>
      </w:pPr>
    </w:p>
    <w:p>
      <w:pPr>
        <w:ind w:left="560" w:right="679" w:firstLine="432"/>
        <w:spacing w:after="0" w:line="264" w:lineRule="auto"/>
        <w:rPr>
          <w:sz w:val="20"/>
          <w:szCs w:val="20"/>
          <w:color w:val="auto"/>
        </w:rPr>
      </w:pPr>
      <w:r>
        <w:rPr>
          <w:rFonts w:ascii="Arial" w:cs="Arial" w:eastAsia="Arial" w:hAnsi="Arial"/>
          <w:sz w:val="18"/>
          <w:szCs w:val="18"/>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14" w:lineRule="exact"/>
        <w:rPr>
          <w:sz w:val="20"/>
          <w:szCs w:val="20"/>
          <w:color w:val="auto"/>
        </w:rPr>
      </w:pPr>
    </w:p>
    <w:p>
      <w:pPr>
        <w:ind w:left="560" w:right="559" w:firstLine="432"/>
        <w:spacing w:after="0" w:line="270" w:lineRule="auto"/>
        <w:rPr>
          <w:sz w:val="20"/>
          <w:szCs w:val="20"/>
          <w:color w:val="auto"/>
        </w:rPr>
      </w:pPr>
      <w:r>
        <w:rPr>
          <w:rFonts w:ascii="Arial" w:cs="Arial" w:eastAsia="Arial" w:hAnsi="Arial"/>
          <w:sz w:val="17"/>
          <w:szCs w:val="17"/>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066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9066530"/>
                    </a:xfrm>
                    <a:prstGeom prst="rect">
                      <a:avLst/>
                    </a:prstGeom>
                    <a:noFill/>
                  </pic:spPr>
                </pic:pic>
              </a:graphicData>
            </a:graphic>
          </wp:anchor>
        </w:drawing>
        <w:t>The Offering</w:t>
      </w:r>
    </w:p>
    <w:p>
      <w:pPr>
        <w:spacing w:after="0" w:line="185"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Shares Offered</w:t>
      </w:r>
      <w:r>
        <w:rPr>
          <w:sz w:val="20"/>
          <w:szCs w:val="20"/>
          <w:color w:val="auto"/>
        </w:rPr>
        <w:tab/>
      </w:r>
      <w:r>
        <w:rPr>
          <w:rFonts w:ascii="Arial" w:cs="Arial" w:eastAsia="Arial" w:hAnsi="Arial"/>
          <w:sz w:val="15"/>
          <w:szCs w:val="15"/>
          <w:color w:val="auto"/>
        </w:rPr>
        <w:t>2,000,000 common shares</w:t>
      </w:r>
    </w:p>
    <w:p>
      <w:pPr>
        <w:spacing w:after="0" w:line="279"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Over-allotment Option</w:t>
      </w:r>
      <w:r>
        <w:rPr>
          <w:sz w:val="20"/>
          <w:szCs w:val="20"/>
          <w:color w:val="auto"/>
        </w:rPr>
        <w:tab/>
      </w:r>
      <w:r>
        <w:rPr>
          <w:rFonts w:ascii="Arial" w:cs="Arial" w:eastAsia="Arial" w:hAnsi="Arial"/>
          <w:sz w:val="16"/>
          <w:szCs w:val="16"/>
          <w:color w:val="auto"/>
        </w:rPr>
        <w:t>We have granted the underwriters 45 days from the date of this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prospectus to purchase up to an additional 300,000 shares on</w:t>
      </w:r>
    </w:p>
    <w:p>
      <w:pPr>
        <w:spacing w:after="0" w:line="3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the same terms as the other shares being purchased by the</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underwriters from us.</w:t>
      </w:r>
    </w:p>
    <w:p>
      <w:pPr>
        <w:spacing w:after="0" w:line="234"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Shares outstanding before this offering</w:t>
      </w:r>
      <w:r>
        <w:rPr>
          <w:sz w:val="20"/>
          <w:szCs w:val="20"/>
          <w:color w:val="auto"/>
        </w:rPr>
        <w:tab/>
      </w:r>
      <w:r>
        <w:rPr>
          <w:rFonts w:ascii="Arial" w:cs="Arial" w:eastAsia="Arial" w:hAnsi="Arial"/>
          <w:sz w:val="15"/>
          <w:szCs w:val="15"/>
          <w:color w:val="auto"/>
        </w:rPr>
        <w:t>11,290,000 shares</w:t>
      </w:r>
    </w:p>
    <w:p>
      <w:pPr>
        <w:spacing w:after="0" w:line="279"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Shares outstanding after this offering</w:t>
      </w:r>
      <w:r>
        <w:rPr>
          <w:sz w:val="20"/>
          <w:szCs w:val="20"/>
          <w:color w:val="auto"/>
        </w:rPr>
        <w:tab/>
      </w:r>
      <w:r>
        <w:rPr>
          <w:rFonts w:ascii="Arial" w:cs="Arial" w:eastAsia="Arial" w:hAnsi="Arial"/>
          <w:sz w:val="15"/>
          <w:szCs w:val="15"/>
          <w:color w:val="auto"/>
        </w:rPr>
        <w:t>13,290,000 shares (or 13,590,000 shares assuming that the</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underwriters’ over-allotment option is exercised in full)</w:t>
      </w:r>
    </w:p>
    <w:p>
      <w:pPr>
        <w:spacing w:after="0" w:line="234"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estimate that our net proceeds from this offering will be</w:t>
      </w:r>
    </w:p>
    <w:p>
      <w:pPr>
        <w:spacing w:after="0" w:line="27" w:lineRule="exact"/>
        <w:rPr>
          <w:sz w:val="20"/>
          <w:szCs w:val="20"/>
          <w:color w:val="auto"/>
        </w:rPr>
      </w:pPr>
    </w:p>
    <w:p>
      <w:pPr>
        <w:ind w:left="3800" w:right="679"/>
        <w:spacing w:after="0" w:line="288" w:lineRule="auto"/>
        <w:rPr>
          <w:sz w:val="20"/>
          <w:szCs w:val="20"/>
          <w:color w:val="auto"/>
        </w:rPr>
      </w:pPr>
      <w:r>
        <w:rPr>
          <w:rFonts w:ascii="Arial" w:cs="Arial" w:eastAsia="Arial" w:hAnsi="Arial"/>
          <w:sz w:val="16"/>
          <w:szCs w:val="16"/>
          <w:color w:val="auto"/>
        </w:rPr>
        <w:t>approximately $9,092,950,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92"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Underwriters’ Warrants</w:t>
      </w:r>
      <w:r>
        <w:rPr>
          <w:sz w:val="20"/>
          <w:szCs w:val="20"/>
          <w:color w:val="auto"/>
        </w:rPr>
        <w:tab/>
      </w:r>
      <w:r>
        <w:rPr>
          <w:rFonts w:ascii="Arial" w:cs="Arial" w:eastAsia="Arial" w:hAnsi="Arial"/>
          <w:sz w:val="16"/>
          <w:szCs w:val="16"/>
          <w:color w:val="auto"/>
        </w:rPr>
        <w:t>Upon the closing of this offering, we will issue to The</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Benchmark Company, LLC, as representative of the</w:t>
      </w:r>
    </w:p>
    <w:p>
      <w:pPr>
        <w:spacing w:after="0" w:line="9" w:lineRule="exact"/>
        <w:rPr>
          <w:sz w:val="20"/>
          <w:szCs w:val="20"/>
          <w:color w:val="auto"/>
        </w:rPr>
      </w:pPr>
    </w:p>
    <w:p>
      <w:pPr>
        <w:ind w:left="3800" w:right="699"/>
        <w:spacing w:after="0" w:line="287" w:lineRule="auto"/>
        <w:rPr>
          <w:sz w:val="20"/>
          <w:szCs w:val="20"/>
          <w:color w:val="auto"/>
        </w:rPr>
      </w:pPr>
      <w:r>
        <w:rPr>
          <w:rFonts w:ascii="Arial" w:cs="Arial" w:eastAsia="Arial" w:hAnsi="Arial"/>
          <w:sz w:val="16"/>
          <w:szCs w:val="16"/>
          <w:color w:val="auto"/>
        </w:rPr>
        <w:t>underwriters, warrants entitling the representative to purchase: (i) up to 5% of the number of common shares sold to investors introduced by the underwriters in this offering; and (ii) up to 3% of the number of common shares issued to investors identified by the Company in this offering. The warrants shall be exercisable for a period of five years from the effective date of the Registration Statement on Form F-1 of which this prospectus forms a part.</w:t>
      </w:r>
    </w:p>
    <w:p>
      <w:pPr>
        <w:spacing w:after="0" w:line="193"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Lock-up</w:t>
      </w:r>
      <w:r>
        <w:rPr>
          <w:sz w:val="20"/>
          <w:szCs w:val="20"/>
          <w:color w:val="auto"/>
        </w:rPr>
        <w:tab/>
      </w:r>
      <w:r>
        <w:rPr>
          <w:rFonts w:ascii="Arial" w:cs="Arial" w:eastAsia="Arial" w:hAnsi="Arial"/>
          <w:sz w:val="16"/>
          <w:szCs w:val="16"/>
          <w:color w:val="auto"/>
        </w:rPr>
        <w:t>Our executive officers, directors, and stockholders, have agreed</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with the underwriters not to sell, transfer or dispose of any</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shares or similar securities for a period of twelve months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following the closing of this offering. See “Underwriting.”</w:t>
      </w:r>
    </w:p>
    <w:p>
      <w:pPr>
        <w:spacing w:after="0" w:line="234"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6"/>
          <w:szCs w:val="16"/>
          <w:color w:val="auto"/>
        </w:rPr>
        <w:t>Our common shares have been approved for listing on the</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NASDAQ Capital Market under the symbol “CLPS”.</w:t>
      </w:r>
    </w:p>
    <w:p>
      <w:pPr>
        <w:spacing w:after="0" w:line="234"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Indemnification Escrow</w:t>
      </w:r>
      <w:r>
        <w:rPr>
          <w:sz w:val="20"/>
          <w:szCs w:val="20"/>
          <w:color w:val="auto"/>
        </w:rPr>
        <w:tab/>
      </w:r>
      <w:r>
        <w:rPr>
          <w:rFonts w:ascii="Arial" w:cs="Arial" w:eastAsia="Arial" w:hAnsi="Arial"/>
          <w:sz w:val="16"/>
          <w:szCs w:val="16"/>
          <w:color w:val="auto"/>
        </w:rPr>
        <w:t>We estimate that the gross proceeds from this offering will be</w:t>
      </w:r>
    </w:p>
    <w:p>
      <w:pPr>
        <w:spacing w:after="0" w:line="27" w:lineRule="exact"/>
        <w:rPr>
          <w:sz w:val="20"/>
          <w:szCs w:val="20"/>
          <w:color w:val="auto"/>
        </w:rPr>
      </w:pPr>
    </w:p>
    <w:p>
      <w:pPr>
        <w:ind w:left="3800" w:right="639"/>
        <w:spacing w:after="0" w:line="285" w:lineRule="auto"/>
        <w:rPr>
          <w:sz w:val="20"/>
          <w:szCs w:val="20"/>
          <w:color w:val="auto"/>
        </w:rPr>
      </w:pPr>
      <w:r>
        <w:rPr>
          <w:rFonts w:ascii="Arial" w:cs="Arial" w:eastAsia="Arial" w:hAnsi="Arial"/>
          <w:sz w:val="16"/>
          <w:szCs w:val="16"/>
          <w:color w:val="auto"/>
        </w:rPr>
        <w:t>approximately $10,500,000, before deducting estimated underwriting discounts and commissions and estimated offering expenses and assuming no exercise of the over-allotment option granted to the underwriters. We estimate that the net proceeds wil be aproximately $9,092,950, which excludes $200,000 of the offering proceeds to be used to fund an escrow account to indemnify the underwriters. Proceeds of this offering in the amount of $200,000 shall be used to fund an escrow account for a period of 18 months following the closing date of this offering, which account shall be used in the event we have to indemnify the underwriters pursuant to the terms of an underwriting agreement with the underwriters. See “Use of Proceeds” for more information.</w:t>
      </w:r>
    </w:p>
    <w:p>
      <w:pPr>
        <w:spacing w:after="0" w:line="194" w:lineRule="exact"/>
        <w:rPr>
          <w:sz w:val="20"/>
          <w:szCs w:val="20"/>
          <w:color w:val="auto"/>
        </w:rPr>
      </w:pPr>
    </w:p>
    <w:p>
      <w:pPr>
        <w:ind w:left="640"/>
        <w:spacing w:after="0"/>
        <w:tabs>
          <w:tab w:leader="none" w:pos="37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color w:val="auto"/>
        </w:rPr>
        <w:t>Investing in these securities involves a high degree of risk.</w:t>
      </w:r>
    </w:p>
    <w:p>
      <w:pPr>
        <w:spacing w:after="0" w:line="27" w:lineRule="exact"/>
        <w:rPr>
          <w:sz w:val="20"/>
          <w:szCs w:val="20"/>
          <w:color w:val="auto"/>
        </w:rPr>
      </w:pPr>
    </w:p>
    <w:p>
      <w:pPr>
        <w:ind w:left="3800" w:right="659"/>
        <w:spacing w:after="0" w:line="273" w:lineRule="auto"/>
        <w:rPr>
          <w:sz w:val="20"/>
          <w:szCs w:val="20"/>
          <w:color w:val="auto"/>
        </w:rPr>
      </w:pPr>
      <w:r>
        <w:rPr>
          <w:rFonts w:ascii="Arial" w:cs="Arial" w:eastAsia="Arial" w:hAnsi="Arial"/>
          <w:sz w:val="17"/>
          <w:szCs w:val="17"/>
          <w:color w:val="auto"/>
        </w:rPr>
        <w:t>As an investor, you should be able to bear a complete loss of your investment. You should carefully consider the information set forth in the “Risk Factors” section of this prospectus before deciding to invest in our common shares.</w:t>
      </w:r>
    </w:p>
    <w:p>
      <w:pPr>
        <w:sectPr>
          <w:pgSz w:w="11900" w:h="16838" w:orient="portrait"/>
          <w:cols w:equalWidth="0" w:num="1">
            <w:col w:w="9019"/>
          </w:cols>
          <w:pgMar w:left="1440" w:top="540" w:right="1440" w:bottom="1440"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606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606915"/>
                    </a:xfrm>
                    <a:prstGeom prst="rect">
                      <a:avLst/>
                    </a:prstGeom>
                    <a:noFill/>
                  </pic:spPr>
                </pic:pic>
              </a:graphicData>
            </a:graphic>
          </wp:anchor>
        </w:drawing>
        <w:t>Summary Financial Data</w:t>
      </w:r>
    </w:p>
    <w:p>
      <w:pPr>
        <w:spacing w:after="0" w:line="148" w:lineRule="exact"/>
        <w:rPr>
          <w:sz w:val="20"/>
          <w:szCs w:val="20"/>
          <w:color w:val="auto"/>
        </w:rPr>
      </w:pPr>
    </w:p>
    <w:p>
      <w:pPr>
        <w:ind w:left="560" w:right="559" w:firstLine="432"/>
        <w:spacing w:after="0" w:line="255" w:lineRule="auto"/>
        <w:rPr>
          <w:sz w:val="20"/>
          <w:szCs w:val="20"/>
          <w:color w:val="auto"/>
        </w:rPr>
      </w:pPr>
      <w:r>
        <w:rPr>
          <w:rFonts w:ascii="Arial" w:cs="Arial" w:eastAsia="Arial" w:hAnsi="Arial"/>
          <w:sz w:val="18"/>
          <w:szCs w:val="18"/>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The following summary consolidated financial statements for the six months ended December 31, 2017 and 2016 are derived from our unaudited consolidated financial statements included elsewhere in this prospectus.</w:t>
      </w:r>
    </w:p>
    <w:p>
      <w:pPr>
        <w:spacing w:after="0" w:line="126" w:lineRule="exact"/>
        <w:rPr>
          <w:sz w:val="20"/>
          <w:szCs w:val="20"/>
          <w:color w:val="auto"/>
        </w:rPr>
      </w:pPr>
    </w:p>
    <w:p>
      <w:pPr>
        <w:ind w:left="560" w:right="599" w:firstLine="432"/>
        <w:spacing w:after="0" w:line="302" w:lineRule="auto"/>
        <w:rPr>
          <w:sz w:val="20"/>
          <w:szCs w:val="20"/>
          <w:color w:val="auto"/>
        </w:rPr>
      </w:pPr>
      <w:r>
        <w:rPr>
          <w:rFonts w:ascii="Arial" w:cs="Arial" w:eastAsia="Arial" w:hAnsi="Arial"/>
          <w:sz w:val="16"/>
          <w:szCs w:val="16"/>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pacing w:after="0" w:line="87" w:lineRule="exact"/>
        <w:rPr>
          <w:sz w:val="20"/>
          <w:szCs w:val="20"/>
          <w:color w:val="auto"/>
        </w:rPr>
      </w:pPr>
    </w:p>
    <w:p>
      <w:pPr>
        <w:ind w:left="560" w:right="639" w:firstLine="432"/>
        <w:spacing w:after="0" w:line="264" w:lineRule="auto"/>
        <w:rPr>
          <w:sz w:val="20"/>
          <w:szCs w:val="20"/>
          <w:color w:val="auto"/>
        </w:rPr>
      </w:pPr>
      <w:r>
        <w:rPr>
          <w:rFonts w:ascii="Arial" w:cs="Arial" w:eastAsia="Arial" w:hAnsi="Arial"/>
          <w:sz w:val="18"/>
          <w:szCs w:val="18"/>
          <w:color w:val="auto"/>
        </w:rPr>
        <w:t>The following table presents our summary consolidated statements of income and comprehensive income for the fiscal years ended June 30, 2017 and 2016, and the six months ended December 31, 2017 and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15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years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31,361,976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29,024,178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22,199,995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14,323,938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rPr>
              <w:t>Less: Cost of 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(18,669,812)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(17,463,416)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(13,341,978)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(8,483,897)</w:t>
            </w: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12,692,164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11,560,762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5,840,041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Selling and marketing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1,206,493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1,132,931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282,618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3,562,988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2,006,766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5,647,790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4,955,037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3,064,232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3,032,589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11,087,071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10,947,111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5,321,973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6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1,097,866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Subsidies and other income</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455,009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rPr>
              <w:t>Income before income tax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2,102,811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2,054,124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1,451,451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970,931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1,784,971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1,325,391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1,024,973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(41,141)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controlling interests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CLPS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2,047,445</w:t>
            </w:r>
          </w:p>
        </w:tc>
        <w:tc>
          <w:tcPr>
            <w:tcW w:w="8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1,826,112</w:t>
            </w:r>
          </w:p>
        </w:tc>
        <w:tc>
          <w:tcPr>
            <w:tcW w:w="8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1,331,329</w:t>
            </w:r>
          </w:p>
        </w:tc>
        <w:tc>
          <w:tcPr>
            <w:tcW w:w="80" w:type="dxa"/>
            <w:vAlign w:val="bottom"/>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1,025,448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6"/>
                <w:szCs w:val="16"/>
                <w:b w:val="1"/>
                <w:bCs w:val="1"/>
                <w:color w:val="auto"/>
              </w:rPr>
              <w:t>Incorporation’s shareholders</w:t>
            </w:r>
          </w:p>
        </w:tc>
        <w:tc>
          <w:tcPr>
            <w:tcW w:w="1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1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16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currency translation (loss) gain</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(93,177)</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w w:val="99"/>
              </w:rPr>
              <w:t>Less: foreign currency translation (loss) gain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20,773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attributable to Non-controlling interests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w w:val="92"/>
              </w:rPr>
              <w:t>Other comprehensive (loss) income attributable</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(385,629)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210,451</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(226,776)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 CLPS Incorporation’s shareholders</w:t>
            </w:r>
          </w:p>
        </w:tc>
        <w:tc>
          <w:tcPr>
            <w:tcW w:w="1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9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rPr>
              <w:t>CLPS Incorporation shareholders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1,952,536</w:t>
            </w:r>
          </w:p>
        </w:tc>
        <w:tc>
          <w:tcPr>
            <w:tcW w:w="8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1,440,483</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1,541,780</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798,672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(42,612)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2,128,180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1,556,615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1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6"/>
                <w:szCs w:val="16"/>
                <w:color w:val="auto"/>
                <w:w w:val="94"/>
              </w:rPr>
              <w:t>Basic and diluted earnings per common share*</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w w:val="92"/>
              </w:rPr>
              <w:t>Weighted average number of share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11,290,000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11,290,000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11,290,000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11,290,000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 basic and diluted</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980" w:hanging="42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w:t>
      </w:r>
    </w:p>
    <w:p>
      <w:pPr>
        <w:sectPr>
          <w:pgSz w:w="11900" w:h="16838" w:orient="portrait"/>
          <w:cols w:equalWidth="0" w:num="1">
            <w:col w:w="9019"/>
          </w:cols>
          <w:pgMar w:left="1440" w:top="540" w:right="1440" w:bottom="703"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703" w:gutter="0" w:footer="0" w:header="0"/>
          <w:type w:val="continuous"/>
        </w:sectPr>
      </w:pPr>
    </w:p>
    <w:bookmarkStart w:id="15" w:name="page16"/>
    <w:bookmarkEnd w:id="15"/>
    <w:p>
      <w:pPr>
        <w:ind w:left="560" w:right="919" w:firstLine="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600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2600325"/>
                    </a:xfrm>
                    <a:prstGeom prst="rect">
                      <a:avLst/>
                    </a:prstGeom>
                    <a:noFill/>
                  </pic:spPr>
                </pic:pic>
              </a:graphicData>
            </a:graphic>
          </wp:anchor>
        </w:drawing>
        <w:t>The following table presents our summary consolidated balance sheet data as of June 30, 2017 and 2016, and December 31, 2017.</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vMerge w:val="restart"/>
          </w:tcPr>
          <w:p>
            <w:pPr>
              <w:jc w:val="right"/>
              <w:ind w:right="591"/>
              <w:spacing w:after="0"/>
              <w:rPr>
                <w:sz w:val="20"/>
                <w:szCs w:val="20"/>
                <w:color w:val="auto"/>
              </w:rPr>
            </w:pPr>
            <w:r>
              <w:rPr>
                <w:rFonts w:ascii="Arial" w:cs="Arial" w:eastAsia="Arial" w:hAnsi="Arial"/>
                <w:sz w:val="16"/>
                <w:szCs w:val="16"/>
                <w:b w:val="1"/>
                <w:bCs w:val="1"/>
                <w:color w:val="auto"/>
              </w:rPr>
              <w:t>As of 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5"/>
              </w:rPr>
              <w:t>2017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4,659,037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Current Assets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12,325,296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9,910,841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16,619,705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8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vMerge w:val="continue"/>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13,521,923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10,471,529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17,853,399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Liabilities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8,210,625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6,264,005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10,985,416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8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vMerge w:val="continue"/>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CLPS Incorporation’s Shareholders’ Equity</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4,834,188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4,203,490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6,375,968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477,110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4,034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8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vMerge w:val="continue"/>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5,311,298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4,207,524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6,867,983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13,521,923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10,471,529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17,853,399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63" w:right="1440"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460" w:right="799"/>
        <w:spacing w:after="0" w:line="286" w:lineRule="auto"/>
        <w:rPr>
          <w:sz w:val="20"/>
          <w:szCs w:val="20"/>
          <w:color w:val="auto"/>
        </w:rPr>
      </w:pPr>
      <w:r>
        <w:rPr>
          <w:rFonts w:ascii="Arial" w:cs="Arial" w:eastAsia="Arial" w:hAnsi="Arial"/>
          <w:sz w:val="17"/>
          <w:szCs w:val="17"/>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84"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have significantly grown and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Shenzhen) and four are located globally (Hong Kong, Taiwan, Singapore and Australia), to serve different customers in various geographic locations. The number of our total employees grew from 1,055 in fiscal 2016 to 1,248 in fiscal 2017. As of March 25, 2018 we had 1,606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15" w:lineRule="exact"/>
        <w:rPr>
          <w:sz w:val="20"/>
          <w:szCs w:val="20"/>
          <w:color w:val="auto"/>
        </w:rPr>
      </w:pPr>
    </w:p>
    <w:p>
      <w:pPr>
        <w:ind w:left="1300" w:hanging="405"/>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recruiting, training, developing and retaining sufficient IT talents and management personnel;</w:t>
      </w:r>
    </w:p>
    <w:p>
      <w:pPr>
        <w:spacing w:after="0" w:line="169" w:lineRule="exact"/>
        <w:rPr>
          <w:rFonts w:ascii="Arial" w:cs="Arial" w:eastAsia="Arial" w:hAnsi="Arial"/>
          <w:sz w:val="17"/>
          <w:szCs w:val="17"/>
          <w:color w:val="auto"/>
        </w:rPr>
      </w:pPr>
    </w:p>
    <w:p>
      <w:pPr>
        <w:ind w:left="1300" w:hanging="40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coordinating work among offices and project teams and maintaining high resource utilization rates;</w:t>
      </w:r>
    </w:p>
    <w:p>
      <w:pPr>
        <w:spacing w:after="0" w:line="167" w:lineRule="exact"/>
        <w:rPr>
          <w:rFonts w:ascii="Arial" w:cs="Arial" w:eastAsia="Arial" w:hAnsi="Arial"/>
          <w:sz w:val="16"/>
          <w:szCs w:val="16"/>
          <w:color w:val="auto"/>
        </w:rPr>
      </w:pPr>
    </w:p>
    <w:p>
      <w:pPr>
        <w:ind w:left="1320" w:right="659" w:hanging="425"/>
        <w:spacing w:after="0" w:line="277" w:lineRule="auto"/>
        <w:tabs>
          <w:tab w:leader="none" w:pos="13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102" w:lineRule="exact"/>
        <w:rPr>
          <w:rFonts w:ascii="Arial" w:cs="Arial" w:eastAsia="Arial" w:hAnsi="Arial"/>
          <w:sz w:val="18"/>
          <w:szCs w:val="18"/>
          <w:color w:val="auto"/>
        </w:rPr>
      </w:pPr>
    </w:p>
    <w:p>
      <w:pPr>
        <w:ind w:left="1320" w:right="519" w:hanging="425"/>
        <w:spacing w:after="0" w:line="264" w:lineRule="auto"/>
        <w:tabs>
          <w:tab w:leader="none" w:pos="13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13" w:lineRule="exact"/>
        <w:rPr>
          <w:rFonts w:ascii="Arial" w:cs="Arial" w:eastAsia="Arial" w:hAnsi="Arial"/>
          <w:sz w:val="18"/>
          <w:szCs w:val="18"/>
          <w:color w:val="auto"/>
        </w:rPr>
      </w:pPr>
    </w:p>
    <w:p>
      <w:pPr>
        <w:ind w:left="1320" w:right="499" w:hanging="425"/>
        <w:spacing w:after="0" w:line="277" w:lineRule="auto"/>
        <w:tabs>
          <w:tab w:leader="none" w:pos="13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adhering to and further improving our high quality and process execution standards and maintaining high levels of client satisfaction.</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193" w:lineRule="exact"/>
        <w:rPr>
          <w:sz w:val="20"/>
          <w:szCs w:val="20"/>
          <w:color w:val="auto"/>
        </w:rPr>
      </w:pPr>
    </w:p>
    <w:p>
      <w:pPr>
        <w:ind w:left="460" w:right="619"/>
        <w:spacing w:after="0" w:line="264"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1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 w:name="page18"/>
    <w:bookmarkEnd w:id="17"/>
    <w:p>
      <w:pPr>
        <w:ind w:left="460" w:right="579"/>
        <w:spacing w:after="0" w:line="259" w:lineRule="auto"/>
        <w:rPr>
          <w:sz w:val="20"/>
          <w:szCs w:val="20"/>
          <w:color w:val="auto"/>
        </w:rPr>
      </w:pPr>
      <w:r>
        <w:rPr>
          <w:rFonts w:ascii="Arial" w:cs="Arial" w:eastAsia="Arial" w:hAnsi="Arial"/>
          <w:sz w:val="18"/>
          <w:szCs w:val="18"/>
          <w:color w:val="auto"/>
        </w:rPr>
        <w:t>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87"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89"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69" w:lineRule="exact"/>
        <w:rPr>
          <w:sz w:val="20"/>
          <w:szCs w:val="20"/>
          <w:color w:val="auto"/>
        </w:rPr>
      </w:pPr>
    </w:p>
    <w:p>
      <w:pPr>
        <w:jc w:val="both"/>
        <w:ind w:left="460" w:right="499"/>
        <w:spacing w:after="0" w:line="264" w:lineRule="auto"/>
        <w:rPr>
          <w:sz w:val="20"/>
          <w:szCs w:val="20"/>
          <w:color w:val="auto"/>
        </w:rPr>
      </w:pPr>
      <w:r>
        <w:rPr>
          <w:rFonts w:ascii="Arial" w:cs="Arial" w:eastAsia="Arial" w:hAnsi="Arial"/>
          <w:sz w:val="18"/>
          <w:szCs w:val="18"/>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14"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81"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0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right="479"/>
        <w:spacing w:after="0" w:line="271" w:lineRule="auto"/>
        <w:rPr>
          <w:sz w:val="20"/>
          <w:szCs w:val="20"/>
          <w:color w:val="auto"/>
        </w:rPr>
      </w:pPr>
      <w:r>
        <w:rPr>
          <w:rFonts w:ascii="Arial" w:cs="Arial" w:eastAsia="Arial" w:hAnsi="Arial"/>
          <w:sz w:val="17"/>
          <w:szCs w:val="17"/>
          <w:color w:val="auto"/>
        </w:rPr>
        <w:t>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9" w:lineRule="exact"/>
        <w:rPr>
          <w:sz w:val="20"/>
          <w:szCs w:val="20"/>
          <w:color w:val="auto"/>
        </w:rPr>
      </w:pPr>
    </w:p>
    <w:p>
      <w:pPr>
        <w:ind w:left="460" w:right="499"/>
        <w:spacing w:after="0" w:line="342" w:lineRule="auto"/>
        <w:rPr>
          <w:sz w:val="20"/>
          <w:szCs w:val="20"/>
          <w:color w:val="auto"/>
        </w:rPr>
      </w:pPr>
      <w:r>
        <w:rPr>
          <w:rFonts w:ascii="Arial" w:cs="Arial" w:eastAsia="Arial" w:hAnsi="Arial"/>
          <w:sz w:val="16"/>
          <w:szCs w:val="16"/>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43"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six months ended December 31, 2017 and 2016, Citibank accounted for 30.7% and 41% of the Company’s total revenues, respectively. For fiscal 2017 and 2016, substantially all the service provided by the Company to Citibank was IT consulting service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82"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103"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As of December 31, 2017 and 2016, our accounts receivable balance, net of allowance, amounted to approximately $10.8 million and $5.8 million, respectively. For the year ended June 30, 2017, Citibank accounted for 39.1% of the Company’s total accounts receivable balance. For the year ended June 30, 2016, Citibank and eBay accounted for 47.3% and 10.0% of the Company’s total accounts receivable balance, respectively. For the six months ended December 31, 2017, Citibank and its affiliates accounted for 33.8% of the Company’s total accounts receivable balance. For the six months ended December 31, 2016, Citibank and eBay accounted for 41.6% and 14.0%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jc w:val="both"/>
        <w:ind w:left="460" w:right="819"/>
        <w:spacing w:after="0" w:line="264"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14"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75"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2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75" w:lineRule="exact"/>
        <w:rPr>
          <w:sz w:val="20"/>
          <w:szCs w:val="20"/>
          <w:color w:val="auto"/>
        </w:rPr>
      </w:pPr>
    </w:p>
    <w:p>
      <w:pPr>
        <w:ind w:left="460" w:right="479"/>
        <w:spacing w:after="0" w:line="264" w:lineRule="auto"/>
        <w:rPr>
          <w:sz w:val="20"/>
          <w:szCs w:val="20"/>
          <w:color w:val="auto"/>
        </w:rPr>
      </w:pPr>
      <w:r>
        <w:rPr>
          <w:rFonts w:ascii="Arial" w:cs="Arial" w:eastAsia="Arial" w:hAnsi="Arial"/>
          <w:sz w:val="18"/>
          <w:szCs w:val="18"/>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19" w:lineRule="exact"/>
        <w:rPr>
          <w:sz w:val="20"/>
          <w:szCs w:val="20"/>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144" w:lineRule="exact"/>
        <w:rPr>
          <w:rFonts w:ascii="Arial" w:cs="Arial" w:eastAsia="Arial" w:hAnsi="Arial"/>
          <w:sz w:val="18"/>
          <w:szCs w:val="18"/>
          <w:color w:val="auto"/>
        </w:rPr>
      </w:pPr>
    </w:p>
    <w:p>
      <w:pPr>
        <w:ind w:left="1320" w:right="779" w:hanging="425"/>
        <w:spacing w:after="0" w:line="277" w:lineRule="auto"/>
        <w:tabs>
          <w:tab w:leader="none" w:pos="13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02" w:lineRule="exact"/>
        <w:rPr>
          <w:rFonts w:ascii="Arial" w:cs="Arial" w:eastAsia="Arial" w:hAnsi="Arial"/>
          <w:sz w:val="18"/>
          <w:szCs w:val="18"/>
          <w:color w:val="auto"/>
        </w:rPr>
      </w:pPr>
    </w:p>
    <w:p>
      <w:pPr>
        <w:ind w:left="1320" w:right="999" w:hanging="425"/>
        <w:spacing w:after="0" w:line="277" w:lineRule="auto"/>
        <w:tabs>
          <w:tab w:leader="none" w:pos="13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consolidating and rationalizing corporate, information technology and administrative infrastructures;</w:t>
      </w:r>
    </w:p>
    <w:p>
      <w:pPr>
        <w:spacing w:after="0" w:line="180" w:lineRule="exact"/>
        <w:rPr>
          <w:rFonts w:ascii="Arial" w:cs="Arial" w:eastAsia="Arial" w:hAnsi="Arial"/>
          <w:sz w:val="16"/>
          <w:szCs w:val="16"/>
          <w:color w:val="auto"/>
        </w:rPr>
      </w:pPr>
    </w:p>
    <w:p>
      <w:pPr>
        <w:ind w:left="1300" w:hanging="40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 w:name="page21"/>
    <w:bookmarkEnd w:id="20"/>
    <w:p>
      <w:pPr>
        <w:ind w:left="1300" w:hanging="40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144" w:lineRule="exact"/>
        <w:rPr>
          <w:rFonts w:ascii="Arial" w:cs="Arial" w:eastAsia="Arial" w:hAnsi="Arial"/>
          <w:sz w:val="18"/>
          <w:szCs w:val="18"/>
          <w:color w:val="auto"/>
        </w:rPr>
      </w:pPr>
    </w:p>
    <w:p>
      <w:pPr>
        <w:ind w:left="1320" w:right="899" w:hanging="425"/>
        <w:spacing w:after="0" w:line="342" w:lineRule="auto"/>
        <w:tabs>
          <w:tab w:leader="none" w:pos="13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complexity from potentially operating additional geographically dispersed sites, particularly if we acquire a company or business with facilities or operations outside of China.</w:t>
      </w:r>
    </w:p>
    <w:p>
      <w:pPr>
        <w:spacing w:after="0" w:line="56"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9"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03"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82"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8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99" w:lineRule="exact"/>
        <w:rPr>
          <w:sz w:val="20"/>
          <w:szCs w:val="20"/>
          <w:color w:val="auto"/>
        </w:rPr>
      </w:pPr>
    </w:p>
    <w:p>
      <w:pPr>
        <w:ind w:left="1300" w:hanging="40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uncertainties associated with our ability to continue our growth and maintain profitability;</w:t>
      </w:r>
    </w:p>
    <w:p>
      <w:pPr>
        <w:spacing w:after="0" w:line="169" w:lineRule="exact"/>
        <w:rPr>
          <w:rFonts w:ascii="Arial" w:cs="Arial" w:eastAsia="Arial" w:hAnsi="Arial"/>
          <w:sz w:val="17"/>
          <w:szCs w:val="17"/>
          <w:color w:val="auto"/>
        </w:rPr>
      </w:pPr>
    </w:p>
    <w:p>
      <w:pPr>
        <w:ind w:left="1300" w:hanging="40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157" w:lineRule="exact"/>
        <w:rPr>
          <w:rFonts w:ascii="Arial" w:cs="Arial" w:eastAsia="Arial" w:hAnsi="Arial"/>
          <w:sz w:val="18"/>
          <w:szCs w:val="18"/>
          <w:color w:val="auto"/>
        </w:rPr>
      </w:pPr>
    </w:p>
    <w:p>
      <w:pPr>
        <w:ind w:left="1320" w:right="559" w:hanging="425"/>
        <w:spacing w:after="0" w:line="277" w:lineRule="auto"/>
        <w:tabs>
          <w:tab w:leader="none" w:pos="13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our strategy and modifying it from time to time to respond effectively to competition and changes in client preferences;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managing our expanding operations and successfully expanding our solution and service offerings;</w:t>
      </w:r>
    </w:p>
    <w:p>
      <w:pPr>
        <w:spacing w:after="0" w:line="167" w:lineRule="exact"/>
        <w:rPr>
          <w:rFonts w:ascii="Arial" w:cs="Arial" w:eastAsia="Arial" w:hAnsi="Arial"/>
          <w:sz w:val="16"/>
          <w:szCs w:val="16"/>
          <w:color w:val="auto"/>
        </w:rPr>
      </w:pPr>
    </w:p>
    <w:p>
      <w:pPr>
        <w:ind w:left="1300" w:hanging="40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responding in a timely manner to technological or other changes in the IT services industry;</w:t>
      </w:r>
    </w:p>
    <w:p>
      <w:pPr>
        <w:spacing w:after="0" w:line="169" w:lineRule="exact"/>
        <w:rPr>
          <w:rFonts w:ascii="Arial" w:cs="Arial" w:eastAsia="Arial" w:hAnsi="Arial"/>
          <w:sz w:val="17"/>
          <w:szCs w:val="17"/>
          <w:color w:val="auto"/>
        </w:rPr>
      </w:pPr>
    </w:p>
    <w:p>
      <w:pPr>
        <w:ind w:left="1300" w:hanging="40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right="579" w:firstLine="432"/>
        <w:spacing w:after="0" w:line="277" w:lineRule="auto"/>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170" w:lineRule="exact"/>
        <w:rPr>
          <w:sz w:val="20"/>
          <w:szCs w:val="20"/>
          <w:color w:val="auto"/>
        </w:rPr>
      </w:pPr>
    </w:p>
    <w:p>
      <w:pPr>
        <w:ind w:left="460" w:right="539"/>
        <w:spacing w:after="0" w:line="342" w:lineRule="auto"/>
        <w:rPr>
          <w:sz w:val="20"/>
          <w:szCs w:val="20"/>
          <w:color w:val="auto"/>
        </w:rPr>
      </w:pPr>
      <w:r>
        <w:rPr>
          <w:rFonts w:ascii="Arial" w:cs="Arial" w:eastAsia="Arial" w:hAnsi="Arial"/>
          <w:sz w:val="16"/>
          <w:szCs w:val="16"/>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4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11"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65"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Our profitability will suffer if we are not able to maintain our resource utilization levels and continue to improve our productivity levels.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17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8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right="679"/>
        <w:spacing w:after="0" w:line="277" w:lineRule="auto"/>
        <w:rPr>
          <w:sz w:val="20"/>
          <w:szCs w:val="20"/>
          <w:color w:val="auto"/>
        </w:rPr>
      </w:pPr>
      <w:r>
        <w:rPr>
          <w:rFonts w:ascii="Arial" w:cs="Arial" w:eastAsia="Arial" w:hAnsi="Arial"/>
          <w:sz w:val="18"/>
          <w:szCs w:val="18"/>
          <w:b w:val="1"/>
          <w:bCs w:val="1"/>
          <w:i w:val="1"/>
          <w:iCs w:val="1"/>
          <w:color w:val="auto"/>
        </w:rPr>
        <w:t>Increases in wages for professionals in China could prevent us from sustaining our competitive advantage and could reduce our profit margins.</w:t>
      </w:r>
    </w:p>
    <w:p>
      <w:pPr>
        <w:spacing w:after="0" w:line="10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80"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The international nature of our business exposes us to risks that could adversely affect our financial condition and results of operations.</w:t>
      </w:r>
    </w:p>
    <w:p>
      <w:pPr>
        <w:spacing w:after="0" w:line="89" w:lineRule="exact"/>
        <w:rPr>
          <w:sz w:val="20"/>
          <w:szCs w:val="20"/>
          <w:color w:val="auto"/>
        </w:rPr>
      </w:pPr>
    </w:p>
    <w:p>
      <w:pPr>
        <w:ind w:left="460" w:right="619" w:firstLine="432"/>
        <w:spacing w:after="0" w:line="264"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14" w:lineRule="exact"/>
        <w:rPr>
          <w:sz w:val="20"/>
          <w:szCs w:val="20"/>
          <w:color w:val="auto"/>
        </w:rPr>
      </w:pPr>
    </w:p>
    <w:p>
      <w:pPr>
        <w:ind w:left="1320" w:right="619" w:hanging="425"/>
        <w:spacing w:after="0" w:line="277" w:lineRule="auto"/>
        <w:tabs>
          <w:tab w:leader="none" w:pos="1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102" w:lineRule="exact"/>
        <w:rPr>
          <w:rFonts w:ascii="Arial" w:cs="Arial" w:eastAsia="Arial" w:hAnsi="Arial"/>
          <w:sz w:val="18"/>
          <w:szCs w:val="18"/>
          <w:color w:val="auto"/>
        </w:rPr>
      </w:pPr>
    </w:p>
    <w:p>
      <w:pPr>
        <w:ind w:left="1320" w:right="719" w:hanging="425"/>
        <w:spacing w:after="0" w:line="264" w:lineRule="auto"/>
        <w:tabs>
          <w:tab w:leader="none" w:pos="1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00" w:lineRule="exact"/>
        <w:rPr>
          <w:rFonts w:ascii="Arial" w:cs="Arial" w:eastAsia="Arial" w:hAnsi="Arial"/>
          <w:sz w:val="18"/>
          <w:szCs w:val="18"/>
          <w:color w:val="auto"/>
        </w:rPr>
      </w:pPr>
    </w:p>
    <w:p>
      <w:pPr>
        <w:ind w:left="1320" w:right="1219" w:hanging="425"/>
        <w:spacing w:after="0" w:line="277" w:lineRule="auto"/>
        <w:tabs>
          <w:tab w:leader="none" w:pos="1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 such as scrutiny of transfer pricing arrangements by authorities in the countries in which we operate;</w:t>
      </w:r>
    </w:p>
    <w:p>
      <w:pPr>
        <w:spacing w:after="0" w:line="102" w:lineRule="exact"/>
        <w:rPr>
          <w:rFonts w:ascii="Arial" w:cs="Arial" w:eastAsia="Arial" w:hAnsi="Arial"/>
          <w:sz w:val="18"/>
          <w:szCs w:val="18"/>
          <w:color w:val="auto"/>
        </w:rPr>
      </w:pPr>
    </w:p>
    <w:p>
      <w:pPr>
        <w:ind w:left="1320" w:right="899" w:hanging="425"/>
        <w:spacing w:after="0" w:line="277" w:lineRule="auto"/>
        <w:tabs>
          <w:tab w:leader="none" w:pos="1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158"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15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w:t>
      </w:r>
    </w:p>
    <w:p>
      <w:pPr>
        <w:spacing w:after="0" w:line="2" w:lineRule="exact"/>
        <w:rPr>
          <w:sz w:val="20"/>
          <w:szCs w:val="20"/>
          <w:color w:val="auto"/>
        </w:rPr>
      </w:pPr>
    </w:p>
    <w:p>
      <w:pPr>
        <w:ind w:left="460" w:right="479" w:firstLine="2"/>
        <w:spacing w:after="0" w:line="270" w:lineRule="auto"/>
        <w:tabs>
          <w:tab w:leader="none" w:pos="7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79" w:lineRule="exact"/>
        <w:rPr>
          <w:sz w:val="20"/>
          <w:szCs w:val="20"/>
          <w:color w:val="auto"/>
        </w:rPr>
      </w:pPr>
    </w:p>
    <w:p>
      <w:pPr>
        <w:ind w:left="460" w:right="639"/>
        <w:spacing w:after="0" w:line="308" w:lineRule="auto"/>
        <w:rPr>
          <w:sz w:val="20"/>
          <w:szCs w:val="20"/>
          <w:color w:val="auto"/>
        </w:rPr>
      </w:pPr>
      <w:r>
        <w:rPr>
          <w:rFonts w:ascii="Arial" w:cs="Arial" w:eastAsia="Arial" w:hAnsi="Arial"/>
          <w:sz w:val="17"/>
          <w:szCs w:val="17"/>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66" w:lineRule="exact"/>
        <w:rPr>
          <w:sz w:val="20"/>
          <w:szCs w:val="20"/>
          <w:color w:val="auto"/>
        </w:rPr>
      </w:pPr>
    </w:p>
    <w:p>
      <w:pPr>
        <w:ind w:left="460" w:right="619" w:firstLine="432"/>
        <w:spacing w:after="0" w:line="264"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 w:name="page24"/>
    <w:bookmarkEnd w:id="23"/>
    <w:p>
      <w:pPr>
        <w:ind w:left="460" w:right="479"/>
        <w:spacing w:after="0" w:line="279" w:lineRule="auto"/>
        <w:rPr>
          <w:sz w:val="20"/>
          <w:szCs w:val="20"/>
          <w:color w:val="auto"/>
        </w:rPr>
      </w:pPr>
      <w:r>
        <w:rPr>
          <w:rFonts w:ascii="Arial" w:cs="Arial" w:eastAsia="Arial" w:hAnsi="Arial"/>
          <w:sz w:val="17"/>
          <w:szCs w:val="17"/>
          <w:color w:val="auto"/>
        </w:rPr>
        <w:t>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71" w:lineRule="exact"/>
        <w:rPr>
          <w:sz w:val="20"/>
          <w:szCs w:val="20"/>
          <w:color w:val="auto"/>
        </w:rPr>
      </w:pPr>
    </w:p>
    <w:p>
      <w:pPr>
        <w:ind w:left="460" w:right="579"/>
        <w:spacing w:after="0" w:line="342" w:lineRule="auto"/>
        <w:rPr>
          <w:sz w:val="20"/>
          <w:szCs w:val="20"/>
          <w:color w:val="auto"/>
        </w:rPr>
      </w:pPr>
      <w:r>
        <w:rPr>
          <w:rFonts w:ascii="Arial" w:cs="Arial" w:eastAsia="Arial" w:hAnsi="Arial"/>
          <w:sz w:val="16"/>
          <w:szCs w:val="16"/>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43"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21"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1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92" w:lineRule="exact"/>
        <w:rPr>
          <w:sz w:val="20"/>
          <w:szCs w:val="20"/>
          <w:color w:val="auto"/>
        </w:rPr>
      </w:pPr>
    </w:p>
    <w:p>
      <w:pPr>
        <w:ind w:left="460" w:right="599"/>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89"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185"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03"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right="479"/>
        <w:spacing w:after="0" w:line="270" w:lineRule="auto"/>
        <w:rPr>
          <w:sz w:val="20"/>
          <w:szCs w:val="20"/>
          <w:color w:val="auto"/>
        </w:rPr>
      </w:pPr>
      <w:r>
        <w:rPr>
          <w:rFonts w:ascii="Arial" w:cs="Arial" w:eastAsia="Arial" w:hAnsi="Arial"/>
          <w:sz w:val="17"/>
          <w:szCs w:val="17"/>
          <w:color w:val="auto"/>
        </w:rPr>
        <w:t>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82"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73" w:lineRule="exact"/>
        <w:rPr>
          <w:sz w:val="20"/>
          <w:szCs w:val="20"/>
          <w:color w:val="auto"/>
        </w:rPr>
      </w:pPr>
    </w:p>
    <w:p>
      <w:pPr>
        <w:jc w:val="both"/>
        <w:ind w:left="460" w:right="559"/>
        <w:spacing w:after="0" w:line="264" w:lineRule="auto"/>
        <w:rPr>
          <w:sz w:val="20"/>
          <w:szCs w:val="20"/>
          <w:color w:val="auto"/>
        </w:rPr>
      </w:pPr>
      <w:r>
        <w:rPr>
          <w:rFonts w:ascii="Arial" w:cs="Arial" w:eastAsia="Arial" w:hAnsi="Arial"/>
          <w:sz w:val="18"/>
          <w:szCs w:val="18"/>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14"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519"/>
        <w:spacing w:after="0" w:line="264" w:lineRule="auto"/>
        <w:rPr>
          <w:sz w:val="20"/>
          <w:szCs w:val="20"/>
          <w:color w:val="auto"/>
        </w:rPr>
      </w:pPr>
      <w:r>
        <w:rPr>
          <w:rFonts w:ascii="Arial" w:cs="Arial" w:eastAsia="Arial" w:hAnsi="Arial"/>
          <w:sz w:val="18"/>
          <w:szCs w:val="18"/>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1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01" w:lineRule="exact"/>
        <w:rPr>
          <w:sz w:val="20"/>
          <w:szCs w:val="20"/>
          <w:color w:val="auto"/>
        </w:rPr>
      </w:pPr>
    </w:p>
    <w:p>
      <w:pPr>
        <w:ind w:left="1300" w:hanging="405"/>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investors’ perception of, and demand for, securities of technology services outsourcing companies;</w:t>
      </w:r>
    </w:p>
    <w:p>
      <w:pPr>
        <w:spacing w:after="0" w:line="180" w:lineRule="exact"/>
        <w:rPr>
          <w:rFonts w:ascii="Arial" w:cs="Arial" w:eastAsia="Arial" w:hAnsi="Arial"/>
          <w:sz w:val="16"/>
          <w:szCs w:val="16"/>
          <w:color w:val="auto"/>
        </w:rPr>
      </w:pPr>
    </w:p>
    <w:p>
      <w:pPr>
        <w:ind w:left="1300" w:hanging="40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157" w:lineRule="exact"/>
        <w:rPr>
          <w:rFonts w:ascii="Arial" w:cs="Arial" w:eastAsia="Arial" w:hAnsi="Arial"/>
          <w:sz w:val="18"/>
          <w:szCs w:val="18"/>
          <w:color w:val="auto"/>
        </w:rPr>
      </w:pPr>
    </w:p>
    <w:p>
      <w:pPr>
        <w:ind w:left="1320" w:right="1119" w:hanging="425"/>
        <w:spacing w:after="0" w:line="277" w:lineRule="auto"/>
        <w:tabs>
          <w:tab w:leader="none" w:pos="13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89" w:lineRule="exact"/>
        <w:rPr>
          <w:sz w:val="20"/>
          <w:szCs w:val="20"/>
          <w:color w:val="auto"/>
        </w:rPr>
      </w:pPr>
    </w:p>
    <w:p>
      <w:pPr>
        <w:ind w:left="460" w:right="459" w:firstLine="432"/>
        <w:spacing w:after="0" w:line="312" w:lineRule="auto"/>
        <w:rPr>
          <w:sz w:val="20"/>
          <w:szCs w:val="20"/>
          <w:color w:val="auto"/>
        </w:rPr>
      </w:pPr>
      <w:r>
        <w:rPr>
          <w:rFonts w:ascii="Arial" w:cs="Arial" w:eastAsia="Arial" w:hAnsi="Arial"/>
          <w:sz w:val="16"/>
          <w:szCs w:val="16"/>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47" w:lineRule="exact"/>
        <w:rPr>
          <w:sz w:val="20"/>
          <w:szCs w:val="20"/>
          <w:color w:val="auto"/>
        </w:rPr>
      </w:pPr>
    </w:p>
    <w:p>
      <w:pPr>
        <w:jc w:val="both"/>
        <w:ind w:left="460" w:right="479"/>
        <w:spacing w:after="0" w:line="264"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1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79"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may incur losses resulting from business interruptions resulting from occurrence of natural disasters, health epidemics and other outbreaks or events.</w:t>
      </w:r>
    </w:p>
    <w:p>
      <w:pPr>
        <w:spacing w:after="0" w:line="103"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66" w:lineRule="exact"/>
        <w:rPr>
          <w:sz w:val="20"/>
          <w:szCs w:val="20"/>
          <w:color w:val="auto"/>
        </w:rPr>
      </w:pPr>
    </w:p>
    <w:p>
      <w:pPr>
        <w:ind w:left="460" w:right="819"/>
        <w:spacing w:after="0" w:line="277" w:lineRule="auto"/>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89"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 w:name="page27"/>
    <w:bookmarkEnd w:id="26"/>
    <w:p>
      <w:pPr>
        <w:ind w:left="460" w:right="479"/>
        <w:spacing w:after="0" w:line="272" w:lineRule="auto"/>
        <w:rPr>
          <w:sz w:val="20"/>
          <w:szCs w:val="20"/>
          <w:color w:val="auto"/>
        </w:rPr>
      </w:pPr>
      <w:r>
        <w:rPr>
          <w:rFonts w:ascii="Arial" w:cs="Arial" w:eastAsia="Arial" w:hAnsi="Arial"/>
          <w:sz w:val="17"/>
          <w:szCs w:val="17"/>
          <w:color w:val="auto"/>
        </w:rPr>
        <w:t>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97"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21"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Fluctuations in exchange rates could adversely affect our business and the value of our securities.</w:t>
      </w:r>
    </w:p>
    <w:p>
      <w:pPr>
        <w:spacing w:after="0" w:line="16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01" w:lineRule="exact"/>
        <w:rPr>
          <w:sz w:val="20"/>
          <w:szCs w:val="20"/>
          <w:color w:val="auto"/>
        </w:rPr>
      </w:pPr>
    </w:p>
    <w:p>
      <w:pPr>
        <w:ind w:left="460" w:right="479" w:firstLine="432"/>
        <w:spacing w:after="0" w:line="276" w:lineRule="auto"/>
        <w:rPr>
          <w:sz w:val="20"/>
          <w:szCs w:val="20"/>
          <w:color w:val="auto"/>
        </w:rPr>
      </w:pPr>
      <w:r>
        <w:rPr>
          <w:rFonts w:ascii="Arial" w:cs="Arial" w:eastAsia="Arial" w:hAnsi="Arial"/>
          <w:sz w:val="17"/>
          <w:szCs w:val="17"/>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05" w:lineRule="exact"/>
        <w:rPr>
          <w:sz w:val="20"/>
          <w:szCs w:val="20"/>
          <w:color w:val="auto"/>
        </w:rPr>
      </w:pPr>
    </w:p>
    <w:p>
      <w:pPr>
        <w:ind w:left="460" w:right="499" w:firstLine="432"/>
        <w:spacing w:after="0" w:line="297" w:lineRule="auto"/>
        <w:rPr>
          <w:sz w:val="20"/>
          <w:szCs w:val="20"/>
          <w:color w:val="auto"/>
        </w:rPr>
      </w:pPr>
      <w:r>
        <w:rPr>
          <w:rFonts w:ascii="Arial" w:cs="Arial" w:eastAsia="Arial" w:hAnsi="Arial"/>
          <w:sz w:val="16"/>
          <w:szCs w:val="16"/>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58"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103" w:lineRule="exact"/>
        <w:rPr>
          <w:sz w:val="20"/>
          <w:szCs w:val="20"/>
          <w:color w:val="auto"/>
        </w:rPr>
      </w:pPr>
    </w:p>
    <w:p>
      <w:pPr>
        <w:ind w:left="460" w:right="459" w:firstLine="432"/>
        <w:spacing w:after="0" w:line="297" w:lineRule="auto"/>
        <w:rPr>
          <w:sz w:val="20"/>
          <w:szCs w:val="20"/>
          <w:color w:val="auto"/>
        </w:rPr>
      </w:pPr>
      <w:r>
        <w:rPr>
          <w:rFonts w:ascii="Arial" w:cs="Arial" w:eastAsia="Arial" w:hAnsi="Arial"/>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right="499"/>
        <w:spacing w:after="0" w:line="288" w:lineRule="auto"/>
        <w:rPr>
          <w:sz w:val="20"/>
          <w:szCs w:val="20"/>
          <w:color w:val="auto"/>
        </w:rPr>
      </w:pPr>
      <w:r>
        <w:rPr>
          <w:rFonts w:ascii="Arial" w:cs="Arial" w:eastAsia="Arial" w:hAnsi="Arial"/>
          <w:sz w:val="16"/>
          <w:szCs w:val="16"/>
          <w:color w:val="auto"/>
        </w:rPr>
        <w:t>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69"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8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85" w:lineRule="exact"/>
        <w:rPr>
          <w:sz w:val="20"/>
          <w:szCs w:val="20"/>
          <w:color w:val="auto"/>
        </w:rPr>
      </w:pPr>
    </w:p>
    <w:p>
      <w:pPr>
        <w:ind w:left="460" w:right="839"/>
        <w:spacing w:after="0" w:line="277" w:lineRule="auto"/>
        <w:rPr>
          <w:sz w:val="20"/>
          <w:szCs w:val="20"/>
          <w:color w:val="auto"/>
        </w:rPr>
      </w:pPr>
      <w:r>
        <w:rPr>
          <w:rFonts w:ascii="Arial" w:cs="Arial" w:eastAsia="Arial" w:hAnsi="Arial"/>
          <w:sz w:val="18"/>
          <w:szCs w:val="18"/>
          <w:b w:val="1"/>
          <w:bCs w:val="1"/>
          <w:i w:val="1"/>
          <w:iCs w:val="1"/>
          <w:color w:val="auto"/>
        </w:rPr>
        <w:t>Our computer networks may be vulnerable to security risks that could disrupt our services and adversely affect our results of operations.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114" w:lineRule="exact"/>
        <w:rPr>
          <w:sz w:val="20"/>
          <w:szCs w:val="20"/>
          <w:color w:val="auto"/>
        </w:rPr>
      </w:pPr>
    </w:p>
    <w:p>
      <w:pPr>
        <w:ind w:left="460" w:right="519" w:firstLine="432"/>
        <w:spacing w:after="0" w:line="276" w:lineRule="auto"/>
        <w:rPr>
          <w:sz w:val="20"/>
          <w:szCs w:val="20"/>
          <w:color w:val="auto"/>
        </w:rPr>
      </w:pPr>
      <w:r>
        <w:rPr>
          <w:rFonts w:ascii="Arial" w:cs="Arial" w:eastAsia="Arial" w:hAnsi="Arial"/>
          <w:sz w:val="17"/>
          <w:szCs w:val="17"/>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73" w:lineRule="exact"/>
        <w:rPr>
          <w:sz w:val="20"/>
          <w:szCs w:val="20"/>
          <w:color w:val="auto"/>
        </w:rPr>
      </w:pPr>
    </w:p>
    <w:p>
      <w:pPr>
        <w:jc w:val="both"/>
        <w:ind w:left="460" w:right="499"/>
        <w:spacing w:after="0" w:line="264"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fail to develop and maintain an effective system of internal control over financial reporting, we may be unable to accurately report our financial results or prevent fraud.</w:t>
      </w:r>
    </w:p>
    <w:p>
      <w:pPr>
        <w:spacing w:after="0" w:line="100"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In connection with our review of our financial statements for the six months ended December 31, 2017, our independent registered public accounting firm identified a material weakness in the design and operation of our internal controls. As defined in the standards established by the Public Company Accounting Oversight Board of the United States,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right="479" w:firstLine="432"/>
        <w:spacing w:after="0" w:line="293" w:lineRule="auto"/>
        <w:rPr>
          <w:sz w:val="20"/>
          <w:szCs w:val="20"/>
          <w:color w:val="auto"/>
        </w:rPr>
      </w:pPr>
      <w:r>
        <w:rPr>
          <w:rFonts w:ascii="Arial" w:cs="Arial" w:eastAsia="Arial" w:hAnsi="Arial"/>
          <w:sz w:val="16"/>
          <w:szCs w:val="16"/>
          <w:color w:val="auto"/>
        </w:rPr>
        <w:t>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 (See Note 10 to the financial statements). Although the Company was aware of such transactions referenced in the Note, the relevant information was not provided to the financial accounting and reporting personnel, and, as a result, was not reflected in the subsequent note disclosures to the Company’s financial statements.</w:t>
      </w:r>
    </w:p>
    <w:p>
      <w:pPr>
        <w:spacing w:after="0" w:line="84"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After review and the performance of additional analysis and other procedures, no material adjustments, restatement or other revisions to our previously issued financial statements were required.</w:t>
      </w:r>
    </w:p>
    <w:p>
      <w:pPr>
        <w:spacing w:after="0" w:line="79"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In addition, in order to address the material weakness and to further strengthen our accounting staff and internal controls, we have designated a “point” person within the Company’s accounting and finance reporting structure to whom all information relating to material transactions after the balance sheet closing date is reported to ensure that it is then properly and timely disclosure as subsequent event(s) in notes to the Company’s financial statements; the foregoing measure has been implemented immediately to further enhance and revise the design and operation of our existing controls and procedures in the near term.</w:t>
      </w:r>
    </w:p>
    <w:p>
      <w:pPr>
        <w:spacing w:after="0" w:line="111"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08"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We cannot be certain that these measures will successfully remediate the material weakness or that other material weaknesses will not be 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common stock to decline. In addition, it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Because of our status as an emerging growth company, you will not be able to depend on any attestation from our independent registered public accountants as to our internal control over financial reporting for the foreseeable future.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158"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6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right="679"/>
        <w:spacing w:after="0" w:line="276" w:lineRule="auto"/>
        <w:rPr>
          <w:sz w:val="20"/>
          <w:szCs w:val="20"/>
          <w:color w:val="auto"/>
        </w:rPr>
      </w:pPr>
      <w:r>
        <w:rPr>
          <w:rFonts w:ascii="Arial" w:cs="Arial" w:eastAsia="Arial" w:hAnsi="Arial"/>
          <w:sz w:val="17"/>
          <w:szCs w:val="17"/>
          <w:color w:val="auto"/>
        </w:rPr>
        <w:t>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73"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89"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9" w:lineRule="exact"/>
        <w:rPr>
          <w:sz w:val="20"/>
          <w:szCs w:val="20"/>
          <w:color w:val="auto"/>
        </w:rPr>
      </w:pPr>
    </w:p>
    <w:p>
      <w:pPr>
        <w:ind w:left="460" w:right="759"/>
        <w:spacing w:after="0" w:line="264" w:lineRule="auto"/>
        <w:rPr>
          <w:sz w:val="20"/>
          <w:szCs w:val="20"/>
          <w:color w:val="auto"/>
        </w:rPr>
      </w:pPr>
      <w:r>
        <w:rPr>
          <w:rFonts w:ascii="Arial" w:cs="Arial" w:eastAsia="Arial" w:hAnsi="Arial"/>
          <w:sz w:val="18"/>
          <w:szCs w:val="18"/>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1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82"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1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right="899"/>
        <w:spacing w:after="0" w:line="264"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14"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69" w:lineRule="exact"/>
        <w:rPr>
          <w:sz w:val="20"/>
          <w:szCs w:val="20"/>
          <w:color w:val="auto"/>
        </w:rPr>
      </w:pPr>
    </w:p>
    <w:p>
      <w:pPr>
        <w:ind w:left="460" w:right="739"/>
        <w:spacing w:after="0" w:line="259"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06"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left="460" w:right="619"/>
        <w:spacing w:after="0" w:line="264" w:lineRule="auto"/>
        <w:rPr>
          <w:sz w:val="20"/>
          <w:szCs w:val="20"/>
          <w:color w:val="auto"/>
        </w:rPr>
      </w:pPr>
      <w:r>
        <w:rPr>
          <w:rFonts w:ascii="Arial" w:cs="Arial" w:eastAsia="Arial" w:hAnsi="Arial"/>
          <w:sz w:val="18"/>
          <w:szCs w:val="18"/>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1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w:t>
      </w:r>
    </w:p>
    <w:p>
      <w:pPr>
        <w:sectPr>
          <w:pgSz w:w="11900" w:h="16838" w:orient="portrait"/>
          <w:cols w:equalWidth="0" w:num="1">
            <w:col w:w="9019"/>
          </w:cols>
          <w:pgMar w:left="1440" w:top="34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1" w:name="page32"/>
    <w:bookmarkEnd w:id="31"/>
    <w:p>
      <w:pPr>
        <w:ind w:left="460" w:right="479"/>
        <w:spacing w:after="0" w:line="286" w:lineRule="auto"/>
        <w:rPr>
          <w:sz w:val="20"/>
          <w:szCs w:val="20"/>
          <w:color w:val="auto"/>
        </w:rPr>
      </w:pPr>
      <w:r>
        <w:rPr>
          <w:rFonts w:ascii="Arial" w:cs="Arial" w:eastAsia="Arial" w:hAnsi="Arial"/>
          <w:sz w:val="16"/>
          <w:szCs w:val="16"/>
          <w:color w:val="auto"/>
        </w:rPr>
        <w:t>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14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5"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73"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right="939"/>
        <w:spacing w:after="0" w:line="277" w:lineRule="auto"/>
        <w:rPr>
          <w:sz w:val="20"/>
          <w:szCs w:val="20"/>
          <w:color w:val="auto"/>
        </w:rPr>
      </w:pPr>
      <w:r>
        <w:rPr>
          <w:rFonts w:ascii="Arial" w:cs="Arial" w:eastAsia="Arial" w:hAnsi="Arial"/>
          <w:sz w:val="18"/>
          <w:szCs w:val="18"/>
          <w:color w:val="auto"/>
        </w:rPr>
        <w:t>PRC subsidiaries, or take other actions that could have a material adverse effect on our business, financial condition, results of operations, reputation and prospects.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144"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67"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We face uncertainty regarding the PRC tax reporting obligations and consequences for certain indirect transfers of the stock of our operating company.</w:t>
      </w:r>
    </w:p>
    <w:p>
      <w:pPr>
        <w:spacing w:after="0" w:line="103"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pacing w:after="0" w:line="16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1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94" w:lineRule="exact"/>
        <w:rPr>
          <w:sz w:val="20"/>
          <w:szCs w:val="20"/>
          <w:color w:val="auto"/>
        </w:rPr>
      </w:pPr>
    </w:p>
    <w:p>
      <w:pPr>
        <w:jc w:val="both"/>
        <w:ind w:left="460" w:right="579" w:firstLine="432"/>
        <w:spacing w:after="0" w:line="259" w:lineRule="auto"/>
        <w:rPr>
          <w:sz w:val="20"/>
          <w:szCs w:val="20"/>
          <w:color w:val="auto"/>
        </w:rPr>
      </w:pPr>
      <w:r>
        <w:rPr>
          <w:rFonts w:ascii="Arial" w:cs="Arial" w:eastAsia="Arial" w:hAnsi="Arial"/>
          <w:sz w:val="18"/>
          <w:szCs w:val="18"/>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right="499"/>
        <w:spacing w:after="0" w:line="290" w:lineRule="auto"/>
        <w:rPr>
          <w:sz w:val="20"/>
          <w:szCs w:val="20"/>
          <w:color w:val="auto"/>
        </w:rPr>
      </w:pPr>
      <w:r>
        <w:rPr>
          <w:rFonts w:ascii="Arial" w:cs="Arial" w:eastAsia="Arial" w:hAnsi="Arial"/>
          <w:sz w:val="16"/>
          <w:szCs w:val="16"/>
          <w:color w:val="auto"/>
        </w:rPr>
        <w:t>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85"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197" w:lineRule="exact"/>
        <w:rPr>
          <w:sz w:val="20"/>
          <w:szCs w:val="20"/>
          <w:color w:val="auto"/>
        </w:rPr>
      </w:pPr>
    </w:p>
    <w:p>
      <w:pPr>
        <w:ind w:left="460" w:right="639"/>
        <w:spacing w:after="0" w:line="259"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19"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11"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86"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10"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right="739"/>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07"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178"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7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1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5" w:name="page36"/>
    <w:bookmarkEnd w:id="35"/>
    <w:p>
      <w:pPr>
        <w:ind w:left="460" w:right="539"/>
        <w:spacing w:after="0" w:line="270" w:lineRule="auto"/>
        <w:rPr>
          <w:sz w:val="20"/>
          <w:szCs w:val="20"/>
          <w:color w:val="auto"/>
        </w:rPr>
      </w:pPr>
      <w:r>
        <w:rPr>
          <w:rFonts w:ascii="Arial" w:cs="Arial" w:eastAsia="Arial" w:hAnsi="Arial"/>
          <w:sz w:val="17"/>
          <w:szCs w:val="17"/>
          <w:color w:val="auto"/>
        </w:rPr>
        <w:t>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82" w:lineRule="exact"/>
        <w:rPr>
          <w:sz w:val="20"/>
          <w:szCs w:val="20"/>
          <w:color w:val="auto"/>
        </w:rPr>
      </w:pPr>
    </w:p>
    <w:p>
      <w:pPr>
        <w:ind w:left="460" w:right="539"/>
        <w:spacing w:after="0" w:line="264"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00"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79" w:lineRule="exact"/>
        <w:rPr>
          <w:sz w:val="20"/>
          <w:szCs w:val="20"/>
          <w:color w:val="auto"/>
        </w:rPr>
      </w:pPr>
    </w:p>
    <w:p>
      <w:pPr>
        <w:ind w:left="460" w:right="899"/>
        <w:spacing w:after="0" w:line="264"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1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right="639"/>
        <w:spacing w:after="0" w:line="277"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0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and Circular 698, which became effective in January 2008, and a Circular 7 in replacement of some of the existing rules in Circular 698, which became effective in February 2015.</w:t>
      </w:r>
    </w:p>
    <w:p>
      <w:pPr>
        <w:spacing w:after="0" w:line="107"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Under Circular 698, where a non-resident enterprise conducts an “indirect transfer” by transferring the equity interests of a PRC “resident enterprise” indirectly by disposing of the equity interests of an overseas holding company,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 Circular 698 also provides that, where a non-PRC resident enterprise transfers its equity interests in a PRC resident enterprise to its related parties at a price lower than the fair market value, the relevant tax authority has the power to make a reasonable adjustment to the taxable income of the transaction.</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February 2015, the SAT issued Circular 7 to replace the rules relating to indirect transfers in Circular</w:t>
      </w:r>
    </w:p>
    <w:p>
      <w:pPr>
        <w:spacing w:after="0" w:line="46" w:lineRule="exact"/>
        <w:rPr>
          <w:sz w:val="20"/>
          <w:szCs w:val="20"/>
          <w:color w:val="auto"/>
        </w:rPr>
      </w:pPr>
    </w:p>
    <w:p>
      <w:pPr>
        <w:ind w:left="460" w:right="459" w:firstLine="2"/>
        <w:spacing w:after="0" w:line="266"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2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or Circular 698 and Circular 7, and may be required to expend valuable resources to comply with Circular 59, Circular 698 and Circular 7 or to establish that we and our non-resident enterprises should not be taxed under these circulars, which may have a material adverse effect on our financial condition and results of operations.</w:t>
      </w:r>
    </w:p>
    <w:p>
      <w:pPr>
        <w:spacing w:after="0" w:line="101"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PRC tax authorities have the discretion under SAT Circular 59, Circular 698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698 and Circular 7, our income tax costs associated with such potential acquisitions will be increased, which may have an adverse effect on our financial condition and results of operations.</w:t>
      </w:r>
    </w:p>
    <w:p>
      <w:pPr>
        <w:spacing w:after="0" w:line="166" w:lineRule="exact"/>
        <w:rPr>
          <w:sz w:val="20"/>
          <w:szCs w:val="20"/>
          <w:color w:val="auto"/>
        </w:rPr>
      </w:pPr>
    </w:p>
    <w:p>
      <w:pPr>
        <w:ind w:left="460" w:right="479"/>
        <w:spacing w:after="0" w:line="264"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14"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7" w:name="page38"/>
    <w:bookmarkEnd w:id="37"/>
    <w:p>
      <w:pPr>
        <w:ind w:left="460" w:right="459"/>
        <w:spacing w:after="0" w:line="287" w:lineRule="auto"/>
        <w:rPr>
          <w:sz w:val="20"/>
          <w:szCs w:val="20"/>
          <w:color w:val="auto"/>
        </w:rPr>
      </w:pPr>
      <w:r>
        <w:rPr>
          <w:rFonts w:ascii="Arial" w:cs="Arial" w:eastAsia="Arial" w:hAnsi="Arial"/>
          <w:sz w:val="16"/>
          <w:szCs w:val="16"/>
          <w:color w:val="auto"/>
        </w:rPr>
        <w:t>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69"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Our current employment practices may be restricted under the PRC Labor Contract Law and our labor costs may increase as a result.</w:t>
      </w:r>
    </w:p>
    <w:p>
      <w:pPr>
        <w:spacing w:after="0" w:line="8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this Offering</w:t>
      </w:r>
    </w:p>
    <w:p>
      <w:pPr>
        <w:spacing w:after="0" w:line="229" w:lineRule="exact"/>
        <w:rPr>
          <w:sz w:val="20"/>
          <w:szCs w:val="20"/>
          <w:color w:val="auto"/>
        </w:rPr>
      </w:pPr>
    </w:p>
    <w:p>
      <w:pPr>
        <w:ind w:left="460" w:right="699"/>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you may not be able to resell our common shares at or above the price you paid, or at all.</w:t>
      </w:r>
    </w:p>
    <w:p>
      <w:pPr>
        <w:spacing w:after="0" w:line="103"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78"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b w:val="1"/>
          <w:bCs w:val="1"/>
          <w:i w:val="1"/>
          <w:iCs w:val="1"/>
          <w:color w:val="auto"/>
        </w:rPr>
        <w:t>If we are unable to comply with certain conditions, our common shares may not trade on the NASDAQ Capital Market.</w:t>
      </w:r>
    </w:p>
    <w:p>
      <w:pPr>
        <w:spacing w:after="0" w:line="99"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b w:val="1"/>
          <w:bCs w:val="1"/>
          <w:color w:val="auto"/>
        </w:rPr>
        <w:t>We have received approval to list our common shares on the NASDAQ Capital Market provided that we pay the balance of our entry fee and show that we will have 300 round-lot shareholders prior to our first day of trading</w:t>
      </w:r>
      <w:r>
        <w:rPr>
          <w:rFonts w:ascii="Arial" w:cs="Arial" w:eastAsia="Arial" w:hAnsi="Arial"/>
          <w:sz w:val="18"/>
          <w:szCs w:val="18"/>
          <w:color w:val="auto"/>
        </w:rPr>
        <w:t>. If we are unable to meet these final conditions our shares may not trade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Capital Market. In addition, we have relied on an exemption to the blue sky registration requirements afforded to “covered securities.” Securities listed on the NASDAQ Capital Market are “covered securities.” If we were unable to meet the final conditions for listing, then we would be unable to rely on the covered securities exemption to blue sky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right="699"/>
        <w:spacing w:after="0" w:line="308" w:lineRule="auto"/>
        <w:rPr>
          <w:sz w:val="20"/>
          <w:szCs w:val="20"/>
          <w:color w:val="auto"/>
        </w:rPr>
      </w:pPr>
      <w:r>
        <w:rPr>
          <w:rFonts w:ascii="Arial" w:cs="Arial" w:eastAsia="Arial" w:hAnsi="Arial"/>
          <w:sz w:val="17"/>
          <w:szCs w:val="17"/>
          <w:color w:val="auto"/>
        </w:rPr>
        <w:t>registration requirements and we would need to register the offering in each state in which we planned to sell shares. Consequently, we will not complete this offering until we have met the final conditions.</w:t>
      </w:r>
    </w:p>
    <w:p>
      <w:pPr>
        <w:spacing w:after="0" w:line="147"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If we are listed on the NASDAQ Capital Market and our financial condition deteriorates, we may not meet continued listing standards on the NASDAQ Capital Market.</w:t>
      </w:r>
    </w:p>
    <w:p>
      <w:pPr>
        <w:spacing w:after="0" w:line="8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183" w:lineRule="exact"/>
        <w:rPr>
          <w:sz w:val="20"/>
          <w:szCs w:val="20"/>
          <w:color w:val="auto"/>
        </w:rPr>
      </w:pPr>
    </w:p>
    <w:p>
      <w:pPr>
        <w:ind w:left="460" w:right="719"/>
        <w:spacing w:after="0" w:line="381" w:lineRule="auto"/>
        <w:rPr>
          <w:sz w:val="20"/>
          <w:szCs w:val="20"/>
          <w:color w:val="auto"/>
        </w:rPr>
      </w:pPr>
      <w:r>
        <w:rPr>
          <w:rFonts w:ascii="Arial" w:cs="Arial" w:eastAsia="Arial" w:hAnsi="Arial"/>
          <w:sz w:val="15"/>
          <w:szCs w:val="15"/>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33" w:lineRule="exact"/>
        <w:rPr>
          <w:sz w:val="20"/>
          <w:szCs w:val="20"/>
          <w:color w:val="auto"/>
        </w:rPr>
      </w:pPr>
    </w:p>
    <w:p>
      <w:pPr>
        <w:ind w:left="460" w:right="459" w:firstLine="432"/>
        <w:spacing w:after="0" w:line="297" w:lineRule="auto"/>
        <w:rPr>
          <w:sz w:val="20"/>
          <w:szCs w:val="20"/>
          <w:color w:val="auto"/>
        </w:rPr>
      </w:pPr>
      <w:r>
        <w:rPr>
          <w:rFonts w:ascii="Arial" w:cs="Arial" w:eastAsia="Arial" w:hAnsi="Arial"/>
          <w:sz w:val="16"/>
          <w:szCs w:val="16"/>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58" w:lineRule="exact"/>
        <w:rPr>
          <w:sz w:val="20"/>
          <w:szCs w:val="20"/>
          <w:color w:val="auto"/>
        </w:rPr>
      </w:pPr>
    </w:p>
    <w:p>
      <w:pPr>
        <w:ind w:left="460" w:right="919"/>
        <w:spacing w:after="0" w:line="264" w:lineRule="auto"/>
        <w:rPr>
          <w:sz w:val="20"/>
          <w:szCs w:val="20"/>
          <w:color w:val="auto"/>
        </w:rPr>
      </w:pPr>
      <w:r>
        <w:rPr>
          <w:rFonts w:ascii="Arial" w:cs="Arial" w:eastAsia="Arial" w:hAnsi="Arial"/>
          <w:sz w:val="18"/>
          <w:szCs w:val="18"/>
          <w:b w:val="1"/>
          <w:bCs w:val="1"/>
          <w:i w:val="1"/>
          <w:iCs w:val="1"/>
          <w:color w:val="auto"/>
        </w:rPr>
        <w:t>$200,000 from the proceeds of this offering will be placed in escrow for 18 months from the date of this offering for the purpose of indemnifying the underwriters and may not be used during such time, or potentially at all, for further developing our business.</w:t>
      </w:r>
    </w:p>
    <w:p>
      <w:pPr>
        <w:spacing w:after="0" w:line="11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have entered into an indemnification escrow agreement, whereby, we have agreed to place $200,000 from the proceeds of this offering into an escrow account in the United States for a period of 18 months following this offering for the purpose of satisfying an initial $200,000 in indemnity claims of the underwriters. Accordingly, we will not be able to use $200,000 from the proceeds of this offering to develop our business operations for such period, or at all, if we are required to indemnify the underwriters, which could adversely impact our earnings and cash flows, thereby having an adverse effect on our financial condition, results of operations, and per share trading price of our common shares.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144"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right="759"/>
        <w:spacing w:after="0" w:line="277" w:lineRule="auto"/>
        <w:rPr>
          <w:sz w:val="20"/>
          <w:szCs w:val="20"/>
          <w:color w:val="auto"/>
        </w:rPr>
      </w:pPr>
      <w:r>
        <w:rPr>
          <w:rFonts w:ascii="Arial" w:cs="Arial" w:eastAsia="Arial" w:hAnsi="Arial"/>
          <w:sz w:val="18"/>
          <w:szCs w:val="18"/>
          <w:color w:val="auto"/>
        </w:rPr>
        <w:t>the market price of our shares. In addition to the above factors, the price and trading volume of our common shares may be highly volatile due to multiple factors, including the following:</w:t>
      </w:r>
    </w:p>
    <w:p>
      <w:pPr>
        <w:spacing w:after="0" w:line="89" w:lineRule="exact"/>
        <w:rPr>
          <w:sz w:val="20"/>
          <w:szCs w:val="20"/>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of studies and reports relating to our service offerings or those of our competitors;</w:t>
      </w:r>
    </w:p>
    <w:p>
      <w:pPr>
        <w:spacing w:after="0" w:line="167" w:lineRule="exact"/>
        <w:rPr>
          <w:rFonts w:ascii="Arial" w:cs="Arial" w:eastAsia="Arial" w:hAnsi="Arial"/>
          <w:sz w:val="16"/>
          <w:szCs w:val="16"/>
          <w:color w:val="auto"/>
        </w:rPr>
      </w:pPr>
    </w:p>
    <w:p>
      <w:pPr>
        <w:ind w:left="1320" w:right="679" w:hanging="425"/>
        <w:spacing w:after="0" w:line="277" w:lineRule="auto"/>
        <w:tabs>
          <w:tab w:leader="none" w:pos="1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57" w:lineRule="exact"/>
        <w:rPr>
          <w:rFonts w:ascii="Arial" w:cs="Arial" w:eastAsia="Arial" w:hAnsi="Arial"/>
          <w:sz w:val="18"/>
          <w:szCs w:val="18"/>
          <w:color w:val="auto"/>
        </w:rPr>
      </w:pPr>
    </w:p>
    <w:p>
      <w:pPr>
        <w:ind w:left="1320" w:right="1099" w:hanging="425"/>
        <w:spacing w:after="0" w:line="277" w:lineRule="auto"/>
        <w:tabs>
          <w:tab w:leader="none" w:pos="1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release or expiry of lock-up or other transfer restrictions on our outstanding common shares; and</w:t>
      </w:r>
    </w:p>
    <w:p>
      <w:pPr>
        <w:spacing w:after="0" w:line="169" w:lineRule="exact"/>
        <w:rPr>
          <w:rFonts w:ascii="Arial" w:cs="Arial" w:eastAsia="Arial" w:hAnsi="Arial"/>
          <w:sz w:val="17"/>
          <w:szCs w:val="17"/>
          <w:color w:val="auto"/>
        </w:rPr>
      </w:pPr>
    </w:p>
    <w:p>
      <w:pPr>
        <w:ind w:left="1300" w:hanging="40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25"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75" w:lineRule="exact"/>
        <w:rPr>
          <w:sz w:val="20"/>
          <w:szCs w:val="20"/>
          <w:color w:val="auto"/>
        </w:rPr>
      </w:pPr>
    </w:p>
    <w:p>
      <w:pPr>
        <w:ind w:left="460" w:right="479"/>
        <w:spacing w:after="0" w:line="264"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13,290,000 shares (or 13,590,000 shares assuming that the underwriters’ over-allotment option is exercised in full)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i w:val="1"/>
          <w:iCs w:val="1"/>
          <w:color w:val="auto"/>
        </w:rPr>
        <w:t>You will experience immediate and substantial dilution.</w:t>
      </w:r>
    </w:p>
    <w:p>
      <w:pPr>
        <w:spacing w:after="0" w:line="158" w:lineRule="exact"/>
        <w:rPr>
          <w:sz w:val="20"/>
          <w:szCs w:val="20"/>
          <w:color w:val="auto"/>
        </w:rPr>
      </w:pPr>
    </w:p>
    <w:p>
      <w:pPr>
        <w:ind w:left="460" w:right="499" w:firstLine="432"/>
        <w:spacing w:after="0" w:line="297" w:lineRule="auto"/>
        <w:rPr>
          <w:sz w:val="20"/>
          <w:szCs w:val="20"/>
          <w:color w:val="auto"/>
        </w:rPr>
      </w:pPr>
      <w:r>
        <w:rPr>
          <w:rFonts w:ascii="Arial" w:cs="Arial" w:eastAsia="Arial" w:hAnsi="Arial"/>
          <w:sz w:val="16"/>
          <w:szCs w:val="16"/>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$4.12 in the pro forma net tangible book value per share from the price per share that you pay for the shares. Accordingly, if you purchase shares in this offering, you will incur immediate and substantial dilution of your investment. See “Dilution.”</w:t>
      </w:r>
    </w:p>
    <w:p>
      <w:pPr>
        <w:spacing w:after="0" w:line="158"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We have not finally determined the use of the proceeds from this offering, and we may use the proceeds in ways with which you may not agree.</w:t>
      </w:r>
    </w:p>
    <w:p>
      <w:pPr>
        <w:spacing w:after="0" w:line="8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180" w:lineRule="exact"/>
        <w:rPr>
          <w:sz w:val="20"/>
          <w:szCs w:val="20"/>
          <w:color w:val="auto"/>
        </w:rPr>
      </w:pPr>
    </w:p>
    <w:p>
      <w:pPr>
        <w:ind w:left="460" w:right="679"/>
        <w:spacing w:after="0" w:line="264"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14"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1" w:name="page42"/>
    <w:bookmarkEnd w:id="41"/>
    <w:p>
      <w:pPr>
        <w:ind w:left="460" w:right="659"/>
        <w:spacing w:after="0" w:line="308" w:lineRule="auto"/>
        <w:rPr>
          <w:sz w:val="20"/>
          <w:szCs w:val="20"/>
          <w:color w:val="auto"/>
        </w:rPr>
      </w:pPr>
      <w:r>
        <w:rPr>
          <w:rFonts w:ascii="Arial" w:cs="Arial" w:eastAsia="Arial" w:hAnsi="Arial"/>
          <w:sz w:val="17"/>
          <w:szCs w:val="17"/>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79"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84" w:lineRule="exact"/>
        <w:rPr>
          <w:sz w:val="20"/>
          <w:szCs w:val="20"/>
          <w:color w:val="auto"/>
        </w:rPr>
      </w:pPr>
    </w:p>
    <w:p>
      <w:pPr>
        <w:ind w:left="1320" w:right="559" w:hanging="425"/>
        <w:spacing w:after="0" w:line="277" w:lineRule="auto"/>
        <w:tabs>
          <w:tab w:leader="none" w:pos="13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jc w:val="both"/>
        <w:ind w:left="1320" w:right="559" w:hanging="425"/>
        <w:spacing w:after="0" w:line="264" w:lineRule="auto"/>
        <w:tabs>
          <w:tab w:leader="none" w:pos="13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13" w:lineRule="exact"/>
        <w:rPr>
          <w:rFonts w:ascii="Arial" w:cs="Arial" w:eastAsia="Arial" w:hAnsi="Arial"/>
          <w:sz w:val="18"/>
          <w:szCs w:val="18"/>
          <w:color w:val="auto"/>
        </w:rPr>
      </w:pPr>
    </w:p>
    <w:p>
      <w:pPr>
        <w:ind w:left="1320" w:right="799" w:hanging="425"/>
        <w:spacing w:after="0" w:line="264" w:lineRule="auto"/>
        <w:tabs>
          <w:tab w:leader="none" w:pos="13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82"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publicly-traded company.</w:t>
      </w:r>
    </w:p>
    <w:p>
      <w:pPr>
        <w:spacing w:after="0" w:line="158" w:lineRule="exact"/>
        <w:rPr>
          <w:sz w:val="20"/>
          <w:szCs w:val="20"/>
          <w:color w:val="auto"/>
        </w:rPr>
      </w:pPr>
    </w:p>
    <w:p>
      <w:pPr>
        <w:ind w:left="460" w:right="799" w:firstLine="432"/>
        <w:spacing w:after="0" w:line="297" w:lineRule="auto"/>
        <w:rPr>
          <w:sz w:val="20"/>
          <w:szCs w:val="20"/>
          <w:color w:val="auto"/>
        </w:rPr>
      </w:pPr>
      <w:r>
        <w:rPr>
          <w:rFonts w:ascii="Arial" w:cs="Arial" w:eastAsia="Arial" w:hAnsi="Arial"/>
          <w:sz w:val="16"/>
          <w:szCs w:val="16"/>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exposed to risks relating to evaluations of controls required by Sarbanes-Oxley Act of 2002.</w:t>
      </w:r>
    </w:p>
    <w:p>
      <w:pPr>
        <w:spacing w:after="0" w:line="167"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2" w:name="page43"/>
    <w:bookmarkEnd w:id="42"/>
    <w:p>
      <w:pPr>
        <w:ind w:left="460" w:right="759"/>
        <w:spacing w:after="0" w:line="342" w:lineRule="auto"/>
        <w:rPr>
          <w:sz w:val="20"/>
          <w:szCs w:val="20"/>
          <w:color w:val="auto"/>
        </w:rPr>
      </w:pPr>
      <w:r>
        <w:rPr>
          <w:rFonts w:ascii="Arial" w:cs="Arial" w:eastAsia="Arial" w:hAnsi="Arial"/>
          <w:sz w:val="16"/>
          <w:szCs w:val="16"/>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56"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 We are an emerging growth company until the earliest of:</w:t>
      </w:r>
    </w:p>
    <w:p>
      <w:pPr>
        <w:spacing w:after="0" w:line="43" w:lineRule="exact"/>
        <w:rPr>
          <w:sz w:val="20"/>
          <w:szCs w:val="20"/>
          <w:color w:val="auto"/>
        </w:rPr>
      </w:pPr>
    </w:p>
    <w:p>
      <w:pPr>
        <w:ind w:left="1320" w:right="879" w:hanging="425"/>
        <w:spacing w:after="0" w:line="277" w:lineRule="auto"/>
        <w:tabs>
          <w:tab w:leader="none" w:pos="1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57" w:lineRule="exact"/>
        <w:rPr>
          <w:rFonts w:ascii="Arial" w:cs="Arial" w:eastAsia="Arial" w:hAnsi="Arial"/>
          <w:sz w:val="18"/>
          <w:szCs w:val="18"/>
          <w:color w:val="auto"/>
        </w:rPr>
      </w:pPr>
    </w:p>
    <w:p>
      <w:pPr>
        <w:ind w:left="1320" w:right="679" w:hanging="425"/>
        <w:spacing w:after="0" w:line="277" w:lineRule="auto"/>
        <w:tabs>
          <w:tab w:leader="none" w:pos="1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89" w:lineRule="exact"/>
        <w:rPr>
          <w:rFonts w:ascii="Arial" w:cs="Arial" w:eastAsia="Arial" w:hAnsi="Arial"/>
          <w:sz w:val="18"/>
          <w:szCs w:val="18"/>
          <w:color w:val="auto"/>
        </w:rPr>
      </w:pPr>
    </w:p>
    <w:p>
      <w:pPr>
        <w:ind w:left="1320" w:right="539" w:hanging="425"/>
        <w:spacing w:after="0" w:line="277" w:lineRule="auto"/>
        <w:tabs>
          <w:tab w:leader="none" w:pos="1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6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03"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66" w:lineRule="exact"/>
        <w:rPr>
          <w:sz w:val="20"/>
          <w:szCs w:val="20"/>
          <w:color w:val="auto"/>
        </w:rPr>
      </w:pPr>
    </w:p>
    <w:p>
      <w:pPr>
        <w:ind w:left="460" w:right="919"/>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20"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89" w:lineRule="exact"/>
        <w:rPr>
          <w:sz w:val="20"/>
          <w:szCs w:val="20"/>
          <w:color w:val="auto"/>
        </w:rPr>
      </w:pPr>
    </w:p>
    <w:p>
      <w:pPr>
        <w:ind w:left="460" w:right="999"/>
        <w:spacing w:after="0" w:line="277" w:lineRule="auto"/>
        <w:rPr>
          <w:sz w:val="20"/>
          <w:szCs w:val="20"/>
          <w:color w:val="auto"/>
        </w:rPr>
      </w:pPr>
      <w:r>
        <w:rPr>
          <w:rFonts w:ascii="Arial" w:cs="Arial" w:eastAsia="Arial" w:hAnsi="Arial"/>
          <w:sz w:val="18"/>
          <w:szCs w:val="18"/>
          <w:b w:val="1"/>
          <w:bCs w:val="1"/>
          <w:i w:val="1"/>
          <w:iCs w:val="1"/>
          <w:color w:val="auto"/>
        </w:rPr>
        <w:t>Our corporate structure, together with applicable law, may impede shareholders from asserting claims against us and our principals.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3" w:name="page44"/>
    <w:bookmarkEnd w:id="43"/>
    <w:p>
      <w:pPr>
        <w:ind w:left="460" w:right="559"/>
        <w:spacing w:after="0" w:line="340" w:lineRule="auto"/>
        <w:rPr>
          <w:sz w:val="20"/>
          <w:szCs w:val="20"/>
          <w:color w:val="auto"/>
        </w:rPr>
      </w:pPr>
      <w:r>
        <w:rPr>
          <w:rFonts w:ascii="Arial" w:cs="Arial" w:eastAsia="Arial" w:hAnsi="Arial"/>
          <w:sz w:val="15"/>
          <w:szCs w:val="15"/>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64"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DEFINED TERMS AND CONVENTIONS FORWARD-LOOKING STATEMENTS</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Examples of forward-looking statements include:</w:t>
      </w:r>
    </w:p>
    <w:p>
      <w:pPr>
        <w:spacing w:after="0" w:line="158" w:lineRule="exact"/>
        <w:rPr>
          <w:sz w:val="20"/>
          <w:szCs w:val="20"/>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the development of future services;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of revenue, earnings, capital structure and other financial items;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future company-owned call centers;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regarding the capabilities of our business operations;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of expected future economic performance;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regarding competition in our market;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assumptions underlying statements regarding us or our business.</w:t>
      </w:r>
    </w:p>
    <w:p>
      <w:pPr>
        <w:spacing w:after="0" w:line="15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We estimate that we will receive net proceeds from the sale of common shares of approximately $9.09 million, after deducting estimated underwriting discounts and commissions and estimated offering expenses. If the underwriters’ option to purchase additional common shares is exercised in full, we estimate that we will receive net proceeds of approximately $1.46 million, after deducting estimated underwriting discounts and commissions and estimated offering expenses. The net proceeds exclude the $200,000 of the offering proceeds placed in the indeminification escrow account.</w:t>
      </w:r>
    </w:p>
    <w:p>
      <w:pPr>
        <w:spacing w:after="0" w:line="97"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Proceeds of this offering in the amount of $200,000 shall be used to fund an indemnification escrow account for a period of 18 months following the closing date of this offering, which account shall be used in the event we have to indemnify the underwriters pursuant to the terms of an Underwriting Agreement with the underwriters.</w:t>
      </w:r>
    </w:p>
    <w:p>
      <w:pPr>
        <w:spacing w:after="0" w:line="119" w:lineRule="exact"/>
        <w:rPr>
          <w:sz w:val="20"/>
          <w:szCs w:val="20"/>
          <w:color w:val="auto"/>
        </w:rPr>
      </w:pPr>
    </w:p>
    <w:p>
      <w:pPr>
        <w:ind w:left="460" w:right="479" w:firstLine="432"/>
        <w:spacing w:after="0" w:line="264" w:lineRule="auto"/>
        <w:rPr>
          <w:sz w:val="20"/>
          <w:szCs w:val="20"/>
          <w:color w:val="auto"/>
        </w:rPr>
      </w:pPr>
      <w:r>
        <w:rPr>
          <w:rFonts w:ascii="Arial" w:cs="Arial" w:eastAsia="Arial" w:hAnsi="Arial"/>
          <w:sz w:val="18"/>
          <w:szCs w:val="18"/>
          <w:color w:val="auto"/>
        </w:rPr>
        <w:t>We intend to use the net proceeds of this offering as follows after we complete the remittance process (these below-referenced net proceeds amounts do not include $200,000 of the offering proceeds to be allotted to the indemnification escrow account to pay for the underwriters’ indemnity):</w:t>
      </w:r>
    </w:p>
    <w:p>
      <w:pPr>
        <w:spacing w:after="0" w:line="114" w:lineRule="exact"/>
        <w:rPr>
          <w:sz w:val="20"/>
          <w:szCs w:val="20"/>
          <w:color w:val="auto"/>
        </w:rPr>
      </w:pPr>
    </w:p>
    <w:p>
      <w:pPr>
        <w:ind w:left="1320" w:right="639" w:hanging="425"/>
        <w:spacing w:after="0" w:line="342" w:lineRule="auto"/>
        <w:tabs>
          <w:tab w:leader="none" w:pos="129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$3.64 million or 40% for global expansion, i.e., to expand our existing locations to develop new clients by hiring more qualified personnel, system integration and marketing effort;</w:t>
      </w:r>
    </w:p>
    <w:p>
      <w:pPr>
        <w:spacing w:after="0" w:line="42" w:lineRule="exact"/>
        <w:rPr>
          <w:rFonts w:ascii="Arial" w:cs="Arial" w:eastAsia="Arial" w:hAnsi="Arial"/>
          <w:sz w:val="16"/>
          <w:szCs w:val="16"/>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$2.73 million or 30% for working capital and general corporate purposes;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$1.82 million or 20% for R&amp;D;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$0.90 million or 10% for talent development.</w:t>
      </w:r>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10"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162"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40" w:type="dxa"/>
            <w:vAlign w:val="bottom"/>
          </w:tcPr>
          <w:p>
            <w:pPr>
              <w:spacing w:after="0"/>
              <w:rPr>
                <w:sz w:val="20"/>
                <w:szCs w:val="20"/>
                <w:color w:val="auto"/>
              </w:rPr>
            </w:pPr>
            <w:r>
              <w:rPr>
                <w:rFonts w:ascii="Arial" w:cs="Arial" w:eastAsia="Arial" w:hAnsi="Arial"/>
                <w:sz w:val="16"/>
                <w:szCs w:val="16"/>
                <w:b w:val="1"/>
                <w:bCs w:val="1"/>
                <w:color w:val="auto"/>
              </w:rPr>
              <w:t>Balance sheet items, except for equity</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940" w:type="dxa"/>
            <w:vAlign w:val="bottom"/>
          </w:tcPr>
          <w:p>
            <w:pPr>
              <w:spacing w:after="0"/>
              <w:rPr>
                <w:sz w:val="20"/>
                <w:szCs w:val="20"/>
                <w:color w:val="auto"/>
              </w:rPr>
            </w:pPr>
            <w:r>
              <w:rPr>
                <w:rFonts w:ascii="Arial" w:cs="Arial" w:eastAsia="Arial" w:hAnsi="Arial"/>
                <w:sz w:val="16"/>
                <w:szCs w:val="16"/>
                <w:b w:val="1"/>
                <w:bCs w:val="1"/>
                <w:color w:val="auto"/>
              </w:rPr>
              <w:t>accounts</w:t>
            </w:r>
          </w:p>
        </w:tc>
        <w:tc>
          <w:tcPr>
            <w:tcW w:w="130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30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8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300" w:type="dxa"/>
            <w:vAlign w:val="bottom"/>
            <w:gridSpan w:val="2"/>
          </w:tcPr>
          <w:p>
            <w:pPr>
              <w:jc w:val="right"/>
              <w:ind w:right="354"/>
              <w:spacing w:after="0"/>
              <w:rPr>
                <w:sz w:val="20"/>
                <w:szCs w:val="20"/>
                <w:color w:val="auto"/>
              </w:rPr>
            </w:pPr>
            <w:r>
              <w:rPr>
                <w:rFonts w:ascii="Arial" w:cs="Arial" w:eastAsia="Arial" w:hAnsi="Arial"/>
                <w:sz w:val="16"/>
                <w:szCs w:val="16"/>
                <w:b w:val="1"/>
                <w:bCs w:val="1"/>
                <w:color w:val="auto"/>
              </w:rPr>
              <w:t>2016</w:t>
            </w:r>
          </w:p>
        </w:tc>
      </w:tr>
      <w:tr>
        <w:trPr>
          <w:trHeight w:val="23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4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14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1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6.5063</w:t>
            </w:r>
          </w:p>
        </w:tc>
        <w:tc>
          <w:tcPr>
            <w:tcW w:w="14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6.9430</w:t>
            </w:r>
          </w:p>
        </w:tc>
      </w:tr>
      <w:tr>
        <w:trPr>
          <w:trHeight w:val="26"/>
        </w:trPr>
        <w:tc>
          <w:tcPr>
            <w:tcW w:w="2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Items in the statements of operations and comprehensive loss, and statements cash flows are translated at the average exchange rate of the period.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46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Pr>
          <w:p>
            <w:pPr>
              <w:spacing w:after="0"/>
              <w:rPr>
                <w:sz w:val="18"/>
                <w:szCs w:val="18"/>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6"/>
                <w:szCs w:val="16"/>
                <w:b w:val="1"/>
                <w:bCs w:val="1"/>
                <w:color w:val="auto"/>
              </w:rPr>
              <w:t>Six months ended</w:t>
            </w:r>
          </w:p>
        </w:tc>
      </w:tr>
      <w:tr>
        <w:trPr>
          <w:trHeight w:val="188"/>
        </w:trPr>
        <w:tc>
          <w:tcPr>
            <w:tcW w:w="30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08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Arial" w:cs="Arial" w:eastAsia="Arial" w:hAnsi="Arial"/>
                <w:sz w:val="16"/>
                <w:szCs w:val="16"/>
                <w:b w:val="1"/>
                <w:bCs w:val="1"/>
                <w:color w:val="auto"/>
              </w:rPr>
              <w:t>2017</w:t>
            </w:r>
          </w:p>
        </w:tc>
        <w:tc>
          <w:tcPr>
            <w:tcW w:w="130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80" w:type="dxa"/>
            <w:vAlign w:val="bottom"/>
            <w:gridSpan w:val="2"/>
          </w:tcPr>
          <w:p>
            <w:pPr>
              <w:jc w:val="right"/>
              <w:ind w:right="336"/>
              <w:spacing w:after="0"/>
              <w:rPr>
                <w:sz w:val="20"/>
                <w:szCs w:val="20"/>
                <w:color w:val="auto"/>
              </w:rPr>
            </w:pPr>
            <w:r>
              <w:rPr>
                <w:rFonts w:ascii="Arial" w:cs="Arial" w:eastAsia="Arial" w:hAnsi="Arial"/>
                <w:sz w:val="16"/>
                <w:szCs w:val="16"/>
                <w:b w:val="1"/>
                <w:bCs w:val="1"/>
                <w:color w:val="auto"/>
              </w:rPr>
              <w:t>2017</w:t>
            </w:r>
          </w:p>
        </w:tc>
        <w:tc>
          <w:tcPr>
            <w:tcW w:w="1300" w:type="dxa"/>
            <w:vAlign w:val="bottom"/>
            <w:gridSpan w:val="2"/>
          </w:tcPr>
          <w:p>
            <w:pPr>
              <w:jc w:val="right"/>
              <w:ind w:right="354"/>
              <w:spacing w:after="0"/>
              <w:rPr>
                <w:sz w:val="20"/>
                <w:szCs w:val="20"/>
                <w:color w:val="auto"/>
              </w:rPr>
            </w:pPr>
            <w:r>
              <w:rPr>
                <w:rFonts w:ascii="Arial" w:cs="Arial" w:eastAsia="Arial" w:hAnsi="Arial"/>
                <w:sz w:val="16"/>
                <w:szCs w:val="16"/>
                <w:b w:val="1"/>
                <w:bCs w:val="1"/>
                <w:color w:val="auto"/>
              </w:rPr>
              <w:t>2016</w:t>
            </w:r>
          </w:p>
        </w:tc>
      </w:tr>
      <w:tr>
        <w:trPr>
          <w:trHeight w:val="236"/>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6.7457</w:t>
            </w:r>
          </w:p>
        </w:tc>
      </w:tr>
      <w:tr>
        <w:trPr>
          <w:trHeight w:val="351"/>
        </w:trPr>
        <w:tc>
          <w:tcPr>
            <w:tcW w:w="3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62" w:lineRule="exact"/>
        <w:rPr>
          <w:sz w:val="20"/>
          <w:szCs w:val="20"/>
          <w:color w:val="auto"/>
        </w:rPr>
      </w:pPr>
    </w:p>
    <w:p>
      <w:pPr>
        <w:ind w:left="460" w:right="559" w:firstLine="432"/>
        <w:spacing w:after="0" w:line="312"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66" w:lineRule="exact"/>
        <w:rPr>
          <w:sz w:val="20"/>
          <w:szCs w:val="20"/>
          <w:color w:val="auto"/>
        </w:rPr>
      </w:pPr>
    </w:p>
    <w:p>
      <w:pPr>
        <w:ind w:left="460" w:right="559" w:firstLine="432"/>
        <w:spacing w:after="0" w:line="276" w:lineRule="auto"/>
        <w:rPr>
          <w:sz w:val="20"/>
          <w:szCs w:val="20"/>
          <w:color w:val="auto"/>
        </w:rPr>
      </w:pPr>
      <w:r>
        <w:rPr>
          <w:rFonts w:ascii="Arial" w:cs="Arial" w:eastAsia="Arial" w:hAnsi="Arial"/>
          <w:sz w:val="17"/>
          <w:szCs w:val="17"/>
          <w:color w:val="auto"/>
        </w:rPr>
        <w:t>The following selected consolidated financial and operating data for the fiscal years ended June 30, 2017 and 2016, and the consolidated balance sheet data as of June 30, 2017 and 2016, have been derived from our audited consolidated financial statements included elsewhere in this prospectus. The consolidated financial statements for the six months ended December 31, 2017 and 2016 have been derived from our unaudited consolidated financial statements included elsewhere in this prospectus.</w:t>
      </w:r>
    </w:p>
    <w:p>
      <w:pPr>
        <w:spacing w:after="0" w:line="105"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The following table presents our summary consolidated statements of income and comprehensive income for the fiscal years ended June 30, 2017 and 2016, and six months ended December 31, 2017 and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For the years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jc w:val="center"/>
              <w:ind w:left="73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31,361,976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29,024,178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22,199,995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14,323,938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6"/>
                <w:szCs w:val="16"/>
                <w:color w:val="auto"/>
              </w:rPr>
              <w:t>Less: Cost of revenues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(18,669,812)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(17,463,416)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(13,341,978)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(8,483,897)</w:t>
            </w: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12,692,164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11,560,762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Selling and marketing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1,206,493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1,132,931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282,618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3,562,988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2,006,766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5,647,790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4,955,037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3,064,232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3,032,589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11,087,071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10,947,111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8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1,097,866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Subsidies and other income</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455,009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6"/>
                <w:szCs w:val="16"/>
                <w:color w:val="auto"/>
              </w:rPr>
              <w:t>Income before income tax</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2,102,811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2,054,124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1,451,451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970,931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(118,546)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1,784,971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(41,141)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CLPS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2,047,445</w:t>
            </w:r>
          </w:p>
        </w:tc>
        <w:tc>
          <w:tcPr>
            <w:tcW w:w="140" w:type="dxa"/>
            <w:vAlign w:val="bottom"/>
          </w:tcPr>
          <w:p>
            <w:pPr>
              <w:spacing w:after="0"/>
              <w:rPr>
                <w:sz w:val="14"/>
                <w:szCs w:val="14"/>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1,826,112</w:t>
            </w:r>
          </w:p>
        </w:tc>
        <w:tc>
          <w:tcPr>
            <w:tcW w:w="120" w:type="dxa"/>
            <w:vAlign w:val="bottom"/>
          </w:tcPr>
          <w:p>
            <w:pPr>
              <w:spacing w:after="0"/>
              <w:rPr>
                <w:sz w:val="14"/>
                <w:szCs w:val="14"/>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1,331,329</w:t>
            </w:r>
          </w:p>
        </w:tc>
        <w:tc>
          <w:tcPr>
            <w:tcW w:w="140" w:type="dxa"/>
            <w:vAlign w:val="bottom"/>
          </w:tcPr>
          <w:p>
            <w:pPr>
              <w:spacing w:after="0"/>
              <w:rPr>
                <w:sz w:val="14"/>
                <w:szCs w:val="14"/>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1,025,448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6"/>
                <w:szCs w:val="16"/>
                <w:b w:val="1"/>
                <w:bCs w:val="1"/>
                <w:color w:val="auto"/>
              </w:rPr>
              <w:t>Incorporation’s shareholders</w:t>
            </w:r>
          </w:p>
        </w:tc>
        <w:tc>
          <w:tcPr>
            <w:tcW w:w="2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9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currency translation (loss) gain</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(93,177)</w:t>
            </w:r>
          </w:p>
        </w:tc>
        <w:tc>
          <w:tcPr>
            <w:tcW w:w="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(387,100)</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w w:val="93"/>
              </w:rPr>
              <w:t>Less: foreign currency translation (loss) gain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20,773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attributable to Non-controlling interests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Other comprehensive (loss) income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CLPS Incorporation’s</w:t>
            </w:r>
          </w:p>
        </w:tc>
        <w:tc>
          <w:tcPr>
            <w:tcW w:w="2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(94,909)</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(385,629)</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210,451</w:t>
            </w: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(226,776)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gridSpan w:val="2"/>
            <w:vMerge w:val="continue"/>
            <w:shd w:val="clear" w:color="auto" w:fill="CCEEFF"/>
          </w:tcPr>
          <w:p>
            <w:pPr>
              <w:spacing w:after="0"/>
              <w:rPr>
                <w:sz w:val="20"/>
                <w:szCs w:val="20"/>
                <w:color w:val="auto"/>
              </w:rPr>
            </w:pPr>
          </w:p>
        </w:tc>
        <w:tc>
          <w:tcPr>
            <w:tcW w:w="100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vMerge w:val="continue"/>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6"/>
                <w:szCs w:val="16"/>
                <w:color w:val="auto"/>
              </w:rPr>
              <w:t>CLPS Incorporation shareholders</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1,952,536</w:t>
            </w:r>
          </w:p>
        </w:tc>
        <w:tc>
          <w:tcPr>
            <w:tcW w:w="140" w:type="dxa"/>
            <w:vAlign w:val="bottom"/>
          </w:tcPr>
          <w:p>
            <w:pPr>
              <w:spacing w:after="0"/>
              <w:rPr>
                <w:sz w:val="20"/>
                <w:szCs w:val="20"/>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1,440,483</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1,541,780</w:t>
            </w:r>
          </w:p>
        </w:tc>
        <w:tc>
          <w:tcPr>
            <w:tcW w:w="1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798,672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9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9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Basic and diluted earnings per common</w:t>
            </w: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6"/>
                <w:szCs w:val="16"/>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6"/>
                <w:szCs w:val="16"/>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6"/>
                <w:szCs w:val="16"/>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share*</w:t>
            </w:r>
          </w:p>
        </w:tc>
        <w:tc>
          <w:tcPr>
            <w:tcW w:w="2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9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6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rPr>
              <w:t>Weighted average number of share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11,290,000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outstanding – basic and diluted</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-6276975</wp:posOffset>
            </wp:positionV>
            <wp:extent cx="328485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84855" cy="308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880" w:hanging="418"/>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w:t>
      </w:r>
    </w:p>
    <w:p>
      <w:pPr>
        <w:sectPr>
          <w:pgSz w:w="11900" w:h="16838" w:orient="portrait"/>
          <w:cols w:equalWidth="0" w:num="1">
            <w:col w:w="9019"/>
          </w:cols>
          <w:pgMar w:left="1440" w:top="337"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9" w:name="page50"/>
    <w:bookmarkEnd w:id="49"/>
    <w:p>
      <w:pPr>
        <w:ind w:left="460" w:right="559" w:firstLine="432"/>
        <w:spacing w:after="0" w:line="277" w:lineRule="auto"/>
        <w:rPr>
          <w:sz w:val="20"/>
          <w:szCs w:val="20"/>
          <w:color w:val="auto"/>
        </w:rPr>
      </w:pPr>
      <w:r>
        <w:rPr>
          <w:rFonts w:ascii="Arial" w:cs="Arial" w:eastAsia="Arial" w:hAnsi="Arial"/>
          <w:sz w:val="18"/>
          <w:szCs w:val="18"/>
          <w:color w:val="auto"/>
        </w:rPr>
        <w:t>The following table presents our summary consolidated balance sheet data as of June 30, 2017 and 2016, and December 31, 2017.</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vMerge w:val="restart"/>
          </w:tcPr>
          <w:p>
            <w:pPr>
              <w:jc w:val="right"/>
              <w:ind w:right="691"/>
              <w:spacing w:after="0"/>
              <w:rPr>
                <w:sz w:val="20"/>
                <w:szCs w:val="20"/>
                <w:color w:val="auto"/>
              </w:rPr>
            </w:pPr>
            <w:r>
              <w:rPr>
                <w:rFonts w:ascii="Arial" w:cs="Arial" w:eastAsia="Arial" w:hAnsi="Arial"/>
                <w:sz w:val="16"/>
                <w:szCs w:val="16"/>
                <w:b w:val="1"/>
                <w:bCs w:val="1"/>
                <w:color w:val="auto"/>
              </w:rPr>
              <w:t>As of 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3"/>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Current Assets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12,325,296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9,910,841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16,619,705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13,521,923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10,471,529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17,853,399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8,210,625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6,264,005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10,985,416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CLPS Incorporation’s Shareholders’ Equity</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4,834,188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4,203,490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477,110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492,015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5,311,298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4,207,524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13,521,923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10,471,529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17,853,399</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48</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0" w:name="page51"/>
    <w:bookmarkEnd w:id="50"/>
    <w:p>
      <w:pPr>
        <w:ind w:left="374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144" w:lineRule="exact"/>
        <w:rPr>
          <w:sz w:val="20"/>
          <w:szCs w:val="20"/>
          <w:color w:val="auto"/>
        </w:rPr>
      </w:pPr>
    </w:p>
    <w:p>
      <w:pPr>
        <w:ind w:left="1300" w:hanging="40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ind w:left="1320" w:right="579" w:hanging="425"/>
        <w:spacing w:after="0" w:line="259" w:lineRule="auto"/>
        <w:tabs>
          <w:tab w:leader="none" w:pos="13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to give effect to the sale of 2,000,000 common shares by us in this offering at the assumed initial public offering price of $5.25 per share, after deducting the estimated underwriting commissions and estimated offering expenses and assuming that the underwriters do not exercise their over-allotment option.</w:t>
      </w:r>
    </w:p>
    <w:p>
      <w:pPr>
        <w:spacing w:after="0" w:line="11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Adjusted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As Reported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IPO</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11,290,000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13,290,000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 Value Amount</w:t>
            </w: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7,120,943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15,719,044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905,553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Accumulated Deficit</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(1,414,838)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(1,414,838)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(236,819)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6,375,968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14,974,269</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460" w:right="559" w:firstLine="432"/>
        <w:spacing w:after="0" w:line="297" w:lineRule="auto"/>
        <w:rPr>
          <w:sz w:val="20"/>
          <w:szCs w:val="20"/>
          <w:color w:val="auto"/>
        </w:rPr>
      </w:pPr>
      <w:r>
        <w:rPr>
          <w:rFonts w:ascii="Arial" w:cs="Arial" w:eastAsia="Arial" w:hAnsi="Arial"/>
          <w:sz w:val="16"/>
          <w:szCs w:val="16"/>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December 31, 2017 was $14,974,269, or $1.13 per share. Our pro forma net tangible book value per share set forth below represents our total tangible assets less total liabilities, divided by the number of shares of our share stock outstanding.</w:t>
      </w:r>
    </w:p>
    <w:p>
      <w:pPr>
        <w:spacing w:after="0" w:line="77"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2,000,000 shares in this offering at the initial public offering price of $5.25 per share, after deducting the estimated underwriting discounts and offering expenses payable by us, the pro forma as adjusted net tangible book value as of December 31, 2017 would have been $14,974,269, or $1.13 per share. This represents an immediate increase in net tangible book value to existing shareholders of $0.61 per share. The public offering price per share significantly exceeds the net tangible book value per share. Accordingly, new investors who purchase shares in this offering will suffer an immediate dilution of their investment of $4.12 per share. The following table illustrates this per share dilution to the new investors purchasing shares in this offering:</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Offering</w:t>
            </w:r>
            <w:r>
              <w:rPr>
                <w:rFonts w:ascii="Arial" w:cs="Arial" w:eastAsia="Arial" w:hAnsi="Arial"/>
                <w:sz w:val="27"/>
                <w:szCs w:val="27"/>
                <w:b w:val="1"/>
                <w:bCs w:val="1"/>
                <w:color w:val="auto"/>
                <w:w w:val="94"/>
                <w:vertAlign w:val="superscript"/>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offering price per common share</w:t>
            </w: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tangible book value per common share as of December 31, 2017</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per common share attributable to this offering</w:t>
            </w:r>
          </w:p>
        </w:tc>
        <w:tc>
          <w:tcPr>
            <w:tcW w:w="106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 forma net tangible book value per common share after the offering</w:t>
            </w:r>
          </w:p>
        </w:tc>
        <w:tc>
          <w:tcPr>
            <w:tcW w:w="10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106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9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rPr>
              <w:t>50</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POST-OFFERING OWNERSHIP</w:t>
      </w:r>
    </w:p>
    <w:p>
      <w:pPr>
        <w:spacing w:after="0" w:line="162"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6"/>
                <w:szCs w:val="16"/>
                <w:b w:val="1"/>
                <w:bCs w:val="1"/>
                <w:color w:val="auto"/>
              </w:rPr>
              <w:t>Shares Purchased</w:t>
            </w:r>
          </w:p>
        </w:tc>
        <w:tc>
          <w:tcPr>
            <w:tcW w:w="12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Amount (#)</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Percent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Amount ($)</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Percent (%)</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3"/>
              </w:rPr>
              <w:t>Per Share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7,122,072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New investors</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10,500,000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17,622,072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table below shows what happens when over-allotment option exercised in full:</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6"/>
                <w:szCs w:val="16"/>
                <w:b w:val="1"/>
                <w:bCs w:val="1"/>
                <w:color w:val="auto"/>
              </w:rPr>
              <w:t>Shares Purchased</w:t>
            </w:r>
          </w:p>
        </w:tc>
        <w:tc>
          <w:tcPr>
            <w:tcW w:w="120" w:type="dxa"/>
            <w:vAlign w:val="bottom"/>
          </w:tcPr>
          <w:p>
            <w:pPr>
              <w:spacing w:after="0"/>
              <w:rPr>
                <w:sz w:val="18"/>
                <w:szCs w:val="18"/>
                <w:color w:val="auto"/>
              </w:rPr>
            </w:pPr>
          </w:p>
        </w:tc>
        <w:tc>
          <w:tcPr>
            <w:tcW w:w="24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Amount (#)</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Percent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Amount ($)</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Percent (%)</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3"/>
              </w:rPr>
              <w:t>Per Share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7,122,072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New investors</w:t>
            </w:r>
          </w:p>
        </w:tc>
        <w:tc>
          <w:tcPr>
            <w:tcW w:w="1160" w:type="dxa"/>
            <w:vAlign w:val="bottom"/>
          </w:tcPr>
          <w:p>
            <w:pPr>
              <w:jc w:val="right"/>
              <w:spacing w:after="0"/>
              <w:rPr>
                <w:sz w:val="20"/>
                <w:szCs w:val="20"/>
                <w:color w:val="auto"/>
              </w:rPr>
            </w:pPr>
            <w:r>
              <w:rPr>
                <w:rFonts w:ascii="Arial" w:cs="Arial" w:eastAsia="Arial" w:hAnsi="Arial"/>
                <w:sz w:val="18"/>
                <w:szCs w:val="18"/>
                <w:color w:val="auto"/>
              </w:rPr>
              <w:t>2,300,000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12,075,000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19,197,072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If the underwriters’ over-allotment option of 300,000 shares is exercised in full, the number of shares held by existing stockholders will be reduced to 83.1% of the total number of shares to be outstanding after this offering; and the number of shares held by the new investors will be increased to 2,300,000 shares, or 16.9%, of the total number of shares outstanding after this offering.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43"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 of Company</w:t>
      </w:r>
    </w:p>
    <w:p>
      <w:pPr>
        <w:spacing w:after="0" w:line="144"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11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2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01" w:lineRule="exact"/>
        <w:rPr>
          <w:sz w:val="20"/>
          <w:szCs w:val="20"/>
          <w:color w:val="auto"/>
        </w:rPr>
      </w:pPr>
    </w:p>
    <w:p>
      <w:pPr>
        <w:jc w:val="both"/>
        <w:ind w:left="460" w:right="579" w:firstLine="432"/>
        <w:spacing w:after="0" w:line="264"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14"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contribution of $0.4 million by the end of 2017. On October 17, 2017, the Company acquired 55% of JQ equity interest and its 100% owned subsidiary – JL for a consideration of approximately $0.07 million to operate software consulting business in Taiwan.</w:t>
      </w:r>
    </w:p>
    <w:p>
      <w:pPr>
        <w:spacing w:after="0" w:line="126"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ind w:left="460" w:right="519"/>
        <w:spacing w:after="0" w:line="273" w:lineRule="auto"/>
        <w:rPr>
          <w:sz w:val="20"/>
          <w:szCs w:val="20"/>
          <w:color w:val="auto"/>
        </w:rPr>
      </w:pPr>
      <w:r>
        <w:rPr>
          <w:rFonts w:ascii="Arial" w:cs="Arial" w:eastAsia="Arial" w:hAnsi="Arial"/>
          <w:sz w:val="17"/>
          <w:szCs w:val="17"/>
          <w:color w:val="auto"/>
        </w:rPr>
        <w:t>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97"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7"/>
          <w:szCs w:val="17"/>
          <w:i w:val="1"/>
          <w:iCs w:val="1"/>
          <w:color w:val="auto"/>
        </w:rPr>
        <w:t>Enterprise Software Certification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High-tech Enterprise</w:t>
      </w:r>
      <w:r>
        <w:rPr>
          <w:rFonts w:ascii="Arial" w:cs="Arial" w:eastAsia="Arial" w:hAnsi="Arial"/>
          <w:sz w:val="17"/>
          <w:szCs w:val="17"/>
          <w:color w:val="auto"/>
        </w:rPr>
        <w:t xml:space="preserve">, </w:t>
      </w:r>
      <w:r>
        <w:rPr>
          <w:rFonts w:ascii="Arial" w:cs="Arial" w:eastAsia="Arial" w:hAnsi="Arial"/>
          <w:sz w:val="17"/>
          <w:szCs w:val="17"/>
          <w:i w:val="1"/>
          <w:iCs w:val="1"/>
          <w:color w:val="auto"/>
        </w:rPr>
        <w:t>Little Giant Company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Science and Technology </w:t>
      </w:r>
      <w:r>
        <w:rPr>
          <w:rFonts w:ascii="Arial" w:cs="Arial" w:eastAsia="Arial" w:hAnsi="Arial"/>
          <w:sz w:val="17"/>
          <w:szCs w:val="17"/>
          <w:color w:val="auto"/>
        </w:rPr>
        <w:t>and</w:t>
      </w:r>
      <w:r>
        <w:rPr>
          <w:rFonts w:ascii="Arial" w:cs="Arial" w:eastAsia="Arial" w:hAnsi="Arial"/>
          <w:sz w:val="17"/>
          <w:szCs w:val="17"/>
          <w:i w:val="1"/>
          <w:iCs w:val="1"/>
          <w:color w:val="auto"/>
        </w:rPr>
        <w:t xml:space="preserve"> Professional Talent Development Training Camp</w:t>
      </w:r>
      <w:r>
        <w:rPr>
          <w:rFonts w:ascii="Arial" w:cs="Arial" w:eastAsia="Arial" w:hAnsi="Arial"/>
          <w:sz w:val="17"/>
          <w:szCs w:val="17"/>
          <w:color w:val="auto"/>
        </w:rPr>
        <w:t>. In addition, the Company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recognized as one of the recipients of </w:t>
      </w:r>
      <w:r>
        <w:rPr>
          <w:rFonts w:ascii="Arial" w:cs="Arial" w:eastAsia="Arial" w:hAnsi="Arial"/>
          <w:sz w:val="17"/>
          <w:szCs w:val="17"/>
          <w:i w:val="1"/>
          <w:iCs w:val="1"/>
          <w:color w:val="auto"/>
        </w:rPr>
        <w:t>2017 IDC China Top 25 FinTech Pioneers</w:t>
      </w:r>
      <w:r>
        <w:rPr>
          <w:rFonts w:ascii="Arial" w:cs="Arial" w:eastAsia="Arial" w:hAnsi="Arial"/>
          <w:sz w:val="17"/>
          <w:szCs w:val="17"/>
          <w:color w:val="auto"/>
        </w:rPr>
        <w:t xml:space="preserve"> during the award ceremony spearheaded by IDC on August 25, 2017.</w:t>
      </w:r>
    </w:p>
    <w:p>
      <w:pPr>
        <w:spacing w:after="0" w:line="11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operations are primarily based in China, where we derive a substantial portion of our revenues. For the years ended June 30, 2017 and 2016, our revenues were $31.4 million and $29.0 million, respectively. Revenue generated outside of China was approximately $0.5 million and Nil for fiscal 2017 and 2016,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12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For the six months ended December 31, 2017 and 2016, our revenues were $22.2 million and $14.3 million, respectively. Revenue generated outside of China was approximately $0.7 million and $0.07 million for the six months ended December 31, 2017 and 2016, respectively. For the six months ended December 31 2017 and 2016, we had a net income of approximately $1.3 million and $1.0 million, respectively. Our total assets as of December 31, 2017 were $17.9 million of which cash and cash equivalent amounted to $4.7 million. Our total liabilities as of December 31, 2017 were $11.0 million.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4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103" w:lineRule="exact"/>
        <w:rPr>
          <w:sz w:val="20"/>
          <w:szCs w:val="20"/>
          <w:color w:val="auto"/>
        </w:rPr>
      </w:pPr>
    </w:p>
    <w:p>
      <w:pPr>
        <w:ind w:left="1320" w:right="459" w:hanging="425"/>
        <w:spacing w:after="0" w:line="285" w:lineRule="auto"/>
        <w:tabs>
          <w:tab w:leader="none" w:pos="13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growth was attributable to revenue from our existing clients. During the six months ended December 31, 2017, our revenue derived from our IT consulting services increased by 62.9% or $8.3 million from the six months ended December 31, 2016, all attributable to revenue growth from our new and existing clients. IT consulting service revenue from new clients amounted to approximately $1.5 million for the six months ended December 31, 2017.</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1320" w:right="579" w:hanging="425"/>
        <w:spacing w:after="0" w:line="291" w:lineRule="auto"/>
        <w:tabs>
          <w:tab w:leader="none" w:pos="1302"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 Our revenue derived from our customized IT solution service significantly increased by 99.1% or $0.9 million from fiscal 2016.</w:t>
      </w:r>
    </w:p>
    <w:p>
      <w:pPr>
        <w:spacing w:after="0" w:line="86" w:lineRule="exact"/>
        <w:rPr>
          <w:rFonts w:ascii="Arial" w:cs="Arial" w:eastAsia="Arial" w:hAnsi="Arial"/>
          <w:sz w:val="16"/>
          <w:szCs w:val="16"/>
          <w:color w:val="auto"/>
        </w:rPr>
      </w:pPr>
    </w:p>
    <w:p>
      <w:pPr>
        <w:ind w:left="1320" w:right="539" w:hanging="425"/>
        <w:spacing w:after="0" w:line="257" w:lineRule="auto"/>
        <w:tabs>
          <w:tab w:leader="none" w:pos="13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21" w:lineRule="exact"/>
        <w:rPr>
          <w:sz w:val="20"/>
          <w:szCs w:val="20"/>
          <w:color w:val="auto"/>
        </w:rPr>
      </w:pPr>
    </w:p>
    <w:p>
      <w:pPr>
        <w:ind w:left="460" w:right="519" w:firstLine="432"/>
        <w:spacing w:after="0" w:line="312" w:lineRule="auto"/>
        <w:rPr>
          <w:sz w:val="20"/>
          <w:szCs w:val="20"/>
          <w:color w:val="auto"/>
        </w:rPr>
      </w:pPr>
      <w:r>
        <w:rPr>
          <w:rFonts w:ascii="Arial" w:cs="Arial" w:eastAsia="Arial" w:hAnsi="Arial"/>
          <w:sz w:val="16"/>
          <w:szCs w:val="16"/>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79"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October 17, 2017, the Company acquired 55% of JQ equity interest, and its 100% owned subsidiary</w:t>
      </w:r>
    </w:p>
    <w:p>
      <w:pPr>
        <w:spacing w:after="0" w:line="46" w:lineRule="exact"/>
        <w:rPr>
          <w:sz w:val="20"/>
          <w:szCs w:val="20"/>
          <w:color w:val="auto"/>
        </w:rPr>
      </w:pPr>
    </w:p>
    <w:p>
      <w:pPr>
        <w:ind w:left="460" w:right="619"/>
        <w:spacing w:after="0" w:line="270" w:lineRule="auto"/>
        <w:rPr>
          <w:sz w:val="20"/>
          <w:szCs w:val="20"/>
          <w:color w:val="auto"/>
        </w:rPr>
      </w:pPr>
      <w:r>
        <w:rPr>
          <w:rFonts w:ascii="Arial" w:cs="Arial" w:eastAsia="Arial" w:hAnsi="Arial"/>
          <w:sz w:val="17"/>
          <w:szCs w:val="17"/>
          <w:color w:val="auto"/>
        </w:rPr>
        <w:t>—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158"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6"/>
                <w:szCs w:val="16"/>
                <w:b w:val="1"/>
                <w:bCs w:val="1"/>
                <w:color w:val="auto"/>
              </w:rPr>
              <w:t>June 30, 2017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6"/>
                <w:szCs w:val="16"/>
                <w:b w:val="1"/>
                <w:bCs w:val="1"/>
                <w:color w:val="auto"/>
              </w:rPr>
              <w:t>June 30, 2016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188"/>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74"/>
              <w:spacing w:after="0"/>
              <w:rPr>
                <w:sz w:val="20"/>
                <w:szCs w:val="20"/>
                <w:color w:val="auto"/>
              </w:rPr>
            </w:pPr>
            <w:r>
              <w:rPr>
                <w:rFonts w:ascii="Arial" w:cs="Arial" w:eastAsia="Arial" w:hAnsi="Arial"/>
                <w:sz w:val="16"/>
                <w:szCs w:val="16"/>
                <w:b w:val="1"/>
                <w:bCs w:val="1"/>
                <w:color w:val="auto"/>
              </w:rPr>
              <w:t>As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94"/>
              <w:spacing w:after="0"/>
              <w:rPr>
                <w:sz w:val="20"/>
                <w:szCs w:val="20"/>
                <w:color w:val="auto"/>
              </w:rPr>
            </w:pPr>
            <w:r>
              <w:rPr>
                <w:rFonts w:ascii="Arial" w:cs="Arial" w:eastAsia="Arial" w:hAnsi="Arial"/>
                <w:sz w:val="16"/>
                <w:szCs w:val="16"/>
                <w:b w:val="1"/>
                <w:bCs w:val="1"/>
                <w:color w:val="auto"/>
              </w:rPr>
              <w:t>As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Increase</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of Sales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of Sales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r>
      <w:tr>
        <w:trPr>
          <w:trHeight w:val="236"/>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31,361,976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29,024,178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2,337,798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18,669,812</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17,463,416</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1,206,396</w:t>
            </w:r>
          </w:p>
        </w:tc>
        <w:tc>
          <w:tcPr>
            <w:tcW w:w="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6"/>
        </w:trPr>
        <w:tc>
          <w:tcPr>
            <w:tcW w:w="20" w:type="dxa"/>
            <w:vAlign w:val="bottom"/>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12,692,164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11,560,762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1,131,402</w:t>
            </w: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1,206,493</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413,016</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793,477</w:t>
            </w: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02"/>
        </w:trPr>
        <w:tc>
          <w:tcPr>
            <w:tcW w:w="20" w:type="dxa"/>
            <w:vAlign w:val="bottom"/>
          </w:tcPr>
          <w:p>
            <w:pPr>
              <w:spacing w:after="0"/>
              <w:rPr>
                <w:sz w:val="17"/>
                <w:szCs w:val="17"/>
                <w:color w:val="auto"/>
              </w:rPr>
            </w:pPr>
          </w:p>
        </w:tc>
        <w:tc>
          <w:tcPr>
            <w:tcW w:w="2160" w:type="dxa"/>
            <w:vAlign w:val="bottom"/>
          </w:tcPr>
          <w:p>
            <w:pPr>
              <w:ind w:left="160"/>
              <w:spacing w:after="0" w:line="201" w:lineRule="exact"/>
              <w:rPr>
                <w:sz w:val="20"/>
                <w:szCs w:val="20"/>
                <w:color w:val="auto"/>
              </w:rPr>
            </w:pPr>
            <w:r>
              <w:rPr>
                <w:rFonts w:ascii="Arial" w:cs="Arial" w:eastAsia="Arial" w:hAnsi="Arial"/>
                <w:sz w:val="18"/>
                <w:szCs w:val="18"/>
                <w:color w:val="auto"/>
                <w:w w:val="89"/>
              </w:rPr>
              <w:t>Research and development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4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4,232,788</w:t>
            </w: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5,579,058</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(1,346,270)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41"/>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General and administrative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5,647,790</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4,955,037</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692,753</w:t>
            </w: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4"/>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11,087,071</w:t>
            </w: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10,947,111</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139,960</w:t>
            </w: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6"/>
        </w:trPr>
        <w:tc>
          <w:tcPr>
            <w:tcW w:w="20" w:type="dxa"/>
            <w:vAlign w:val="bottom"/>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1,605,093</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613,651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991,442</w:t>
            </w: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43"/>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Subsidies and other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(938,221)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(10,469)</w:t>
            </w:r>
          </w:p>
        </w:tc>
        <w:tc>
          <w:tcPr>
            <w:tcW w:w="100" w:type="dxa"/>
            <w:vAlign w:val="bottom"/>
          </w:tcPr>
          <w:p>
            <w:pPr>
              <w:spacing w:after="0"/>
              <w:rPr>
                <w:sz w:val="20"/>
                <w:szCs w:val="20"/>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(5,935)</w:t>
            </w:r>
          </w:p>
        </w:tc>
        <w:tc>
          <w:tcPr>
            <w:tcW w:w="80" w:type="dxa"/>
            <w:vAlign w:val="bottom"/>
          </w:tcPr>
          <w:p>
            <w:pPr>
              <w:spacing w:after="0"/>
              <w:rPr>
                <w:sz w:val="20"/>
                <w:szCs w:val="20"/>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76.4%</w:t>
            </w:r>
          </w:p>
        </w:tc>
      </w:tr>
      <w:tr>
        <w:trPr>
          <w:trHeight w:val="26"/>
        </w:trPr>
        <w:tc>
          <w:tcPr>
            <w:tcW w:w="20" w:type="dxa"/>
            <w:vAlign w:val="bottom"/>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Income before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2,054,124</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Provision (benefit) for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(118,546)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269,153</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(387,699)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(144.0)%</w:t>
            </w:r>
          </w:p>
        </w:tc>
      </w:tr>
      <w:tr>
        <w:trPr>
          <w:trHeight w:val="41"/>
        </w:trPr>
        <w:tc>
          <w:tcPr>
            <w:tcW w:w="218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55"/>
        </w:trPr>
        <w:tc>
          <w:tcPr>
            <w:tcW w:w="20" w:type="dxa"/>
            <w:vAlign w:val="bottom"/>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436,386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97" w:lineRule="auto"/>
        <w:rPr>
          <w:sz w:val="20"/>
          <w:szCs w:val="20"/>
          <w:color w:val="auto"/>
        </w:rPr>
      </w:pPr>
      <w:r>
        <w:rPr>
          <w:rFonts w:ascii="Arial" w:cs="Arial" w:eastAsia="Arial" w:hAnsi="Arial"/>
          <w:sz w:val="16"/>
          <w:szCs w:val="16"/>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91"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97" w:lineRule="exact"/>
        <w:rPr>
          <w:sz w:val="20"/>
          <w:szCs w:val="20"/>
          <w:color w:val="auto"/>
        </w:rPr>
      </w:pPr>
    </w:p>
    <w:p>
      <w:pPr>
        <w:ind w:left="460" w:right="479" w:firstLine="432"/>
        <w:spacing w:after="0" w:line="264" w:lineRule="auto"/>
        <w:rPr>
          <w:sz w:val="20"/>
          <w:szCs w:val="20"/>
          <w:color w:val="auto"/>
        </w:rPr>
      </w:pPr>
      <w:r>
        <w:rPr>
          <w:rFonts w:ascii="Arial" w:cs="Arial" w:eastAsia="Arial" w:hAnsi="Arial"/>
          <w:sz w:val="18"/>
          <w:szCs w:val="18"/>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7" w:name="page58"/>
    <w:bookmarkEnd w:id="57"/>
    <w:p>
      <w:pPr>
        <w:ind w:left="90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3"/>
              </w:rPr>
              <w:t>For the Year ended June 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 of total</w:t>
            </w: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 of total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Revenue</w:t>
            </w:r>
          </w:p>
        </w:tc>
        <w:tc>
          <w:tcPr>
            <w:tcW w:w="7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Revenue</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Revenue</w:t>
            </w:r>
          </w:p>
        </w:tc>
        <w:tc>
          <w:tcPr>
            <w:tcW w:w="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Variance</w:t>
            </w:r>
          </w:p>
        </w:tc>
        <w:tc>
          <w:tcPr>
            <w:tcW w:w="880" w:type="dxa"/>
            <w:vAlign w:val="bottom"/>
            <w:gridSpan w:val="2"/>
          </w:tcPr>
          <w:p>
            <w:pPr>
              <w:jc w:val="right"/>
              <w:ind w:right="2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$ 29,146,470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$ 28,015,173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1,131,297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3"/>
              </w:rPr>
              <w:t>Customized IT solution service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1,846,423</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927,185</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919,238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$ 31,361,976</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$ 29,024,178</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2,337,798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1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26"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is consistently around 60% for both fiscal 2017 and 2016. Our total number of employees grew from 1,055 employees as of June 30, 2016 to 1,242 employees as of June 30, 2017.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58" w:lineRule="exact"/>
        <w:rPr>
          <w:sz w:val="20"/>
          <w:szCs w:val="20"/>
          <w:color w:val="auto"/>
        </w:rPr>
      </w:pPr>
    </w:p>
    <w:p>
      <w:pPr>
        <w:ind w:left="460" w:right="639" w:firstLine="432"/>
        <w:spacing w:after="0" w:line="264"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right="459" w:firstLine="432"/>
        <w:spacing w:after="0" w:line="255"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left="460" w:right="559" w:firstLine="432"/>
        <w:spacing w:after="0" w:line="312" w:lineRule="auto"/>
        <w:rPr>
          <w:sz w:val="20"/>
          <w:szCs w:val="20"/>
          <w:color w:val="auto"/>
        </w:rPr>
      </w:pPr>
      <w:r>
        <w:rPr>
          <w:rFonts w:ascii="Arial" w:cs="Arial" w:eastAsia="Arial" w:hAnsi="Arial"/>
          <w:sz w:val="16"/>
          <w:szCs w:val="16"/>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7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right="539"/>
        <w:spacing w:after="0" w:line="264" w:lineRule="auto"/>
        <w:rPr>
          <w:sz w:val="20"/>
          <w:szCs w:val="20"/>
          <w:color w:val="auto"/>
        </w:rPr>
      </w:pPr>
      <w:r>
        <w:rPr>
          <w:rFonts w:ascii="Arial" w:cs="Arial" w:eastAsia="Arial" w:hAnsi="Arial"/>
          <w:sz w:val="18"/>
          <w:szCs w:val="18"/>
          <w:color w:val="auto"/>
        </w:rPr>
        <w:t>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144" w:lineRule="exact"/>
        <w:rPr>
          <w:sz w:val="20"/>
          <w:szCs w:val="20"/>
          <w:color w:val="auto"/>
        </w:rPr>
      </w:pPr>
    </w:p>
    <w:p>
      <w:pPr>
        <w:ind w:left="460" w:right="879" w:firstLine="432"/>
        <w:spacing w:after="0" w:line="286" w:lineRule="auto"/>
        <w:rPr>
          <w:sz w:val="20"/>
          <w:szCs w:val="20"/>
          <w:color w:val="auto"/>
        </w:rPr>
      </w:pPr>
      <w:r>
        <w:rPr>
          <w:rFonts w:ascii="Arial" w:cs="Arial" w:eastAsia="Arial" w:hAnsi="Arial"/>
          <w:sz w:val="17"/>
          <w:szCs w:val="17"/>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the Six Months Ended December 31, 2017 and 2016</w:t>
      </w:r>
    </w:p>
    <w:p>
      <w:pPr>
        <w:spacing w:after="0" w:line="158" w:lineRule="exact"/>
        <w:rPr>
          <w:sz w:val="20"/>
          <w:szCs w:val="20"/>
          <w:color w:val="auto"/>
        </w:rPr>
      </w:pPr>
    </w:p>
    <w:p>
      <w:pPr>
        <w:ind w:left="460" w:right="459" w:firstLine="432"/>
        <w:spacing w:after="0" w:line="264" w:lineRule="auto"/>
        <w:rPr>
          <w:sz w:val="20"/>
          <w:szCs w:val="20"/>
          <w:color w:val="auto"/>
        </w:rPr>
      </w:pPr>
      <w:r>
        <w:rPr>
          <w:rFonts w:ascii="Arial" w:cs="Arial" w:eastAsia="Arial" w:hAnsi="Arial"/>
          <w:sz w:val="18"/>
          <w:szCs w:val="18"/>
          <w:color w:val="auto"/>
        </w:rPr>
        <w:t>The following table summarizes the results of our operations for the six months ended December 31, 2017 and 2016, respectively, and provides information regarding the dollar and percentage increase or (decrease) during such periods.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4"/>
          </w:tcPr>
          <w:p>
            <w:pPr>
              <w:jc w:val="center"/>
              <w:ind w:right="56"/>
              <w:spacing w:after="0"/>
              <w:rPr>
                <w:sz w:val="20"/>
                <w:szCs w:val="20"/>
                <w:color w:val="auto"/>
              </w:rPr>
            </w:pPr>
            <w:r>
              <w:rPr>
                <w:rFonts w:ascii="Arial" w:cs="Arial" w:eastAsia="Arial" w:hAnsi="Arial"/>
                <w:sz w:val="16"/>
                <w:szCs w:val="16"/>
                <w:b w:val="1"/>
                <w:bCs w:val="1"/>
                <w:color w:val="auto"/>
                <w:w w:val="88"/>
              </w:rPr>
              <w:t>Six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center"/>
              <w:ind w:right="54"/>
              <w:spacing w:after="0"/>
              <w:rPr>
                <w:sz w:val="20"/>
                <w:szCs w:val="20"/>
                <w:color w:val="auto"/>
              </w:rPr>
            </w:pPr>
            <w:r>
              <w:rPr>
                <w:rFonts w:ascii="Arial" w:cs="Arial" w:eastAsia="Arial" w:hAnsi="Arial"/>
                <w:sz w:val="16"/>
                <w:szCs w:val="16"/>
                <w:b w:val="1"/>
                <w:bCs w:val="1"/>
                <w:color w:val="auto"/>
                <w:w w:val="89"/>
              </w:rPr>
              <w:t>Six months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4"/>
          </w:tcPr>
          <w:p>
            <w:pPr>
              <w:jc w:val="center"/>
              <w:ind w:right="36"/>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center"/>
              <w:ind w:right="54"/>
              <w:spacing w:after="0"/>
              <w:rPr>
                <w:sz w:val="20"/>
                <w:szCs w:val="20"/>
                <w:color w:val="auto"/>
              </w:rPr>
            </w:pPr>
            <w:r>
              <w:rPr>
                <w:rFonts w:ascii="Arial" w:cs="Arial" w:eastAsia="Arial" w:hAnsi="Arial"/>
                <w:sz w:val="16"/>
                <w:szCs w:val="16"/>
                <w:b w:val="1"/>
                <w:bCs w:val="1"/>
                <w:color w:val="auto"/>
                <w:w w:val="91"/>
              </w:rPr>
              <w:t>December 31, 2016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6"/>
              <w:spacing w:after="0" w:line="182" w:lineRule="exact"/>
              <w:rPr>
                <w:sz w:val="20"/>
                <w:szCs w:val="20"/>
                <w:color w:val="auto"/>
              </w:rPr>
            </w:pPr>
            <w:r>
              <w:rPr>
                <w:rFonts w:ascii="Arial" w:cs="Arial" w:eastAsia="Arial" w:hAnsi="Arial"/>
                <w:sz w:val="16"/>
                <w:szCs w:val="16"/>
                <w:b w:val="1"/>
                <w:bCs w:val="1"/>
                <w:color w:val="auto"/>
              </w:rPr>
              <w:t>As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94"/>
              <w:spacing w:after="0" w:line="182" w:lineRule="exact"/>
              <w:rPr>
                <w:sz w:val="20"/>
                <w:szCs w:val="20"/>
                <w:color w:val="auto"/>
              </w:rPr>
            </w:pPr>
            <w:r>
              <w:rPr>
                <w:rFonts w:ascii="Arial" w:cs="Arial" w:eastAsia="Arial" w:hAnsi="Arial"/>
                <w:sz w:val="16"/>
                <w:szCs w:val="16"/>
                <w:b w:val="1"/>
                <w:bCs w:val="1"/>
                <w:color w:val="auto"/>
              </w:rPr>
              <w:t>As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Increase</w:t>
            </w:r>
          </w:p>
        </w:tc>
        <w:tc>
          <w:tcPr>
            <w:tcW w:w="10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97"/>
              </w:rPr>
              <w:t>of Sales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w w:val="97"/>
              </w:rPr>
              <w:t>of Sales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(Decrease)</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22,199,995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14,323,938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7,876,057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13,341,978</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8,483,897</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4,858,081</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3,017,976</w:t>
            </w: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1,132,931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282,618</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850,313</w:t>
            </w: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ind w:left="160"/>
              <w:spacing w:after="0" w:line="201" w:lineRule="exact"/>
              <w:rPr>
                <w:sz w:val="20"/>
                <w:szCs w:val="20"/>
                <w:color w:val="auto"/>
              </w:rPr>
            </w:pPr>
            <w:r>
              <w:rPr>
                <w:rFonts w:ascii="Arial" w:cs="Arial" w:eastAsia="Arial" w:hAnsi="Arial"/>
                <w:sz w:val="18"/>
                <w:szCs w:val="18"/>
                <w:color w:val="auto"/>
                <w:w w:val="90"/>
              </w:rPr>
              <w:t>Research and development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3,562,988</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2,006,766</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1,556,222</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General and administrative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3,064,232</w:t>
            </w: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3,032,589</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7,760,151</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5,321,973</w:t>
            </w: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2,438,178</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1,097,866</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518,068</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579,798</w:t>
            </w: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Subsidies and other income</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455,009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(88,211)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20"/>
                <w:szCs w:val="20"/>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11,067</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Income before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1,451,451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970,931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480,520</w:t>
            </w: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Provision (benefit) for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126,060</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180,102</w:t>
            </w:r>
          </w:p>
        </w:tc>
        <w:tc>
          <w:tcPr>
            <w:tcW w:w="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41"/>
        </w:trPr>
        <w:tc>
          <w:tcPr>
            <w:tcW w:w="220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1,325,391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300,418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19" w:firstLine="432"/>
        <w:spacing w:after="0" w:line="297" w:lineRule="auto"/>
        <w:rPr>
          <w:sz w:val="20"/>
          <w:szCs w:val="20"/>
          <w:color w:val="auto"/>
        </w:rPr>
      </w:pPr>
      <w:r>
        <w:rPr>
          <w:rFonts w:ascii="Arial" w:cs="Arial" w:eastAsia="Arial" w:hAnsi="Arial"/>
          <w:sz w:val="16"/>
          <w:szCs w:val="16"/>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right="599" w:firstLine="432"/>
        <w:spacing w:after="0" w:line="273" w:lineRule="auto"/>
        <w:rPr>
          <w:sz w:val="20"/>
          <w:szCs w:val="20"/>
          <w:color w:val="auto"/>
        </w:rPr>
      </w:pPr>
      <w:r>
        <w:rPr>
          <w:rFonts w:ascii="Arial" w:cs="Arial" w:eastAsia="Arial" w:hAnsi="Arial"/>
          <w:sz w:val="17"/>
          <w:szCs w:val="17"/>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97" w:lineRule="exact"/>
        <w:rPr>
          <w:sz w:val="20"/>
          <w:szCs w:val="20"/>
          <w:color w:val="auto"/>
        </w:rPr>
      </w:pPr>
    </w:p>
    <w:p>
      <w:pPr>
        <w:ind w:left="460" w:right="559" w:firstLine="432"/>
        <w:spacing w:after="0" w:line="312" w:lineRule="auto"/>
        <w:rPr>
          <w:sz w:val="20"/>
          <w:szCs w:val="20"/>
          <w:color w:val="auto"/>
        </w:rPr>
      </w:pPr>
      <w:r>
        <w:rPr>
          <w:rFonts w:ascii="Arial" w:cs="Arial" w:eastAsia="Arial" w:hAnsi="Arial"/>
          <w:sz w:val="16"/>
          <w:szCs w:val="16"/>
          <w:color w:val="auto"/>
        </w:rPr>
        <w:t>For the six months ended December 31,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11"/>
          </w:tcPr>
          <w:p>
            <w:pPr>
              <w:jc w:val="right"/>
              <w:ind w:right="520"/>
              <w:spacing w:after="0"/>
              <w:rPr>
                <w:sz w:val="20"/>
                <w:szCs w:val="20"/>
                <w:color w:val="auto"/>
              </w:rPr>
            </w:pPr>
            <w:r>
              <w:rPr>
                <w:rFonts w:ascii="Arial" w:cs="Arial" w:eastAsia="Arial" w:hAnsi="Arial"/>
                <w:sz w:val="16"/>
                <w:szCs w:val="16"/>
                <w:b w:val="1"/>
                <w:bCs w:val="1"/>
                <w:color w:val="auto"/>
                <w:w w:val="95"/>
              </w:rPr>
              <w:t>For the six months ended December 31, 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60" w:type="dxa"/>
            <w:vAlign w:val="bottom"/>
          </w:tcPr>
          <w:p>
            <w:pPr>
              <w:spacing w:after="0"/>
              <w:rPr>
                <w:sz w:val="21"/>
                <w:szCs w:val="21"/>
                <w:color w:val="auto"/>
              </w:rPr>
            </w:pPr>
          </w:p>
        </w:tc>
        <w:tc>
          <w:tcPr>
            <w:tcW w:w="1920" w:type="dxa"/>
            <w:vAlign w:val="bottom"/>
            <w:gridSpan w:val="5"/>
          </w:tcPr>
          <w:p>
            <w:pPr>
              <w:jc w:val="center"/>
              <w:ind w:right="30"/>
              <w:spacing w:after="0"/>
              <w:rPr>
                <w:sz w:val="20"/>
                <w:szCs w:val="20"/>
                <w:color w:val="auto"/>
              </w:rPr>
            </w:pPr>
            <w:r>
              <w:rPr>
                <w:rFonts w:ascii="Arial" w:cs="Arial" w:eastAsia="Arial" w:hAnsi="Arial"/>
                <w:sz w:val="16"/>
                <w:szCs w:val="16"/>
                <w:b w:val="1"/>
                <w:bCs w:val="1"/>
                <w:color w:val="auto"/>
                <w:w w:val="94"/>
              </w:rPr>
              <w:t>(Unaudited)</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 of total</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4"/>
              </w:rPr>
              <w:t>% of total</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Revenue</w:t>
            </w:r>
          </w:p>
        </w:tc>
        <w:tc>
          <w:tcPr>
            <w:tcW w:w="8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8"/>
              </w:rPr>
              <w:t>Revenue</w:t>
            </w:r>
          </w:p>
        </w:tc>
        <w:tc>
          <w:tcPr>
            <w:tcW w:w="6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Revenue</w:t>
            </w:r>
          </w:p>
        </w:tc>
        <w:tc>
          <w:tcPr>
            <w:tcW w:w="8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2"/>
              </w:rPr>
              <w:t>Revenue</w:t>
            </w:r>
          </w:p>
        </w:tc>
        <w:tc>
          <w:tcPr>
            <w:tcW w:w="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Variance</w:t>
            </w:r>
          </w:p>
        </w:tc>
        <w:tc>
          <w:tcPr>
            <w:tcW w:w="80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$ 21,632,609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$ 13,282,841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$ 8,349,768</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3"/>
              </w:rPr>
              <w:t>Customized IT solution service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524,220</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760,599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(236,379)</w:t>
            </w: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43,166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280,498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(237,332)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$ 22,199,995</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$ 14,323,938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$ 7,876,057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-1259840</wp:posOffset>
            </wp:positionV>
            <wp:extent cx="3704590" cy="574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04590" cy="574675"/>
                    </a:xfrm>
                    <a:prstGeom prst="rect">
                      <a:avLst/>
                    </a:prstGeom>
                    <a:noFill/>
                  </pic:spPr>
                </pic:pic>
              </a:graphicData>
            </a:graphic>
          </wp:anchor>
        </w:drawing>
      </w:r>
    </w:p>
    <w:p>
      <w:pPr>
        <w:spacing w:after="0" w:line="155" w:lineRule="exact"/>
        <w:rPr>
          <w:sz w:val="20"/>
          <w:szCs w:val="20"/>
          <w:color w:val="auto"/>
        </w:rPr>
      </w:pPr>
    </w:p>
    <w:p>
      <w:pPr>
        <w:ind w:left="460" w:right="459" w:firstLine="432"/>
        <w:spacing w:after="0" w:line="312" w:lineRule="auto"/>
        <w:rPr>
          <w:sz w:val="20"/>
          <w:szCs w:val="20"/>
          <w:color w:val="auto"/>
        </w:rPr>
      </w:pPr>
      <w:r>
        <w:rPr>
          <w:rFonts w:ascii="Arial" w:cs="Arial" w:eastAsia="Arial" w:hAnsi="Arial"/>
          <w:sz w:val="16"/>
          <w:szCs w:val="16"/>
          <w:color w:val="auto"/>
        </w:rPr>
        <w:t>Our total revenues increased by approximately $7.9 million, or 55%, to approximately $22.2 million for the six months ended December 31, 2017 from approximately $14.3 million for the six months ended December 31, 2016. The overall growth in our revenues reflected an increase in revenues from our IT consulting service.</w:t>
      </w:r>
    </w:p>
    <w:p>
      <w:pPr>
        <w:spacing w:after="0" w:line="66"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the six months ended December 31, 2017, revenue derived from our IT consulting services increased by 62.9% to $21.6 million from $13.3 million for the six months ended December 31, 2016, primarily reflecting the increasing demand for our IT consulting service from banks and other financial institutions. For the six months ended December 31, 2017 and 2016, 46.1% and 56.5%, respectively, of our IT consulting service revenue were from international banks. For the six months ended December 31, 2017, we strengthened our expertise in the financial industry to leverage our existing industry knowledge and grew our customer base of local Chinese financial institutions.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cost of revenues mainly consists of compensation and benefit expenses for our IT professionals, travel expenses and material costs. Our cost of revenues increased by $4.9 million or 57.3% to approximately $13.3 million for the six months ended December 31, 2017 from approximately $8.5 million for the six months ended December 31, 2016, primarily as a result of increased headcount, expanded office facilities and increased depreciation and amortization expenses to support the growth of our business. As a percentage of revenues, our cost of revenues is consistently around 60% for both periods of 2017 and 2016. Our total number of employees grew from 1,179 employees as of December 31, 2016 to 1,586 employees as of December 31, 2017.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Our gross profit increased by $3 million, or 51.7%, to approximately $8.8 million for the six months ended December 31, 2017 from approximately $5.8 million for the six months ended December 31, 2016. As a percentage of revenues, our gross margin slightly decreased from 40.8% for the six months ended December 31, 2016 to 39.9% for the six months ended December 31, 2017.</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44" w:lineRule="exact"/>
        <w:rPr>
          <w:sz w:val="20"/>
          <w:szCs w:val="20"/>
          <w:color w:val="auto"/>
        </w:rPr>
      </w:pPr>
    </w:p>
    <w:p>
      <w:pPr>
        <w:ind w:left="460" w:right="639" w:firstLine="432"/>
        <w:spacing w:after="0" w:line="264"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right="499" w:firstLine="432"/>
        <w:spacing w:after="0" w:line="271" w:lineRule="auto"/>
        <w:rPr>
          <w:sz w:val="20"/>
          <w:szCs w:val="20"/>
          <w:color w:val="auto"/>
        </w:rPr>
      </w:pPr>
      <w:r>
        <w:rPr>
          <w:rFonts w:ascii="Arial" w:cs="Arial" w:eastAsia="Arial" w:hAnsi="Arial"/>
          <w:sz w:val="17"/>
          <w:szCs w:val="17"/>
          <w:color w:val="auto"/>
        </w:rPr>
        <w:t>Selling and marketing expenses increased by $0.8 million or 300.9% from $0.3 million for the six months ended December 31, 2016 to $1.1 million for the six months ended December 31, 2017. The increase was primarily attributable to our expansion of the pre-sales and marketing teams in Shanghai and Dalian, China to support our operations. Accordingly, as a percentage of sales, our selling expenses were 5.1% of revenues for the six months ended December 31, 2017 as compared to 2.0% for the six months ended December 31,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4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R&amp;D expenses primarily consisted of compensation and benefit expenses relating to our research and development personnel as well as office overhead and other expenses relating to our R&amp;D activities. Our R&amp;D expenses increased by $1.6 million from $2.0 million for the six months ended December 31, 2016 to $3.6 million for the six months ended December 31, 2017, representing 16.0% and 14.0% of our total revenues for the period of 2017 and 2016, respectively. The increased R&amp;D expense for the six months ended December 31, 2017 was attributable to the two research projects on office automation system and big data platform for decision-making. We expect to increase our investment in research and development to enhance our industry knowledge, improve our competitiveness and enable us to identify attractive market opportunities for new and enhanced services and solutions.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left="460" w:right="559" w:firstLine="432"/>
        <w:spacing w:after="0" w:line="312" w:lineRule="auto"/>
        <w:rPr>
          <w:sz w:val="20"/>
          <w:szCs w:val="20"/>
          <w:color w:val="auto"/>
        </w:rPr>
      </w:pPr>
      <w:r>
        <w:rPr>
          <w:rFonts w:ascii="Arial" w:cs="Arial" w:eastAsia="Arial" w:hAnsi="Arial"/>
          <w:sz w:val="16"/>
          <w:szCs w:val="16"/>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79"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General and administrative expenses increased by $0.03 million or 1.0% from approximately $3.0 million for the six months ended December 31, 2016 to approximately $3.1 million for the six months ended December 31, 2017. As a percentage of revenues, general and administrative expenses were 13.8% and 21.2% of our revenue for the six months ended December 31, 2017 and 2016,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144"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$0.3 million and $0.4 million for the six months ended December 31, 2017 and 2016, respectively. The decrease in government subsidies in fiscal 2017 was because the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5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Our income before income taxes was approximately $1.5 million for the six months ended December 31, 2017, an increase of 49.5% compared with the period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provision for income taxes expense was $0.1 million for the six months ended December 31, 2017, compared to $0.05 million income tax benefit for the six months ended December 31, 2016. Our current income tax provision decreased by approximately $0.05 million. The increase of $0.2 million in deferred tax expense was due to an increase in our deferred tax liabilities as a result an increase in unbilled accounts receivables from our subsidiaries.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Our net income was approximately $1.3 million for the six months ended December 31, 2017, an increase of $0.3 million with $1.0 million for the six months ended December 31, 2016. For the six months ended December 31, 2017, income tax provision increased but government subsidies decreased as compared to the period of 2016 as mentioned above.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44"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Foreign currency translation adjustments amounted to a gain of $0.2 million for the six months ended December 31, 2017 and a loss of $0.2 million for the six months ended December 31, 2016, respectively. The balance sheet amounts with the exception of equity as of December 31, 2017 were translated at 6.5063 RMB to 1.00 USD as compared to 6.9430 RMB to 1.00 USD as of December 31, 2016. The equity accounts were stated at their historical rate. The average translation rates applied to the income statements accounts for the periods ended December 31, 2017 and 2016 were 6.6412 RMB to 1.00 USD and 6.7457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As of December 31, 2017, we had cash and cash equivalents of approximately $4.7 million. Our current assets were approximately $16.6 million, and our current liabilities were approximately $11.0 million. Total shareholders’ equity as of December 31, 2017 was approximately $6.9 million. We believe that we will have sufficient working capital to operate our business for the next 12 months.</w:t>
      </w:r>
    </w:p>
    <w:p>
      <w:pPr>
        <w:spacing w:after="0" w:line="104" w:lineRule="exact"/>
        <w:rPr>
          <w:sz w:val="20"/>
          <w:szCs w:val="20"/>
          <w:color w:val="auto"/>
        </w:rPr>
      </w:pPr>
    </w:p>
    <w:p>
      <w:pPr>
        <w:ind w:left="460" w:right="579" w:firstLine="432"/>
        <w:spacing w:after="0" w:line="264" w:lineRule="auto"/>
        <w:rPr>
          <w:sz w:val="20"/>
          <w:szCs w:val="20"/>
          <w:color w:val="auto"/>
        </w:rPr>
      </w:pPr>
      <w:r>
        <w:rPr>
          <w:rFonts w:ascii="Arial" w:cs="Arial" w:eastAsia="Arial" w:hAnsi="Arial"/>
          <w:sz w:val="18"/>
          <w:szCs w:val="18"/>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w:t>
      </w:r>
    </w:p>
    <w:p>
      <w:pPr>
        <w:spacing w:after="0" w:line="10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2017, cash and cash equivalents of approximately $4.2 million, $0.1 million, $0.1 million and $0.4 million were held by the Company and its subsidiaries in mainland PRC, Singapore, Australia and Hong Kong, respectively. As of December 31, 2017, the Company had $ 4,384,139, $ 47,432, $ 44,794, $134,880 and $ 47,792 of cash and cash equivalents on deposit at financial institutions in mainland PRC, Singapore, Australia, Hong Kong and Taiwan,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15"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Our operating cash flow was negative for the six months ended December 31, 2017 but positive for the period of 2016. We have historically funded our working capital needs primarily from operations, advance payments from customers and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3" w:name="page64"/>
    <w:bookmarkEnd w:id="63"/>
    <w:p>
      <w:pPr>
        <w:ind w:left="900"/>
        <w:spacing w:after="0"/>
        <w:rPr>
          <w:sz w:val="20"/>
          <w:szCs w:val="20"/>
          <w:color w:val="auto"/>
        </w:rPr>
      </w:pPr>
      <w:r>
        <w:rPr>
          <w:rFonts w:ascii="Arial" w:cs="Arial" w:eastAsia="Arial" w:hAnsi="Arial"/>
          <w:sz w:val="18"/>
          <w:szCs w:val="18"/>
          <w:color w:val="auto"/>
        </w:rPr>
        <w:t>The following table sets forth summary of our cash flows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For The Years Ended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13"/>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20"/>
                <w:szCs w:val="20"/>
                <w:color w:val="auto"/>
              </w:rPr>
            </w:pPr>
          </w:p>
        </w:tc>
        <w:tc>
          <w:tcPr>
            <w:tcW w:w="100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263"/>
        </w:trPr>
        <w:tc>
          <w:tcPr>
            <w:tcW w:w="2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Net cash provided by (used in) operating activities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624,344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$ 4,462,268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shd w:val="clear" w:color="auto" w:fill="CCEEFF"/>
              </w:rPr>
              <w:t>(137,467)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740,065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3"/>
              </w:rPr>
              <w:t>Net cash (used in) provided by investing activities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(101,218)</w:t>
            </w:r>
          </w:p>
        </w:tc>
        <w:tc>
          <w:tcPr>
            <w:tcW w:w="11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(374,348)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(219,693)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236,476</w:t>
            </w:r>
          </w:p>
        </w:tc>
        <w:tc>
          <w:tcPr>
            <w:tcW w:w="12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cash (used in) provided by financing activities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(832,752)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(153,002)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(120,034)</w:t>
            </w:r>
          </w:p>
        </w:tc>
        <w:tc>
          <w:tcPr>
            <w:tcW w:w="120" w:type="dxa"/>
            <w:vAlign w:val="bottom"/>
          </w:tcPr>
          <w:p>
            <w:pPr>
              <w:spacing w:after="0"/>
              <w:rPr>
                <w:sz w:val="19"/>
                <w:szCs w:val="19"/>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(462,628)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(155,531)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1,026,739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7"/>
              </w:rPr>
              <w:t>Cash and cash equivalents, beginning 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5,277,196</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1,795,884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4,814,568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5,277,196</w:t>
            </w:r>
          </w:p>
        </w:tc>
        <w:tc>
          <w:tcPr>
            <w:tcW w:w="120" w:type="dxa"/>
            <w:vAlign w:val="bottom"/>
          </w:tcPr>
          <w:p>
            <w:pPr>
              <w:spacing w:after="0"/>
              <w:rPr>
                <w:sz w:val="20"/>
                <w:szCs w:val="20"/>
                <w:color w:val="auto"/>
              </w:rPr>
            </w:pPr>
          </w:p>
        </w:tc>
      </w:tr>
      <w:tr>
        <w:trPr>
          <w:trHeight w:val="26"/>
        </w:trPr>
        <w:tc>
          <w:tcPr>
            <w:tcW w:w="37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4,814,568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$ 5,277,196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4,659,037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6,303,935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pacing w:after="0" w:line="9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97"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Net cash used in operating activities was approximately $0.1 million for the six months ended December 31, 2017, including net income of $1.3 million, adjusted for non-cash items of $0.2 million and negative adjustments for changes in operating assets and liabilities of $1.6 million. The adjustments for changes in operating assets and liabilities mainly included an increase in accounts receivable of $4.1 million due to increased sales for the six months ended December 31, 2017. For the six months ended December 31, 2017, our revenue turnover in days was 72 days, an increase from 65 days for the period of 2016. The adjustments for changes in operating assets and liabilities also included an increase in deferred costs of $0.2 million for project progress, and offset with an increase in salaries and benefits payable of $1.8 million due to unpaid employee compensation and benefits for the six months ended December 31, 2017.</w:t>
      </w:r>
    </w:p>
    <w:p>
      <w:pPr>
        <w:spacing w:after="0" w:line="9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Net cash provided by operating activities for the six months ended December 31, 2016 was approximately $0.7 million, which was primarily attributable to net income of approximately $1.0 million, adjusted for non-cash items for approximately $0.01 million and negative adjustments for changes in working capital of approximately $0.3 million. The adjustments for changes in working capital mainly included (i) increase in accounts receivable of approximately $1.5 million due to an increase in revenues and slight reduction in accounts receivable collections for the six months ended December 31, 2016, (ii) increase in salaries and benefits payable of $0.9 million due to unpaid employee compensation and benefits and (iii) increase in accounts payable and other payable of $0.2 million due to the accrued cost of IT solutions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left="460" w:right="559" w:firstLine="432"/>
        <w:spacing w:after="0" w:line="264"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right="639" w:firstLine="432"/>
        <w:spacing w:after="0" w:line="277" w:lineRule="auto"/>
        <w:rPr>
          <w:sz w:val="20"/>
          <w:szCs w:val="20"/>
          <w:color w:val="auto"/>
        </w:rPr>
      </w:pPr>
      <w:r>
        <w:rPr>
          <w:rFonts w:ascii="Arial" w:cs="Arial" w:eastAsia="Arial" w:hAnsi="Arial"/>
          <w:sz w:val="18"/>
          <w:szCs w:val="18"/>
          <w:color w:val="auto"/>
        </w:rPr>
        <w:t>Net cash used in investing activities was approximately $0.4 million in fiscal 2016, primarily due to our purchases of office equipment and furniture.</w:t>
      </w:r>
    </w:p>
    <w:p>
      <w:pPr>
        <w:spacing w:after="0" w:line="89"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For the six months ended December 31, 2017, net cash used in investing activities was approximately $0.2 million, primarily due to our purchases of office equipment and furniture.</w:t>
      </w:r>
    </w:p>
    <w:p>
      <w:pPr>
        <w:spacing w:after="0" w:line="103" w:lineRule="exact"/>
        <w:rPr>
          <w:sz w:val="20"/>
          <w:szCs w:val="20"/>
          <w:color w:val="auto"/>
        </w:rPr>
      </w:pPr>
    </w:p>
    <w:p>
      <w:pPr>
        <w:ind w:left="460" w:right="459" w:firstLine="432"/>
        <w:spacing w:after="0" w:line="312" w:lineRule="auto"/>
        <w:rPr>
          <w:sz w:val="20"/>
          <w:szCs w:val="20"/>
          <w:color w:val="auto"/>
        </w:rPr>
      </w:pPr>
      <w:r>
        <w:rPr>
          <w:rFonts w:ascii="Arial" w:cs="Arial" w:eastAsia="Arial" w:hAnsi="Arial"/>
          <w:sz w:val="16"/>
          <w:szCs w:val="16"/>
          <w:color w:val="auto"/>
        </w:rPr>
        <w:t>For the six months ended December 31, 2016, net cash provided by investing activities was approximately $0.2 million primarily due to our acquisition of Judge China in November, 2016 to better manage opportunities and capitalize on the growth potential in the human resource related industry in China.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00" w:lineRule="exact"/>
        <w:rPr>
          <w:sz w:val="20"/>
          <w:szCs w:val="20"/>
          <w:color w:val="auto"/>
        </w:rPr>
      </w:pPr>
    </w:p>
    <w:p>
      <w:pPr>
        <w:ind w:left="460" w:right="799" w:firstLine="432"/>
        <w:spacing w:after="0" w:line="264" w:lineRule="auto"/>
        <w:rPr>
          <w:sz w:val="20"/>
          <w:szCs w:val="20"/>
          <w:color w:val="auto"/>
        </w:rPr>
      </w:pPr>
      <w:r>
        <w:rPr>
          <w:rFonts w:ascii="Arial" w:cs="Arial" w:eastAsia="Arial" w:hAnsi="Arial"/>
          <w:sz w:val="18"/>
          <w:szCs w:val="18"/>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1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Net cash used in financing activities was approximately $0.01 million for the six months ended December 31, 2017. During the period of 2017, we borrowed bank loans of approximately $2.2 million, repaid loans of approximately $1.5 million, and paid $0.6 million of dividends to our existing shareholders.</w:t>
      </w:r>
    </w:p>
    <w:p>
      <w:pPr>
        <w:spacing w:after="0" w:line="98" w:lineRule="exact"/>
        <w:rPr>
          <w:sz w:val="20"/>
          <w:szCs w:val="20"/>
          <w:color w:val="auto"/>
        </w:rPr>
      </w:pPr>
    </w:p>
    <w:p>
      <w:pPr>
        <w:ind w:left="460" w:right="1059" w:firstLine="432"/>
        <w:spacing w:after="0" w:line="308" w:lineRule="auto"/>
        <w:rPr>
          <w:sz w:val="20"/>
          <w:szCs w:val="20"/>
          <w:color w:val="auto"/>
        </w:rPr>
      </w:pPr>
      <w:r>
        <w:rPr>
          <w:rFonts w:ascii="Arial" w:cs="Arial" w:eastAsia="Arial" w:hAnsi="Arial"/>
          <w:sz w:val="17"/>
          <w:szCs w:val="17"/>
          <w:color w:val="auto"/>
        </w:rPr>
        <w:t>Net cash provided in financing activities was approximately $0.2 million for the six months ended December 31, 2016. They were primarily proceeds from our shareholder’s contributions.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119"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The Company made capital expenditures of $0.2 million and $0.03 million for the six months ended December 31, 2017 and 2016, respectively. In these periods, our capital expenditures were mainly used for purchases of office equipment. The Company will continue to make capital expenditures to meet the expected growth of its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1.4% in 2016 and 2.0% in 2015. Our operations are in China and China’s inflation rates have been relatively stable over the last two years: 1.6% in 2017 and 1.4% in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left="460" w:right="639" w:firstLine="432"/>
        <w:spacing w:after="0" w:line="312" w:lineRule="auto"/>
        <w:rPr>
          <w:sz w:val="20"/>
          <w:szCs w:val="20"/>
          <w:color w:val="auto"/>
        </w:rPr>
      </w:pPr>
      <w:r>
        <w:rPr>
          <w:rFonts w:ascii="Arial" w:cs="Arial" w:eastAsia="Arial" w:hAnsi="Arial"/>
          <w:sz w:val="16"/>
          <w:szCs w:val="16"/>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ind w:left="640"/>
              <w:spacing w:after="0"/>
              <w:rPr>
                <w:sz w:val="20"/>
                <w:szCs w:val="20"/>
                <w:color w:val="auto"/>
              </w:rPr>
            </w:pPr>
            <w:r>
              <w:rPr>
                <w:rFonts w:ascii="Arial" w:cs="Arial" w:eastAsia="Arial" w:hAnsi="Arial"/>
                <w:sz w:val="16"/>
                <w:szCs w:val="16"/>
                <w:b w:val="1"/>
                <w:bCs w:val="1"/>
                <w:color w:val="auto"/>
              </w:rPr>
              <w:t>Payment Due by Period</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5"/>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6"/>
                <w:szCs w:val="16"/>
                <w:b w:val="1"/>
                <w:bCs w:val="1"/>
                <w:color w:val="auto"/>
                <w:w w:val="90"/>
              </w:rPr>
              <w:t>Less than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14"/>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1 Year</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88"/>
              </w:rPr>
              <w:t>1 – 3 Years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3 – 5 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7"/>
              </w:rPr>
              <w:t>5 Years</w:t>
            </w:r>
          </w:p>
        </w:tc>
      </w:tr>
      <w:tr>
        <w:trPr>
          <w:trHeight w:val="256"/>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931,047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520,637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410,410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931,047</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520,637</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410,410</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99"/>
              </w:rPr>
              <w:t>—</w:t>
            </w:r>
          </w:p>
        </w:tc>
      </w:tr>
      <w:tr>
        <w:trPr>
          <w:trHeight w:val="26"/>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Operating lease expense amounted to $310,505 and $ 244,458 for the six months ended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2017 and 2016, respectively. Outstanding balance of short-term bank loans was $753,116 as of December 31,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right="539"/>
        <w:spacing w:after="0" w:line="342" w:lineRule="auto"/>
        <w:rPr>
          <w:sz w:val="20"/>
          <w:szCs w:val="20"/>
          <w:color w:val="auto"/>
        </w:rPr>
      </w:pPr>
      <w:r>
        <w:rPr>
          <w:rFonts w:ascii="Arial" w:cs="Arial" w:eastAsia="Arial" w:hAnsi="Arial"/>
          <w:sz w:val="16"/>
          <w:szCs w:val="16"/>
          <w:color w:val="auto"/>
        </w:rPr>
        <w:t>Interest expense was $14,681 and Nil for the six months ended December 31, 2017 and 2016, respectively. The following table sets forth our contractual obligations and commercial commitments as of December 31, 2017:</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ind w:left="200"/>
              <w:spacing w:after="0"/>
              <w:rPr>
                <w:sz w:val="20"/>
                <w:szCs w:val="20"/>
                <w:color w:val="auto"/>
              </w:rPr>
            </w:pPr>
            <w:r>
              <w:rPr>
                <w:rFonts w:ascii="Arial" w:cs="Arial" w:eastAsia="Arial" w:hAnsi="Arial"/>
                <w:sz w:val="16"/>
                <w:szCs w:val="16"/>
                <w:b w:val="1"/>
                <w:bCs w:val="1"/>
                <w:color w:val="auto"/>
              </w:rPr>
              <w:t>Payment Due by Period (Unaudited)</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Less than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14"/>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1 Year</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88"/>
              </w:rPr>
              <w:t>1 – 3 Years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3 – 5 Years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7"/>
              </w:rPr>
              <w:t>5 Years</w:t>
            </w:r>
          </w:p>
        </w:tc>
      </w:tr>
      <w:tr>
        <w:trPr>
          <w:trHeight w:val="236"/>
        </w:trPr>
        <w:tc>
          <w:tcPr>
            <w:tcW w:w="20" w:type="dxa"/>
            <w:vAlign w:val="bottom"/>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2,681,240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2,681,240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Operating lease arrangements</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785,431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543,174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242,257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r>
      <w:tr>
        <w:trPr>
          <w:trHeight w:val="26"/>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3,466,671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9"/>
              </w:rPr>
              <w:t>—</w:t>
            </w:r>
          </w:p>
        </w:tc>
      </w:tr>
      <w:tr>
        <w:trPr>
          <w:trHeight w:val="190"/>
        </w:trPr>
        <w:tc>
          <w:tcPr>
            <w:tcW w:w="250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bl>
    <w:p>
      <w:pPr>
        <w:ind w:left="900" w:right="459" w:hanging="438"/>
        <w:spacing w:after="0" w:line="288" w:lineRule="auto"/>
        <w:tabs>
          <w:tab w:leader="none" w:pos="8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February 8, 2018, the Company borrowed $775,047 (RMB 4,900,000) from Bank of Communication at an interest rate of 5.655% per annum and due on July 20, 2018.</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February 2018, the Company borrowed $1,906,193 (RMB 12,000,000) from China Merchants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loans are due in May and July 2018.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Commitments and Arrangements</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There were no off-balance sheet arrangements for the years ended June 30, 2017 and 2016 and for the six months ended December 31, 2017, 2016 that have or that in the opinion of management are likely to have, a current or future material effect on our financial condition or results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2"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99"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03" w:lineRule="exact"/>
        <w:rPr>
          <w:sz w:val="20"/>
          <w:szCs w:val="20"/>
          <w:color w:val="auto"/>
        </w:rPr>
      </w:pPr>
    </w:p>
    <w:p>
      <w:pPr>
        <w:ind w:left="460" w:right="599" w:firstLine="432"/>
        <w:spacing w:after="0" w:line="264"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i w:val="1"/>
          <w:iCs w:val="1"/>
          <w:color w:val="auto"/>
        </w:rPr>
        <w:t>Time-and-expense basis contracts</w:t>
      </w:r>
    </w:p>
    <w:p>
      <w:pPr>
        <w:spacing w:after="0" w:line="158" w:lineRule="exact"/>
        <w:rPr>
          <w:sz w:val="20"/>
          <w:szCs w:val="20"/>
          <w:color w:val="auto"/>
        </w:rPr>
      </w:pPr>
    </w:p>
    <w:p>
      <w:pPr>
        <w:jc w:val="both"/>
        <w:ind w:left="460" w:right="859" w:firstLine="432"/>
        <w:spacing w:after="0" w:line="276" w:lineRule="auto"/>
        <w:rPr>
          <w:sz w:val="20"/>
          <w:szCs w:val="20"/>
          <w:color w:val="auto"/>
        </w:rPr>
      </w:pPr>
      <w:r>
        <w:rPr>
          <w:rFonts w:ascii="Arial" w:cs="Arial" w:eastAsia="Arial" w:hAnsi="Arial"/>
          <w:sz w:val="17"/>
          <w:szCs w:val="17"/>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Fixed-price basis contracts</w:t>
      </w:r>
    </w:p>
    <w:p>
      <w:pPr>
        <w:spacing w:after="0" w:line="144"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158" w:lineRule="exact"/>
        <w:rPr>
          <w:sz w:val="20"/>
          <w:szCs w:val="20"/>
          <w:color w:val="auto"/>
        </w:rPr>
      </w:pPr>
    </w:p>
    <w:p>
      <w:pPr>
        <w:ind w:left="1300" w:hanging="40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PCS,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15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97"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18" w:lineRule="exact"/>
        <w:rPr>
          <w:sz w:val="20"/>
          <w:szCs w:val="20"/>
          <w:color w:val="auto"/>
        </w:rPr>
      </w:pPr>
    </w:p>
    <w:p>
      <w:pPr>
        <w:ind w:left="460" w:right="539" w:firstLine="432"/>
        <w:spacing w:after="0" w:line="276" w:lineRule="auto"/>
        <w:rPr>
          <w:sz w:val="20"/>
          <w:szCs w:val="20"/>
          <w:color w:val="auto"/>
        </w:rPr>
      </w:pPr>
      <w:r>
        <w:rPr>
          <w:rFonts w:ascii="Arial" w:cs="Arial" w:eastAsia="Arial" w:hAnsi="Arial"/>
          <w:sz w:val="17"/>
          <w:szCs w:val="17"/>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05" w:lineRule="exact"/>
        <w:rPr>
          <w:sz w:val="20"/>
          <w:szCs w:val="20"/>
          <w:color w:val="auto"/>
        </w:rPr>
      </w:pPr>
    </w:p>
    <w:p>
      <w:pPr>
        <w:jc w:val="both"/>
        <w:ind w:left="460" w:right="519" w:firstLine="432"/>
        <w:spacing w:after="0" w:line="264"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7" w:name="page68"/>
    <w:bookmarkEnd w:id="67"/>
    <w:p>
      <w:pPr>
        <w:ind w:left="460" w:right="739" w:firstLine="432"/>
        <w:spacing w:after="0" w:line="277" w:lineRule="auto"/>
        <w:rPr>
          <w:sz w:val="20"/>
          <w:szCs w:val="20"/>
          <w:color w:val="auto"/>
        </w:rPr>
      </w:pPr>
      <w:r>
        <w:rPr>
          <w:rFonts w:ascii="Arial" w:cs="Arial" w:eastAsia="Arial" w:hAnsi="Arial"/>
          <w:sz w:val="18"/>
          <w:szCs w:val="18"/>
          <w:color w:val="auto"/>
        </w:rPr>
        <w:t>Differences between the timing of billings and the recognition of revenue based on various methods of accounting are recorded as deferred revenue.</w:t>
      </w:r>
    </w:p>
    <w:p>
      <w:pPr>
        <w:spacing w:after="0" w:line="8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8"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12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44" w:lineRule="exact"/>
        <w:rPr>
          <w:sz w:val="20"/>
          <w:szCs w:val="20"/>
          <w:color w:val="auto"/>
        </w:rPr>
      </w:pPr>
    </w:p>
    <w:p>
      <w:pPr>
        <w:ind w:left="460" w:right="579" w:firstLine="432"/>
        <w:spacing w:after="0" w:line="276" w:lineRule="auto"/>
        <w:rPr>
          <w:sz w:val="20"/>
          <w:szCs w:val="20"/>
          <w:color w:val="auto"/>
        </w:rPr>
      </w:pPr>
      <w:r>
        <w:rPr>
          <w:rFonts w:ascii="Arial" w:cs="Arial" w:eastAsia="Arial" w:hAnsi="Arial"/>
          <w:sz w:val="17"/>
          <w:szCs w:val="17"/>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58" w:lineRule="exact"/>
        <w:rPr>
          <w:sz w:val="20"/>
          <w:szCs w:val="20"/>
          <w:color w:val="auto"/>
        </w:rPr>
      </w:pPr>
    </w:p>
    <w:p>
      <w:pPr>
        <w:ind w:left="460" w:right="559" w:firstLine="432"/>
        <w:spacing w:after="0" w:line="302"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 with definite lives</w:t>
      </w:r>
    </w:p>
    <w:p>
      <w:pPr>
        <w:spacing w:after="0" w:line="158" w:lineRule="exact"/>
        <w:rPr>
          <w:sz w:val="20"/>
          <w:szCs w:val="20"/>
          <w:color w:val="auto"/>
        </w:rPr>
      </w:pPr>
    </w:p>
    <w:p>
      <w:pPr>
        <w:jc w:val="both"/>
        <w:ind w:left="460" w:right="619" w:firstLine="432"/>
        <w:spacing w:after="0" w:line="264" w:lineRule="auto"/>
        <w:rPr>
          <w:sz w:val="20"/>
          <w:szCs w:val="20"/>
          <w:color w:val="auto"/>
        </w:rPr>
      </w:pPr>
      <w:r>
        <w:rPr>
          <w:rFonts w:ascii="Arial" w:cs="Arial" w:eastAsia="Arial" w:hAnsi="Arial"/>
          <w:sz w:val="18"/>
          <w:szCs w:val="18"/>
          <w:color w:val="auto"/>
        </w:rPr>
        <w:t>Intangible assets, other than goodwill, are initially measured and recorded at their fair values. Intangible assets primarily consist of customer contacts acquired by Judge China. Customer contacts are amortized using the estimated attrition pattern which is estimated over 10 years.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Goodwill was allocated to the one reporting unit as of June 30, 2017 and December 31, 2017.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58"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and for the six months ended December 31, 2017.</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ind w:left="460" w:right="599" w:firstLine="432"/>
        <w:spacing w:after="0" w:line="297" w:lineRule="auto"/>
        <w:rPr>
          <w:sz w:val="20"/>
          <w:szCs w:val="20"/>
          <w:color w:val="auto"/>
        </w:rPr>
      </w:pPr>
      <w:r>
        <w:rPr>
          <w:rFonts w:ascii="Arial" w:cs="Arial" w:eastAsia="Arial" w:hAnsi="Arial"/>
          <w:sz w:val="16"/>
          <w:szCs w:val="16"/>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15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86"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 remain subject to examination by the tax authorities for five years from the date of filing through year 2022.</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499" w:firstLine="432"/>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w:t>
      </w:r>
    </w:p>
    <w:p>
      <w:pPr>
        <w:spacing w:after="0" w:line="12" w:lineRule="exact"/>
        <w:rPr>
          <w:sz w:val="20"/>
          <w:szCs w:val="20"/>
          <w:color w:val="auto"/>
        </w:rPr>
      </w:pPr>
    </w:p>
    <w:p>
      <w:pPr>
        <w:ind w:left="460" w:right="459"/>
        <w:spacing w:after="0" w:line="284" w:lineRule="auto"/>
        <w:rPr>
          <w:sz w:val="20"/>
          <w:szCs w:val="20"/>
          <w:color w:val="auto"/>
        </w:rPr>
      </w:pPr>
      <w:r>
        <w:rPr>
          <w:rFonts w:ascii="Arial" w:cs="Arial" w:eastAsia="Arial" w:hAnsi="Arial"/>
          <w:sz w:val="16"/>
          <w:szCs w:val="16"/>
          <w:color w:val="auto"/>
        </w:rPr>
        <w:t>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 2020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9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9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0" w:name="page71"/>
    <w:bookmarkEnd w:id="70"/>
    <w:p>
      <w:pPr>
        <w:ind w:left="460" w:right="519"/>
        <w:spacing w:after="0" w:line="289" w:lineRule="auto"/>
        <w:rPr>
          <w:sz w:val="20"/>
          <w:szCs w:val="20"/>
          <w:color w:val="auto"/>
        </w:rPr>
      </w:pPr>
      <w:r>
        <w:rPr>
          <w:rFonts w:ascii="Arial" w:cs="Arial" w:eastAsia="Arial" w:hAnsi="Arial"/>
          <w:sz w:val="16"/>
          <w:szCs w:val="16"/>
          <w:color w:val="auto"/>
        </w:rPr>
        <w:t>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8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05"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15"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86"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right="459" w:firstLine="432"/>
        <w:spacing w:after="0" w:line="253"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14"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9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8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February 2018, the FASB issued ASU No. 2018-03, Technical Corrections and Improvements to Financial Instruments — 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25" w:lineRule="exact"/>
        <w:rPr>
          <w:sz w:val="20"/>
          <w:szCs w:val="20"/>
          <w:color w:val="auto"/>
        </w:rPr>
      </w:pPr>
    </w:p>
    <w:p>
      <w:pPr>
        <w:ind w:left="460" w:right="799" w:firstLine="432"/>
        <w:spacing w:after="0" w:line="264" w:lineRule="auto"/>
        <w:rPr>
          <w:sz w:val="20"/>
          <w:szCs w:val="20"/>
          <w:color w:val="auto"/>
        </w:rPr>
      </w:pPr>
      <w:r>
        <w:rPr>
          <w:rFonts w:ascii="Arial" w:cs="Arial" w:eastAsia="Arial" w:hAnsi="Arial"/>
          <w:sz w:val="18"/>
          <w:szCs w:val="18"/>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 and Background</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11"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0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06" w:lineRule="exact"/>
        <w:rPr>
          <w:sz w:val="20"/>
          <w:szCs w:val="20"/>
          <w:color w:val="auto"/>
        </w:rPr>
      </w:pPr>
    </w:p>
    <w:p>
      <w:pPr>
        <w:ind w:left="460" w:right="499" w:firstLine="432"/>
        <w:spacing w:after="0" w:line="264" w:lineRule="auto"/>
        <w:rPr>
          <w:sz w:val="20"/>
          <w:szCs w:val="20"/>
          <w:color w:val="auto"/>
        </w:rPr>
      </w:pPr>
      <w:r>
        <w:rPr>
          <w:rFonts w:ascii="Arial" w:cs="Arial" w:eastAsia="Arial" w:hAnsi="Arial"/>
          <w:sz w:val="18"/>
          <w:szCs w:val="18"/>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1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RMB¥ 500,000 (approximately US$61,835) for 50% shares of CLPS Shanghai. After this share transfer, Yan Pan and Xiaochun Deng respectively held 50% shares of CLPS Shanghai.</w:t>
      </w:r>
    </w:p>
    <w:p>
      <w:pPr>
        <w:spacing w:after="0" w:line="11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On October 19, 2010, Raymond Ming Hui Lin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Xiaochun Deng to purchase all of Xiaochun Deng’s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12"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3" w:name="page74"/>
    <w:bookmarkEnd w:id="73"/>
    <w:p>
      <w:pPr>
        <w:ind w:left="460" w:right="999"/>
        <w:spacing w:after="0" w:line="277" w:lineRule="auto"/>
        <w:rPr>
          <w:sz w:val="20"/>
          <w:szCs w:val="20"/>
          <w:color w:val="auto"/>
        </w:rPr>
      </w:pPr>
      <w:r>
        <w:rPr>
          <w:rFonts w:ascii="Arial" w:cs="Arial" w:eastAsia="Arial" w:hAnsi="Arial"/>
          <w:sz w:val="18"/>
          <w:szCs w:val="18"/>
          <w:color w:val="auto"/>
        </w:rPr>
        <w:t>Ming Hui Lin actually paid RMB1,008,120 (approximately US$161,296) for the capital contributions on October 18, 2012.</w:t>
      </w:r>
    </w:p>
    <w:p>
      <w:pPr>
        <w:spacing w:after="0" w:line="89" w:lineRule="exact"/>
        <w:rPr>
          <w:sz w:val="20"/>
          <w:szCs w:val="20"/>
          <w:color w:val="auto"/>
        </w:rPr>
      </w:pPr>
    </w:p>
    <w:p>
      <w:pPr>
        <w:ind w:left="460" w:right="799" w:firstLine="432"/>
        <w:spacing w:after="0" w:line="302" w:lineRule="auto"/>
        <w:rPr>
          <w:sz w:val="20"/>
          <w:szCs w:val="20"/>
          <w:color w:val="auto"/>
        </w:rPr>
      </w:pPr>
      <w:r>
        <w:rPr>
          <w:rFonts w:ascii="Arial" w:cs="Arial" w:eastAsia="Arial" w:hAnsi="Arial"/>
          <w:sz w:val="16"/>
          <w:szCs w:val="16"/>
          <w:color w:val="auto"/>
        </w:rPr>
        <w:t xml:space="preserve">On October 30, 2013, Xiao Feng Yang entered into a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Yan Pan to purchase all of Yan Pan’s shares in CLPS Shanghai. Pursuant to the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Xiao Feng Yang paid RMB2,500,000 (approximately US$399,993) for 50% shares of CLPS Shanghai. After this share transfer, Xiao Feng Yang and Raymond Ming Hui Lin respectively held 50% shares of CLPS Shanghai.</w:t>
      </w:r>
    </w:p>
    <w:p>
      <w:pPr>
        <w:spacing w:after="0" w:line="87"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1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89"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On May 27, 2015, Raymond Ming Hui Lin paid RMB3,391,883 (approximately US$546,980) for the capital contribution that he has made.</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On August 5, 2015, Raymond Ming Hui Lin paid RMB3,894,060 (approximately US$627,103) for the capital contribution that he has made.</w:t>
      </w:r>
    </w:p>
    <w:p>
      <w:pPr>
        <w:spacing w:after="0" w:line="89"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103"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89" w:lineRule="exact"/>
        <w:rPr>
          <w:sz w:val="20"/>
          <w:szCs w:val="20"/>
          <w:color w:val="auto"/>
        </w:rPr>
      </w:pPr>
    </w:p>
    <w:p>
      <w:pPr>
        <w:jc w:val="both"/>
        <w:ind w:left="460" w:right="619" w:firstLine="432"/>
        <w:spacing w:after="0" w:line="264"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14"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above-mentioned subscription, the shareholding structure of CLPS Shanghai was as follows: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760" w:type="dxa"/>
            <w:vAlign w:val="bottom"/>
          </w:tcPr>
          <w:p>
            <w:pPr>
              <w:ind w:left="480"/>
              <w:spacing w:after="0"/>
              <w:rPr>
                <w:sz w:val="20"/>
                <w:szCs w:val="20"/>
                <w:color w:val="auto"/>
              </w:rPr>
            </w:pPr>
            <w:r>
              <w:rPr>
                <w:rFonts w:ascii="Arial" w:cs="Arial" w:eastAsia="Arial" w:hAnsi="Arial"/>
                <w:sz w:val="16"/>
                <w:szCs w:val="16"/>
                <w:b w:val="1"/>
                <w:bCs w:val="1"/>
                <w:color w:val="auto"/>
              </w:rPr>
              <w:t>PLACE OF</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INVESTORS</w:t>
            </w:r>
          </w:p>
        </w:tc>
        <w:tc>
          <w:tcPr>
            <w:tcW w:w="1760" w:type="dxa"/>
            <w:vAlign w:val="bottom"/>
          </w:tcPr>
          <w:p>
            <w:pPr>
              <w:ind w:left="260"/>
              <w:spacing w:after="0"/>
              <w:rPr>
                <w:sz w:val="20"/>
                <w:szCs w:val="20"/>
                <w:color w:val="auto"/>
              </w:rPr>
            </w:pPr>
            <w:r>
              <w:rPr>
                <w:rFonts w:ascii="Arial" w:cs="Arial" w:eastAsia="Arial" w:hAnsi="Arial"/>
                <w:sz w:val="16"/>
                <w:szCs w:val="16"/>
                <w:b w:val="1"/>
                <w:bCs w:val="1"/>
                <w:color w:val="auto"/>
              </w:rPr>
              <w:t>REGISTRATION</w:t>
            </w:r>
          </w:p>
        </w:tc>
        <w:tc>
          <w:tcPr>
            <w:tcW w:w="1180" w:type="dxa"/>
            <w:vAlign w:val="bottom"/>
          </w:tcPr>
          <w:p>
            <w:pPr>
              <w:jc w:val="right"/>
              <w:ind w:right="211"/>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Raymond Ming Hui Lin</w:t>
            </w:r>
          </w:p>
        </w:tc>
        <w:tc>
          <w:tcPr>
            <w:tcW w:w="176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1760" w:type="dxa"/>
            <w:vAlign w:val="bottom"/>
          </w:tcPr>
          <w:p>
            <w:pPr>
              <w:ind w:left="180"/>
              <w:spacing w:after="0"/>
              <w:rPr>
                <w:sz w:val="20"/>
                <w:szCs w:val="20"/>
                <w:color w:val="auto"/>
              </w:rPr>
            </w:pPr>
            <w:r>
              <w:rPr>
                <w:rFonts w:ascii="Arial" w:cs="Arial" w:eastAsia="Arial" w:hAnsi="Arial"/>
                <w:sz w:val="18"/>
                <w:szCs w:val="18"/>
                <w:color w:val="auto"/>
              </w:rPr>
              <w:t>PRC</w:t>
            </w:r>
          </w:p>
        </w:tc>
        <w:tc>
          <w:tcPr>
            <w:tcW w:w="1180" w:type="dxa"/>
            <w:vAlign w:val="bottom"/>
          </w:tcPr>
          <w:p>
            <w:pPr>
              <w:jc w:val="right"/>
              <w:spacing w:after="0"/>
              <w:rPr>
                <w:sz w:val="20"/>
                <w:szCs w:val="20"/>
                <w:color w:val="auto"/>
              </w:rPr>
            </w:pPr>
            <w:r>
              <w:rPr>
                <w:rFonts w:ascii="Arial" w:cs="Arial" w:eastAsia="Arial" w:hAnsi="Arial"/>
                <w:sz w:val="18"/>
                <w:szCs w:val="18"/>
                <w:color w:val="auto"/>
              </w:rPr>
              <w:t>1,270,000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Shanghai Qinshang Software Technology Counsel Partnership (LLP)</w:t>
            </w:r>
          </w:p>
        </w:tc>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33,870,000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00" w:lineRule="exact"/>
        <w:rPr>
          <w:sz w:val="20"/>
          <w:szCs w:val="20"/>
          <w:color w:val="auto"/>
        </w:rPr>
      </w:pPr>
    </w:p>
    <w:p>
      <w:pPr>
        <w:ind w:left="460" w:right="539" w:firstLine="432"/>
        <w:spacing w:after="0" w:line="264" w:lineRule="auto"/>
        <w:rPr>
          <w:sz w:val="20"/>
          <w:szCs w:val="20"/>
          <w:color w:val="auto"/>
        </w:rPr>
      </w:pPr>
      <w:r>
        <w:rPr>
          <w:rFonts w:ascii="Arial" w:cs="Arial" w:eastAsia="Arial" w:hAnsi="Arial"/>
          <w:sz w:val="18"/>
          <w:szCs w:val="18"/>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114" w:lineRule="exact"/>
        <w:rPr>
          <w:sz w:val="20"/>
          <w:szCs w:val="20"/>
          <w:color w:val="auto"/>
        </w:rPr>
      </w:pPr>
    </w:p>
    <w:p>
      <w:pPr>
        <w:ind w:left="460" w:right="719" w:firstLine="432"/>
        <w:spacing w:after="0" w:line="342" w:lineRule="auto"/>
        <w:rPr>
          <w:sz w:val="20"/>
          <w:szCs w:val="20"/>
          <w:color w:val="auto"/>
        </w:rPr>
      </w:pPr>
      <w:r>
        <w:rPr>
          <w:rFonts w:ascii="Arial" w:cs="Arial" w:eastAsia="Arial" w:hAnsi="Arial"/>
          <w:sz w:val="16"/>
          <w:szCs w:val="16"/>
          <w:color w:val="auto"/>
        </w:rPr>
        <w:t xml:space="preserve">In August 2017, Qiner entered into three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three non-Chinese individual shareholders of CLPS Shanghai, The three non-Chinese individual shareholders are Raymond Ming Hui Lin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right="499"/>
        <w:spacing w:after="0" w:line="259" w:lineRule="auto"/>
        <w:rPr>
          <w:sz w:val="20"/>
          <w:szCs w:val="20"/>
          <w:color w:val="auto"/>
        </w:rPr>
      </w:pPr>
      <w:r>
        <w:rPr>
          <w:rFonts w:ascii="Arial" w:cs="Arial" w:eastAsia="Arial" w:hAnsi="Arial"/>
          <w:sz w:val="18"/>
          <w:szCs w:val="18"/>
          <w:color w:val="auto"/>
        </w:rPr>
        <w:t>(Hong Kong), Limpiada Zosimo (Philippines) and Lin James De-Mou (Taiwan). Including, Raymond Ming Hui Lin sold 15,000,000 shares, Limpiada Zosimo sold 71,229 shares and Lin James De-Mou sold 67,510 shares. The aforementioned share transfer was part of reorganization of the group company, the share purchase price was 0. Qiner was not actually paid share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76200</wp:posOffset>
            </wp:positionV>
            <wp:extent cx="5188585" cy="2418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885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right="619" w:firstLine="432"/>
        <w:spacing w:after="0" w:line="312" w:lineRule="auto"/>
        <w:rPr>
          <w:sz w:val="20"/>
          <w:szCs w:val="20"/>
          <w:color w:val="auto"/>
        </w:rPr>
      </w:pPr>
      <w:r>
        <w:rPr>
          <w:rFonts w:ascii="Arial" w:cs="Arial" w:eastAsia="Arial" w:hAnsi="Arial"/>
          <w:sz w:val="16"/>
          <w:szCs w:val="16"/>
          <w:color w:val="auto"/>
        </w:rPr>
        <w:t>On August 4, 2017, CLPS QC (WOFE) got the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79"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 xml:space="preserve">On October 31, 2017, CLPS Incorporation entered into a </w:t>
      </w:r>
      <w:r>
        <w:rPr>
          <w:rFonts w:ascii="Arial" w:cs="Arial" w:eastAsia="Arial" w:hAnsi="Arial"/>
          <w:sz w:val="17"/>
          <w:szCs w:val="17"/>
          <w:i w:val="1"/>
          <w:iCs w:val="1"/>
          <w:color w:val="auto"/>
        </w:rPr>
        <w:t>SOLD NOTE</w:t>
      </w:r>
      <w:r>
        <w:rPr>
          <w:rFonts w:ascii="Arial" w:cs="Arial" w:eastAsia="Arial" w:hAnsi="Arial"/>
          <w:sz w:val="17"/>
          <w:szCs w:val="17"/>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84"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Administration of Foreign Exchange on Issues concerning Foreign Exchange Administration over the Overseas Investment and Financing and Round-trip Investment by Domestic Residents via Special Purpose Vehicles </w:t>
      </w:r>
      <w:r>
        <w:rPr>
          <w:rFonts w:ascii="Arial" w:cs="Arial" w:eastAsia="Arial" w:hAnsi="Arial"/>
          <w:sz w:val="16"/>
          <w:szCs w:val="16"/>
          <w:color w:val="auto"/>
        </w:rPr>
        <w:t xml:space="preserve">(SAFE 2014 No. 37). After these registrations, CLPS QC (WOFE) entered into 46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all 46 Chinese individual shareholders and 46 Chinese individual shareholders totally held 18,731,261 shares of CLPS Shanghai. The aforementioned share transfer was part of reorganization of the group company, the share purchase price was 0. CLPS QC (WOFE) was not actually paid share purchase price.</w:t>
      </w:r>
    </w:p>
    <w:p>
      <w:pPr>
        <w:spacing w:after="0" w:line="99"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On November 2, 2017, the transfer between 46 Chinese individual shareholders and CLPS QC (WOFE) has completed the record-filing of changes of Foreign-invested Company and got the record receipt.</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the date of this prospectus, the shareholding structure of CLPS Shanghai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PLACE OF</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INVESTORS</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REGISTRATION</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18,731,261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Qiner Co., Limited</w:t>
            </w: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15,138,739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33,870,000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64" w:lineRule="auto"/>
        <w:rPr>
          <w:sz w:val="20"/>
          <w:szCs w:val="20"/>
          <w:color w:val="auto"/>
        </w:rPr>
      </w:pPr>
      <w:r>
        <w:rPr>
          <w:rFonts w:ascii="Arial" w:cs="Arial" w:eastAsia="Arial" w:hAnsi="Arial"/>
          <w:sz w:val="18"/>
          <w:szCs w:val="18"/>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10" w:lineRule="exact"/>
        <w:rPr>
          <w:sz w:val="20"/>
          <w:szCs w:val="20"/>
          <w:color w:val="auto"/>
        </w:rPr>
      </w:pPr>
    </w:p>
    <w:p>
      <w:pPr>
        <w:ind w:left="1320" w:right="819" w:hanging="425"/>
        <w:spacing w:after="0" w:line="282" w:lineRule="auto"/>
        <w:tabs>
          <w:tab w:leader="none" w:pos="130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1320" w:right="879" w:hanging="425"/>
        <w:spacing w:after="0" w:line="282" w:lineRule="auto"/>
        <w:tabs>
          <w:tab w:leader="none" w:pos="13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80" w:lineRule="exact"/>
        <w:rPr>
          <w:rFonts w:ascii="Arial" w:cs="Arial" w:eastAsia="Arial" w:hAnsi="Arial"/>
          <w:sz w:val="18"/>
          <w:szCs w:val="18"/>
          <w:b w:val="1"/>
          <w:bCs w:val="1"/>
          <w:color w:val="auto"/>
        </w:rPr>
      </w:pPr>
    </w:p>
    <w:p>
      <w:pPr>
        <w:ind w:left="1320" w:right="659" w:hanging="425"/>
        <w:spacing w:after="0" w:line="282" w:lineRule="auto"/>
        <w:tabs>
          <w:tab w:leader="none" w:pos="13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w:t>
      </w:r>
      <w:r>
        <w:rPr>
          <w:rFonts w:ascii="Arial" w:cs="Arial" w:eastAsia="Arial" w:hAnsi="Arial"/>
          <w:sz w:val="18"/>
          <w:szCs w:val="18"/>
          <w:b w:val="1"/>
          <w:bCs w:val="1"/>
          <w:color w:val="auto"/>
        </w:rPr>
        <w:t xml:space="preserve"> </w:t>
      </w:r>
      <w:r>
        <w:rPr>
          <w:rFonts w:ascii="Arial" w:cs="Arial" w:eastAsia="Arial" w:hAnsi="Arial"/>
          <w:sz w:val="18"/>
          <w:szCs w:val="18"/>
          <w:color w:val="auto"/>
        </w:rPr>
        <w:t>Kong company</w:t>
      </w:r>
    </w:p>
    <w:p>
      <w:pPr>
        <w:spacing w:after="0" w:line="94" w:lineRule="exact"/>
        <w:rPr>
          <w:rFonts w:ascii="Arial" w:cs="Arial" w:eastAsia="Arial" w:hAnsi="Arial"/>
          <w:sz w:val="18"/>
          <w:szCs w:val="18"/>
          <w:b w:val="1"/>
          <w:bCs w:val="1"/>
          <w:color w:val="auto"/>
        </w:rPr>
      </w:pPr>
    </w:p>
    <w:p>
      <w:pPr>
        <w:ind w:left="1320" w:right="459" w:hanging="425"/>
        <w:spacing w:after="0" w:line="282" w:lineRule="auto"/>
        <w:tabs>
          <w:tab w:leader="none" w:pos="13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w:t>
      </w:r>
    </w:p>
    <w:p>
      <w:pPr>
        <w:spacing w:after="0" w:line="94" w:lineRule="exact"/>
        <w:rPr>
          <w:rFonts w:ascii="Arial" w:cs="Arial" w:eastAsia="Arial" w:hAnsi="Arial"/>
          <w:sz w:val="18"/>
          <w:szCs w:val="18"/>
          <w:b w:val="1"/>
          <w:bCs w:val="1"/>
          <w:color w:val="auto"/>
        </w:rPr>
      </w:pPr>
    </w:p>
    <w:p>
      <w:pPr>
        <w:ind w:left="1320" w:right="1139" w:hanging="425"/>
        <w:spacing w:after="0" w:line="282" w:lineRule="auto"/>
        <w:tabs>
          <w:tab w:leader="none" w:pos="13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80" w:lineRule="exact"/>
        <w:rPr>
          <w:rFonts w:ascii="Arial" w:cs="Arial" w:eastAsia="Arial" w:hAnsi="Arial"/>
          <w:sz w:val="18"/>
          <w:szCs w:val="18"/>
          <w:b w:val="1"/>
          <w:bCs w:val="1"/>
          <w:color w:val="auto"/>
        </w:rPr>
      </w:pPr>
    </w:p>
    <w:p>
      <w:pPr>
        <w:ind w:left="1320" w:right="739" w:hanging="425"/>
        <w:spacing w:after="0" w:line="282" w:lineRule="auto"/>
        <w:tabs>
          <w:tab w:leader="none" w:pos="130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w:t>
      </w:r>
    </w:p>
    <w:p>
      <w:pPr>
        <w:spacing w:after="0" w:line="98"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IT consulting services primarily includes application development services for banks and institutions in the financial industry and which are billed for on a time-and-expense basis.</w:t>
      </w:r>
    </w:p>
    <w:p>
      <w:pPr>
        <w:spacing w:after="0" w:line="10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Customized IT Solutions Service primarily includes customized solution development and maintenance service for general enterprises and which are billed for on a fixed-price basis.</w:t>
      </w:r>
    </w:p>
    <w:p>
      <w:pPr>
        <w:spacing w:after="0" w:line="89" w:lineRule="exact"/>
        <w:rPr>
          <w:sz w:val="20"/>
          <w:szCs w:val="20"/>
          <w:color w:val="auto"/>
        </w:rPr>
      </w:pPr>
    </w:p>
    <w:p>
      <w:pPr>
        <w:ind w:left="460" w:right="739" w:firstLine="432"/>
        <w:spacing w:after="0" w:line="264" w:lineRule="auto"/>
        <w:rPr>
          <w:sz w:val="20"/>
          <w:szCs w:val="20"/>
          <w:color w:val="auto"/>
        </w:rPr>
      </w:pPr>
      <w:r>
        <w:rPr>
          <w:rFonts w:ascii="Arial" w:cs="Arial" w:eastAsia="Arial" w:hAnsi="Arial"/>
          <w:sz w:val="18"/>
          <w:szCs w:val="18"/>
          <w:color w:val="auto"/>
        </w:rPr>
        <w:t>The following entities provide either consulting or solution services or both, depending on where our clients are based. The entities are currently servicing one of the services might expand to both services if our clients’ needs arise.</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CLPS Dalian provides both consulting and solution services. CLPS Dalian services clients in China’s north east region, including Dalian.</w:t>
      </w:r>
    </w:p>
    <w:p>
      <w:pPr>
        <w:spacing w:after="0" w:line="103"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CLPS RC provides both consulting and solution services. CLPS RC focuses on small and medium domestic financial institutions.</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CLPS AU currently only provides consulting services. CLPS AU services clients in Australia.</w:t>
      </w:r>
    </w:p>
    <w:p>
      <w:pPr>
        <w:spacing w:after="0" w:line="15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89" w:lineRule="exact"/>
        <w:rPr>
          <w:sz w:val="20"/>
          <w:szCs w:val="20"/>
          <w:color w:val="auto"/>
        </w:rPr>
      </w:pPr>
    </w:p>
    <w:p>
      <w:pPr>
        <w:jc w:val="both"/>
        <w:ind w:left="460" w:right="779" w:firstLine="432"/>
        <w:spacing w:after="0" w:line="264" w:lineRule="auto"/>
        <w:rPr>
          <w:sz w:val="20"/>
          <w:szCs w:val="20"/>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1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CLPS Hong Kong currently only provides consulting services. CLPS Hong Kong services clients in East Asia region, including Hong Kong.</w:t>
      </w:r>
    </w:p>
    <w:p>
      <w:pPr>
        <w:spacing w:after="0" w:line="103" w:lineRule="exact"/>
        <w:rPr>
          <w:sz w:val="20"/>
          <w:szCs w:val="20"/>
          <w:color w:val="auto"/>
        </w:rPr>
      </w:pPr>
    </w:p>
    <w:p>
      <w:pPr>
        <w:ind w:left="460" w:right="1219" w:firstLine="432"/>
        <w:spacing w:after="0" w:line="277" w:lineRule="auto"/>
        <w:rPr>
          <w:sz w:val="20"/>
          <w:szCs w:val="20"/>
          <w:color w:val="auto"/>
        </w:rPr>
      </w:pPr>
      <w:r>
        <w:rPr>
          <w:rFonts w:ascii="Arial" w:cs="Arial" w:eastAsia="Arial" w:hAnsi="Arial"/>
          <w:sz w:val="18"/>
          <w:szCs w:val="18"/>
          <w:color w:val="auto"/>
        </w:rPr>
        <w:t>CLPS Shenzhen currently only provides consulting services. CLPS Shenzhen services clients in Shenzhen.</w:t>
      </w:r>
    </w:p>
    <w:p>
      <w:pPr>
        <w:spacing w:after="0" w:line="89"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103" w:lineRule="exact"/>
        <w:rPr>
          <w:sz w:val="20"/>
          <w:szCs w:val="20"/>
          <w:color w:val="auto"/>
        </w:rPr>
      </w:pPr>
    </w:p>
    <w:p>
      <w:pPr>
        <w:jc w:val="both"/>
        <w:ind w:left="460" w:right="639" w:firstLine="432"/>
        <w:spacing w:after="0" w:line="312" w:lineRule="auto"/>
        <w:rPr>
          <w:sz w:val="20"/>
          <w:szCs w:val="20"/>
          <w:color w:val="auto"/>
        </w:rPr>
      </w:pPr>
      <w:r>
        <w:rPr>
          <w:rFonts w:ascii="Arial" w:cs="Arial" w:eastAsia="Arial" w:hAnsi="Arial"/>
          <w:sz w:val="16"/>
          <w:szCs w:val="16"/>
          <w:color w:val="auto"/>
        </w:rPr>
        <w:t>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and Market Background</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China’s Banking Industry</w:t>
      </w:r>
    </w:p>
    <w:p>
      <w:pPr>
        <w:spacing w:after="0" w:line="158"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right="479"/>
        <w:spacing w:after="0" w:line="270" w:lineRule="auto"/>
        <w:rPr>
          <w:sz w:val="20"/>
          <w:szCs w:val="20"/>
          <w:color w:val="auto"/>
        </w:rPr>
      </w:pPr>
      <w:r>
        <w:rPr>
          <w:rFonts w:ascii="Arial" w:cs="Arial" w:eastAsia="Arial" w:hAnsi="Arial"/>
          <w:sz w:val="17"/>
          <w:szCs w:val="17"/>
          <w:color w:val="auto"/>
        </w:rPr>
        <w:t>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158" w:lineRule="exact"/>
        <w:rPr>
          <w:sz w:val="20"/>
          <w:szCs w:val="20"/>
          <w:color w:val="auto"/>
        </w:rPr>
      </w:pPr>
    </w:p>
    <w:p>
      <w:pPr>
        <w:ind w:left="460" w:right="599" w:firstLine="432"/>
        <w:spacing w:after="0" w:line="299" w:lineRule="auto"/>
        <w:rPr>
          <w:sz w:val="20"/>
          <w:szCs w:val="20"/>
          <w:color w:val="auto"/>
        </w:rPr>
      </w:pPr>
      <w:r>
        <w:rPr>
          <w:rFonts w:ascii="Arial" w:cs="Arial" w:eastAsia="Arial" w:hAnsi="Arial"/>
          <w:sz w:val="16"/>
          <w:szCs w:val="16"/>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w:t>
      </w:r>
    </w:p>
    <w:p>
      <w:pPr>
        <w:spacing w:after="0" w:line="1" w:lineRule="exact"/>
        <w:rPr>
          <w:sz w:val="20"/>
          <w:szCs w:val="20"/>
          <w:color w:val="auto"/>
        </w:rPr>
      </w:pPr>
    </w:p>
    <w:p>
      <w:pPr>
        <w:ind w:left="460" w:right="479"/>
        <w:spacing w:after="0" w:line="245" w:lineRule="auto"/>
        <w:rPr>
          <w:sz w:val="20"/>
          <w:szCs w:val="20"/>
          <w:color w:val="auto"/>
        </w:rPr>
      </w:pPr>
      <w:r>
        <w:rPr>
          <w:rFonts w:ascii="Arial" w:cs="Arial" w:eastAsia="Arial" w:hAnsi="Arial"/>
          <w:sz w:val="18"/>
          <w:szCs w:val="18"/>
          <w:color w:val="auto"/>
        </w:rPr>
        <w:t>1.3 trillion (USD$192 billion). During the 12</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five-year period, the industry’s compound annual growth rate reached 24.3%.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93345</wp:posOffset>
            </wp:positionV>
            <wp:extent cx="4725035" cy="2821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2503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Data Source: The Ministry of Industry and Information Technology, National Bureau of Statistics of China.</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158" w:lineRule="exact"/>
        <w:rPr>
          <w:sz w:val="20"/>
          <w:szCs w:val="20"/>
          <w:color w:val="auto"/>
        </w:rPr>
      </w:pPr>
    </w:p>
    <w:p>
      <w:pPr>
        <w:ind w:left="1320" w:right="459" w:hanging="425"/>
        <w:spacing w:after="0" w:line="270" w:lineRule="auto"/>
        <w:tabs>
          <w:tab w:leader="none" w:pos="1302"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service-oriented focus </w:t>
      </w:r>
      <w:r>
        <w:rPr>
          <w:rFonts w:ascii="Arial" w:cs="Arial" w:eastAsia="Arial" w:hAnsi="Arial"/>
          <w:sz w:val="17"/>
          <w:szCs w:val="17"/>
          <w:color w:val="auto"/>
        </w:rPr>
        <w:t>— Over the past ten years, the software and IT industry in China has</w:t>
      </w:r>
      <w:r>
        <w:rPr>
          <w:rFonts w:ascii="Arial" w:cs="Arial" w:eastAsia="Arial" w:hAnsi="Arial"/>
          <w:sz w:val="17"/>
          <w:szCs w:val="17"/>
          <w:i w:val="1"/>
          <w:iCs w:val="1"/>
          <w:color w:val="auto"/>
        </w:rPr>
        <w:t xml:space="preserve"> </w:t>
      </w:r>
      <w:r>
        <w:rPr>
          <w:rFonts w:ascii="Arial" w:cs="Arial" w:eastAsia="Arial" w:hAnsi="Arial"/>
          <w:sz w:val="17"/>
          <w:szCs w:val="17"/>
          <w:color w:val="auto"/>
        </w:rPr>
        <w:t>gradually become service-, network- and platform-oriented. During this period, the revenues 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pacing w:after="0" w:line="100" w:lineRule="exact"/>
        <w:rPr>
          <w:rFonts w:ascii="Arial" w:cs="Arial" w:eastAsia="Arial" w:hAnsi="Arial"/>
          <w:sz w:val="17"/>
          <w:szCs w:val="17"/>
          <w:i w:val="1"/>
          <w:iCs w:val="1"/>
          <w:color w:val="auto"/>
        </w:rPr>
      </w:pPr>
    </w:p>
    <w:p>
      <w:pPr>
        <w:ind w:left="1320" w:right="559" w:hanging="425"/>
        <w:spacing w:after="0" w:line="257" w:lineRule="auto"/>
        <w:tabs>
          <w:tab w:leader="none" w:pos="1302"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 The software industry has also tended to grow and expand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rather than national/centralized level. According to the MIIT statistics, in 2016, China’s Eastern region’s software industry revenues were RMB 3.8 trillion (USD$561 billion), or approximately 78.6% of the national software business revenues, while the country’s Central region’s revenues were RMB</w:t>
      </w:r>
    </w:p>
    <w:p>
      <w:pPr>
        <w:sectPr>
          <w:pgSz w:w="11900" w:h="16838" w:orient="portrait"/>
          <w:cols w:equalWidth="0" w:num="1">
            <w:col w:w="9019"/>
          </w:cols>
          <w:pgMar w:left="1440" w:top="274"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1320" w:right="659"/>
        <w:spacing w:after="0" w:line="257" w:lineRule="auto"/>
        <w:rPr>
          <w:sz w:val="20"/>
          <w:szCs w:val="20"/>
          <w:color w:val="auto"/>
        </w:rPr>
      </w:pPr>
      <w:r>
        <w:rPr>
          <w:rFonts w:ascii="Arial" w:cs="Arial" w:eastAsia="Arial" w:hAnsi="Arial"/>
          <w:sz w:val="18"/>
          <w:szCs w:val="18"/>
          <w:color w:val="auto"/>
        </w:rPr>
        <w:t>230.3 billion (USD$34.0 billion). In 2016, 15 sub-provincial central cities in China realized software business revenues of RMB 2.7 trillion (USD$398 billion), accounting for 55.3% of national software business revenues, with year-on-year growth rate of 15.5%, which was 0.6% higher than the national average level. There are 15 cities with software business revenue of more than RMB 10.0 billion (USD$1.5 billion).</w:t>
      </w:r>
    </w:p>
    <w:p>
      <w:pPr>
        <w:spacing w:after="0" w:line="10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Financial Institutions/Banking IT services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Services Industry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85090</wp:posOffset>
            </wp:positionV>
            <wp:extent cx="4622165" cy="2821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22165"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Source: Wind Terminal</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compared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0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right="519" w:firstLine="432"/>
        <w:spacing w:after="0" w:line="283" w:lineRule="auto"/>
        <w:rPr>
          <w:sz w:val="20"/>
          <w:szCs w:val="20"/>
          <w:color w:val="auto"/>
        </w:rPr>
      </w:pPr>
      <w:r>
        <w:rPr>
          <w:rFonts w:ascii="Arial" w:cs="Arial" w:eastAsia="Arial" w:hAnsi="Arial"/>
          <w:sz w:val="16"/>
          <w:szCs w:val="16"/>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w:t>
      </w:r>
    </w:p>
    <w:p>
      <w:pPr>
        <w:spacing w:after="0" w:line="6"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83" w:lineRule="exact"/>
        <w:rPr>
          <w:sz w:val="20"/>
          <w:szCs w:val="20"/>
          <w:color w:val="auto"/>
        </w:rPr>
      </w:pPr>
    </w:p>
    <w:p>
      <w:pPr>
        <w:ind w:left="460" w:right="579" w:firstLine="432"/>
        <w:spacing w:after="0" w:line="264" w:lineRule="auto"/>
        <w:rPr>
          <w:sz w:val="20"/>
          <w:szCs w:val="20"/>
          <w:color w:val="auto"/>
        </w:rPr>
      </w:pPr>
      <w:r>
        <w:rPr>
          <w:rFonts w:ascii="Arial" w:cs="Arial" w:eastAsia="Arial" w:hAnsi="Arial"/>
          <w:sz w:val="18"/>
          <w:szCs w:val="18"/>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10" w:lineRule="exact"/>
        <w:rPr>
          <w:sz w:val="20"/>
          <w:szCs w:val="20"/>
          <w:color w:val="auto"/>
        </w:rPr>
      </w:pPr>
    </w:p>
    <w:p>
      <w:pPr>
        <w:ind w:left="1320" w:right="459" w:hanging="425"/>
        <w:spacing w:after="0" w:line="261" w:lineRule="auto"/>
        <w:tabs>
          <w:tab w:leader="none" w:pos="130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Big data services </w:t>
      </w:r>
      <w:r>
        <w:rPr>
          <w:rFonts w:ascii="Arial" w:cs="Arial" w:eastAsia="Arial" w:hAnsi="Arial"/>
          <w:sz w:val="18"/>
          <w:szCs w:val="18"/>
          <w:color w:val="auto"/>
        </w:rPr>
        <w:t>— The banking industry has accumulated a large amount of transaction data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operations process, representing a significant value for its owners. Big data applications can help banks make strategic decisions integrate resources, and make adjustments when industry changes take place so as to gain competitive advantages.</w:t>
      </w:r>
    </w:p>
    <w:p>
      <w:pPr>
        <w:spacing w:after="0" w:line="112" w:lineRule="exact"/>
        <w:rPr>
          <w:rFonts w:ascii="Arial" w:cs="Arial" w:eastAsia="Arial" w:hAnsi="Arial"/>
          <w:sz w:val="18"/>
          <w:szCs w:val="18"/>
          <w:b w:val="1"/>
          <w:bCs w:val="1"/>
          <w:color w:val="auto"/>
        </w:rPr>
      </w:pPr>
    </w:p>
    <w:p>
      <w:pPr>
        <w:ind w:left="1320" w:right="699" w:hanging="425"/>
        <w:spacing w:after="0" w:line="281" w:lineRule="auto"/>
        <w:tabs>
          <w:tab w:leader="none" w:pos="130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Innovation in channel solutions </w:t>
      </w:r>
      <w:r>
        <w:rPr>
          <w:rFonts w:ascii="Arial" w:cs="Arial" w:eastAsia="Arial" w:hAnsi="Arial"/>
          <w:sz w:val="17"/>
          <w:szCs w:val="17"/>
          <w:color w:val="auto"/>
        </w:rPr>
        <w:t>— Channel innovation has become the key to innovations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China’s commercial banks, including Internet and mobile banking. IDC research indicates that e-banking construction will be the key target of channel solution investment for China’s banking industry, especially small and medium-sized banks, in the next five years.</w:t>
      </w:r>
    </w:p>
    <w:p>
      <w:pPr>
        <w:spacing w:after="0" w:line="83" w:lineRule="exact"/>
        <w:rPr>
          <w:rFonts w:ascii="Arial" w:cs="Arial" w:eastAsia="Arial" w:hAnsi="Arial"/>
          <w:sz w:val="17"/>
          <w:szCs w:val="17"/>
          <w:b w:val="1"/>
          <w:bCs w:val="1"/>
          <w:color w:val="auto"/>
        </w:rPr>
      </w:pPr>
    </w:p>
    <w:p>
      <w:pPr>
        <w:ind w:left="1320" w:right="679" w:hanging="425"/>
        <w:spacing w:after="0" w:line="303" w:lineRule="auto"/>
        <w:tabs>
          <w:tab w:leader="none" w:pos="130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prevention </w:t>
      </w:r>
      <w:r>
        <w:rPr>
          <w:rFonts w:ascii="Arial" w:cs="Arial" w:eastAsia="Arial" w:hAnsi="Arial"/>
          <w:sz w:val="16"/>
          <w:szCs w:val="16"/>
          <w:color w:val="auto"/>
        </w:rPr>
        <w:t>— China’s commercial banks are required to establish a comprehensive risk</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framework under the new capital supervision, thus making risk management a top priority for the industry. China’s IT service providers will continue to explore in this field to meet the increasingly strict and comprehensive risk management requirements of financial industry.</w:t>
      </w:r>
    </w:p>
    <w:p>
      <w:pPr>
        <w:spacing w:after="0" w:line="83" w:lineRule="exact"/>
        <w:rPr>
          <w:rFonts w:ascii="Arial" w:cs="Arial" w:eastAsia="Arial" w:hAnsi="Arial"/>
          <w:sz w:val="16"/>
          <w:szCs w:val="16"/>
          <w:b w:val="1"/>
          <w:bCs w:val="1"/>
          <w:color w:val="auto"/>
        </w:rPr>
      </w:pPr>
    </w:p>
    <w:p>
      <w:pPr>
        <w:ind w:left="1320" w:right="779" w:hanging="425"/>
        <w:spacing w:after="0" w:line="266" w:lineRule="auto"/>
        <w:tabs>
          <w:tab w:leader="none" w:pos="130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Specialized services </w:t>
      </w:r>
      <w:r>
        <w:rPr>
          <w:rFonts w:ascii="Arial" w:cs="Arial" w:eastAsia="Arial" w:hAnsi="Arial"/>
          <w:sz w:val="18"/>
          <w:szCs w:val="18"/>
          <w:color w:val="auto"/>
        </w:rPr>
        <w:t>— Financial service providers strive to deepen their understanding of bank</w:t>
      </w:r>
      <w:r>
        <w:rPr>
          <w:rFonts w:ascii="Arial" w:cs="Arial" w:eastAsia="Arial" w:hAnsi="Arial"/>
          <w:sz w:val="18"/>
          <w:szCs w:val="18"/>
          <w:b w:val="1"/>
          <w:bCs w:val="1"/>
          <w:color w:val="auto"/>
        </w:rPr>
        <w:t xml:space="preserve"> </w:t>
      </w:r>
      <w:r>
        <w:rPr>
          <w:rFonts w:ascii="Arial" w:cs="Arial" w:eastAsia="Arial" w:hAnsi="Arial"/>
          <w:sz w:val="18"/>
          <w:szCs w:val="18"/>
          <w:color w:val="auto"/>
        </w:rPr>
        <w:t>users’ individual needs. As an individual’s needs change, the banks tend to purchase more specialized services and IT services.</w:t>
      </w:r>
    </w:p>
    <w:p>
      <w:pPr>
        <w:spacing w:after="0" w:line="108" w:lineRule="exact"/>
        <w:rPr>
          <w:rFonts w:ascii="Arial" w:cs="Arial" w:eastAsia="Arial" w:hAnsi="Arial"/>
          <w:sz w:val="18"/>
          <w:szCs w:val="18"/>
          <w:b w:val="1"/>
          <w:bCs w:val="1"/>
          <w:color w:val="auto"/>
        </w:rPr>
      </w:pPr>
    </w:p>
    <w:p>
      <w:pPr>
        <w:ind w:left="1320" w:right="579" w:hanging="425"/>
        <w:spacing w:after="0" w:line="274" w:lineRule="auto"/>
        <w:tabs>
          <w:tab w:leader="none" w:pos="130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Internationalization of business </w:t>
      </w:r>
      <w:r>
        <w:rPr>
          <w:rFonts w:ascii="Arial" w:cs="Arial" w:eastAsia="Arial" w:hAnsi="Arial"/>
          <w:sz w:val="17"/>
          <w:szCs w:val="17"/>
          <w:color w:val="auto"/>
        </w:rPr>
        <w:t>— With the reform and opening up of China’s financial market,</w:t>
      </w:r>
      <w:r>
        <w:rPr>
          <w:rFonts w:ascii="Arial" w:cs="Arial" w:eastAsia="Arial" w:hAnsi="Arial"/>
          <w:sz w:val="17"/>
          <w:szCs w:val="17"/>
          <w:b w:val="1"/>
          <w:bCs w:val="1"/>
          <w:color w:val="auto"/>
        </w:rPr>
        <w:t xml:space="preserve"> </w:t>
      </w:r>
      <w:r>
        <w:rPr>
          <w:rFonts w:ascii="Arial" w:cs="Arial" w:eastAsia="Arial" w:hAnsi="Arial"/>
          <w:sz w:val="17"/>
          <w:szCs w:val="17"/>
          <w:color w:val="auto"/>
        </w:rPr>
        <w:t>more foreign banks and financial institutions have settled in China. Foreign financial institutions tend to outsource a large number of non-core IT services. As a result, Chinese IT service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Credit Card Services</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right="459" w:firstLine="432"/>
        <w:spacing w:after="0" w:line="276" w:lineRule="auto"/>
        <w:rPr>
          <w:sz w:val="20"/>
          <w:szCs w:val="20"/>
          <w:color w:val="auto"/>
        </w:rPr>
      </w:pPr>
      <w:r>
        <w:rPr>
          <w:rFonts w:ascii="Arial" w:cs="Arial" w:eastAsia="Arial" w:hAnsi="Arial"/>
          <w:sz w:val="17"/>
          <w:szCs w:val="17"/>
          <w:color w:val="auto"/>
        </w:rPr>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pacing w:after="0" w:line="91"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meet the needs of our clients better.</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Core Banking Services</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94"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blockchain.</w:t>
      </w:r>
    </w:p>
    <w:p>
      <w:pPr>
        <w:spacing w:after="0" w:line="126"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97" w:lineRule="exact"/>
        <w:rPr>
          <w:sz w:val="20"/>
          <w:szCs w:val="20"/>
          <w:color w:val="auto"/>
        </w:rPr>
      </w:pPr>
    </w:p>
    <w:p>
      <w:pPr>
        <w:ind w:left="460" w:right="559" w:firstLine="432"/>
        <w:spacing w:after="0" w:line="302" w:lineRule="auto"/>
        <w:rPr>
          <w:sz w:val="20"/>
          <w:szCs w:val="20"/>
          <w:color w:val="auto"/>
        </w:rPr>
      </w:pPr>
      <w:r>
        <w:rPr>
          <w:rFonts w:ascii="Arial" w:cs="Arial" w:eastAsia="Arial" w:hAnsi="Arial"/>
          <w:sz w:val="16"/>
          <w:szCs w:val="16"/>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8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right="799"/>
        <w:spacing w:after="0" w:line="259" w:lineRule="auto"/>
        <w:rPr>
          <w:sz w:val="20"/>
          <w:szCs w:val="20"/>
          <w:color w:val="auto"/>
        </w:rPr>
      </w:pPr>
      <w:r>
        <w:rPr>
          <w:rFonts w:ascii="Arial" w:cs="Arial" w:eastAsia="Arial" w:hAnsi="Arial"/>
          <w:sz w:val="18"/>
          <w:szCs w:val="18"/>
          <w:color w:val="auto"/>
        </w:rPr>
        <w:t>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w:t>
      </w:r>
    </w:p>
    <w:p>
      <w:pPr>
        <w:spacing w:after="0" w:line="106"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We will continue to develop our new IT solutions to meet the evolving needs of our Chinese and global financial institutional clientele drawing upon the forward-looking research of our R&amp;D center.</w:t>
      </w:r>
    </w:p>
    <w:p>
      <w:pPr>
        <w:spacing w:after="0" w:line="7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Services</w:t>
      </w:r>
    </w:p>
    <w:p>
      <w:pPr>
        <w:spacing w:after="0" w:line="15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training platform for IT talents</w:t>
      </w:r>
      <w:r>
        <w:rPr>
          <w:rFonts w:ascii="Arial" w:cs="Arial" w:eastAsia="Arial" w:hAnsi="Arial"/>
          <w:sz w:val="16"/>
          <w:szCs w:val="16"/>
          <w:i w:val="1"/>
          <w:iCs w:val="1"/>
          <w:color w:val="auto"/>
        </w:rPr>
        <w:t xml:space="preserve"> </w:t>
      </w:r>
      <w:r>
        <w:rPr>
          <w:rFonts w:ascii="Arial" w:cs="Arial" w:eastAsia="Arial" w:hAnsi="Arial"/>
          <w:sz w:val="16"/>
          <w:szCs w:val="16"/>
          <w:color w:val="auto"/>
        </w:rPr>
        <w:t>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have developed and intend to implement the following strategies to expand and grow the size of our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43" w:lineRule="exact"/>
        <w:rPr>
          <w:sz w:val="20"/>
          <w:szCs w:val="20"/>
          <w:color w:val="auto"/>
        </w:rPr>
      </w:pPr>
    </w:p>
    <w:p>
      <w:pPr>
        <w:ind w:left="1320" w:right="459" w:hanging="425"/>
        <w:spacing w:after="0" w:line="270" w:lineRule="auto"/>
        <w:tabs>
          <w:tab w:leader="none" w:pos="1302"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w:t>
      </w:r>
      <w:r>
        <w:rPr>
          <w:rFonts w:ascii="Arial" w:cs="Arial" w:eastAsia="Arial" w:hAnsi="Arial"/>
          <w:sz w:val="17"/>
          <w:szCs w:val="17"/>
          <w:i w:val="1"/>
          <w:iCs w:val="1"/>
          <w:color w:val="auto"/>
        </w:rPr>
        <w:t xml:space="preserve"> </w:t>
      </w:r>
      <w:r>
        <w:rPr>
          <w:rFonts w:ascii="Arial" w:cs="Arial" w:eastAsia="Arial" w:hAnsi="Arial"/>
          <w:sz w:val="17"/>
          <w:szCs w:val="17"/>
          <w:color w:val="auto"/>
        </w:rPr>
        <w:t>from existing Chinese and global clients, 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14" w:lineRule="exact"/>
        <w:rPr>
          <w:rFonts w:ascii="Arial" w:cs="Arial" w:eastAsia="Arial" w:hAnsi="Arial"/>
          <w:sz w:val="17"/>
          <w:szCs w:val="17"/>
          <w:i w:val="1"/>
          <w:iCs w:val="1"/>
          <w:color w:val="auto"/>
        </w:rPr>
      </w:pPr>
    </w:p>
    <w:p>
      <w:pPr>
        <w:ind w:left="1320" w:right="519" w:hanging="425"/>
        <w:spacing w:after="0" w:line="254" w:lineRule="auto"/>
        <w:tabs>
          <w:tab w:leader="none" w:pos="1302"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invest in research and development, deepen domain expertise and develop specific solutions for target industry verticals </w:t>
      </w:r>
      <w:r>
        <w:rPr>
          <w:rFonts w:ascii="Arial" w:cs="Arial" w:eastAsia="Arial" w:hAnsi="Arial"/>
          <w:sz w:val="18"/>
          <w:szCs w:val="18"/>
          <w:color w:val="auto"/>
        </w:rPr>
        <w:t>— We will continue to enhance our domain knowledge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11" w:lineRule="exact"/>
        <w:rPr>
          <w:rFonts w:ascii="Arial" w:cs="Arial" w:eastAsia="Arial" w:hAnsi="Arial"/>
          <w:sz w:val="18"/>
          <w:szCs w:val="18"/>
          <w:i w:val="1"/>
          <w:iCs w:val="1"/>
          <w:color w:val="auto"/>
        </w:rPr>
      </w:pPr>
    </w:p>
    <w:p>
      <w:pPr>
        <w:ind w:left="1320" w:right="479" w:hanging="425"/>
        <w:spacing w:after="0" w:line="270" w:lineRule="auto"/>
        <w:tabs>
          <w:tab w:leader="none" w:pos="1302"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w:t>
      </w:r>
      <w:r>
        <w:rPr>
          <w:rFonts w:ascii="Arial" w:cs="Arial" w:eastAsia="Arial" w:hAnsi="Arial"/>
          <w:sz w:val="17"/>
          <w:szCs w:val="17"/>
          <w:i w:val="1"/>
          <w:iCs w:val="1"/>
          <w:color w:val="auto"/>
        </w:rPr>
        <w:t xml:space="preserve"> </w:t>
      </w:r>
      <w:r>
        <w:rPr>
          <w:rFonts w:ascii="Arial" w:cs="Arial" w:eastAsia="Arial" w:hAnsi="Arial"/>
          <w:sz w:val="17"/>
          <w:szCs w:val="17"/>
          <w:color w:val="auto"/>
        </w:rPr>
        <w:t>a high priority on attracting, training, 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1320" w:right="459"/>
        <w:spacing w:after="0" w:line="290" w:lineRule="auto"/>
        <w:rPr>
          <w:sz w:val="20"/>
          <w:szCs w:val="20"/>
          <w:color w:val="auto"/>
        </w:rPr>
      </w:pPr>
      <w:r>
        <w:rPr>
          <w:rFonts w:ascii="Arial" w:cs="Arial" w:eastAsia="Arial" w:hAnsi="Arial"/>
          <w:sz w:val="16"/>
          <w:szCs w:val="16"/>
          <w:color w:val="auto"/>
        </w:rPr>
        <w:t>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85" w:lineRule="exact"/>
        <w:rPr>
          <w:sz w:val="20"/>
          <w:szCs w:val="20"/>
          <w:color w:val="auto"/>
        </w:rPr>
      </w:pPr>
    </w:p>
    <w:p>
      <w:pPr>
        <w:ind w:left="1320" w:right="499" w:hanging="425"/>
        <w:spacing w:after="0" w:line="270" w:lineRule="auto"/>
        <w:tabs>
          <w:tab w:leader="none" w:pos="1302"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efficiencies through ongoing improvements in operational excellence </w:t>
      </w:r>
      <w:r>
        <w:rPr>
          <w:rFonts w:ascii="Arial" w:cs="Arial" w:eastAsia="Arial" w:hAnsi="Arial"/>
          <w:sz w:val="17"/>
          <w:szCs w:val="17"/>
          <w:color w:val="auto"/>
        </w:rPr>
        <w:t>— We strive to gain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operating efficiencies by 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10" w:lineRule="exact"/>
        <w:rPr>
          <w:rFonts w:ascii="Arial" w:cs="Arial" w:eastAsia="Arial" w:hAnsi="Arial"/>
          <w:sz w:val="17"/>
          <w:szCs w:val="17"/>
          <w:i w:val="1"/>
          <w:iCs w:val="1"/>
          <w:color w:val="auto"/>
        </w:rPr>
      </w:pPr>
    </w:p>
    <w:p>
      <w:pPr>
        <w:ind w:left="1320" w:right="479" w:hanging="425"/>
        <w:spacing w:after="0" w:line="255" w:lineRule="auto"/>
        <w:tabs>
          <w:tab w:leader="none" w:pos="1302"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to pursue selective alliances and 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60" w:right="579" w:firstLine="432"/>
        <w:spacing w:after="0" w:line="264"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0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believe that there are several key strengths that differentiate us from our competitors and will continue to contribute to our growth and success.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right="499" w:firstLine="432"/>
        <w:spacing w:after="0" w:line="255" w:lineRule="auto"/>
        <w:rPr>
          <w:sz w:val="20"/>
          <w:szCs w:val="20"/>
          <w:color w:val="auto"/>
        </w:rPr>
      </w:pPr>
      <w:r>
        <w:rPr>
          <w:rFonts w:ascii="Arial" w:cs="Arial" w:eastAsia="Arial" w:hAnsi="Arial"/>
          <w:sz w:val="18"/>
          <w:szCs w:val="18"/>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12" w:lineRule="exact"/>
        <w:rPr>
          <w:sz w:val="20"/>
          <w:szCs w:val="20"/>
          <w:color w:val="auto"/>
        </w:rPr>
      </w:pPr>
    </w:p>
    <w:p>
      <w:pPr>
        <w:ind w:left="460" w:right="799" w:firstLine="432"/>
        <w:spacing w:after="0" w:line="302" w:lineRule="auto"/>
        <w:rPr>
          <w:sz w:val="20"/>
          <w:szCs w:val="20"/>
          <w:color w:val="auto"/>
        </w:rPr>
      </w:pPr>
      <w:r>
        <w:rPr>
          <w:rFonts w:ascii="Arial" w:cs="Arial" w:eastAsia="Arial" w:hAnsi="Arial"/>
          <w:sz w:val="16"/>
          <w:szCs w:val="16"/>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87" w:lineRule="exact"/>
        <w:rPr>
          <w:sz w:val="20"/>
          <w:szCs w:val="20"/>
          <w:color w:val="auto"/>
        </w:rPr>
      </w:pPr>
    </w:p>
    <w:p>
      <w:pPr>
        <w:ind w:left="1300" w:hanging="40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144" w:lineRule="exact"/>
        <w:rPr>
          <w:rFonts w:ascii="Arial" w:cs="Arial" w:eastAsia="Arial" w:hAnsi="Arial"/>
          <w:sz w:val="18"/>
          <w:szCs w:val="18"/>
          <w:color w:val="auto"/>
        </w:rPr>
      </w:pPr>
    </w:p>
    <w:p>
      <w:pPr>
        <w:ind w:left="1320" w:right="719" w:hanging="425"/>
        <w:spacing w:after="0" w:line="277" w:lineRule="auto"/>
        <w:tabs>
          <w:tab w:leader="none" w:pos="13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102" w:lineRule="exact"/>
        <w:rPr>
          <w:rFonts w:ascii="Arial" w:cs="Arial" w:eastAsia="Arial" w:hAnsi="Arial"/>
          <w:sz w:val="18"/>
          <w:szCs w:val="18"/>
          <w:color w:val="auto"/>
        </w:rPr>
      </w:pPr>
    </w:p>
    <w:p>
      <w:pPr>
        <w:ind w:left="1320" w:right="919" w:hanging="425"/>
        <w:spacing w:after="0" w:line="277" w:lineRule="auto"/>
        <w:tabs>
          <w:tab w:leader="none" w:pos="13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clients include large corporations headquartered in China and globally which include, among others:</w:t>
      </w:r>
    </w:p>
    <w:p>
      <w:pPr>
        <w:spacing w:after="0" w:line="181" w:lineRule="exact"/>
        <w:rPr>
          <w:sz w:val="20"/>
          <w:szCs w:val="20"/>
          <w:color w:val="auto"/>
        </w:rPr>
      </w:pPr>
    </w:p>
    <w:p>
      <w:pPr>
        <w:ind w:left="1320" w:right="599" w:hanging="425"/>
        <w:spacing w:after="0" w:line="277" w:lineRule="auto"/>
        <w:tabs>
          <w:tab w:leader="none" w:pos="130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Citibank, Standard Chartered Bank (China) Ltd., ANZ</w:t>
      </w:r>
      <w:r>
        <w:rPr>
          <w:rFonts w:ascii="Arial" w:cs="Arial" w:eastAsia="Arial" w:hAnsi="Arial"/>
          <w:sz w:val="18"/>
          <w:szCs w:val="18"/>
          <w:i w:val="1"/>
          <w:iCs w:val="1"/>
          <w:color w:val="auto"/>
        </w:rPr>
        <w:t xml:space="preserve"> </w:t>
      </w:r>
      <w:r>
        <w:rPr>
          <w:rFonts w:ascii="Arial" w:cs="Arial" w:eastAsia="Arial" w:hAnsi="Arial"/>
          <w:sz w:val="18"/>
          <w:szCs w:val="18"/>
          <w:color w:val="auto"/>
        </w:rPr>
        <w:t>Bank, Commonwealth Bank of Australia, Bank of Communications.</w:t>
      </w:r>
    </w:p>
    <w:p>
      <w:pPr>
        <w:spacing w:after="0" w:line="102" w:lineRule="exact"/>
        <w:rPr>
          <w:rFonts w:ascii="Arial" w:cs="Arial" w:eastAsia="Arial" w:hAnsi="Arial"/>
          <w:sz w:val="18"/>
          <w:szCs w:val="18"/>
          <w:i w:val="1"/>
          <w:iCs w:val="1"/>
          <w:color w:val="auto"/>
        </w:rPr>
      </w:pPr>
    </w:p>
    <w:p>
      <w:pPr>
        <w:ind w:left="1320" w:right="639" w:hanging="425"/>
        <w:spacing w:after="0" w:line="277" w:lineRule="auto"/>
        <w:tabs>
          <w:tab w:leader="none" w:pos="130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w:t>
      </w:r>
      <w:r>
        <w:rPr>
          <w:rFonts w:ascii="Arial" w:cs="Arial" w:eastAsia="Arial" w:hAnsi="Arial"/>
          <w:sz w:val="18"/>
          <w:szCs w:val="18"/>
          <w:color w:val="auto"/>
        </w:rPr>
        <w:t>— AIA, China Life Insurance, First Data, Haitong Securities, Orient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China Universal Asset Management Company.</w:t>
      </w:r>
    </w:p>
    <w:p>
      <w:pPr>
        <w:spacing w:after="0" w:line="89" w:lineRule="exact"/>
        <w:rPr>
          <w:rFonts w:ascii="Arial" w:cs="Arial" w:eastAsia="Arial" w:hAnsi="Arial"/>
          <w:sz w:val="18"/>
          <w:szCs w:val="18"/>
          <w:i w:val="1"/>
          <w:iCs w:val="1"/>
          <w:color w:val="auto"/>
        </w:rPr>
      </w:pPr>
    </w:p>
    <w:p>
      <w:pPr>
        <w:ind w:left="1320" w:right="739" w:hanging="425"/>
        <w:spacing w:after="0" w:line="277" w:lineRule="auto"/>
        <w:tabs>
          <w:tab w:leader="none" w:pos="130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CRIF Information Technology, Experian, AGFA Healthcare and</w:t>
      </w:r>
      <w:r>
        <w:rPr>
          <w:rFonts w:ascii="Arial" w:cs="Arial" w:eastAsia="Arial" w:hAnsi="Arial"/>
          <w:sz w:val="18"/>
          <w:szCs w:val="18"/>
          <w:i w:val="1"/>
          <w:iCs w:val="1"/>
          <w:color w:val="auto"/>
        </w:rPr>
        <w:t xml:space="preserve"> </w:t>
      </w:r>
      <w:r>
        <w:rPr>
          <w:rFonts w:ascii="Arial" w:cs="Arial" w:eastAsia="Arial" w:hAnsi="Arial"/>
          <w:sz w:val="18"/>
          <w:szCs w:val="18"/>
          <w:color w:val="auto"/>
        </w:rPr>
        <w:t>Neusoft.</w:t>
      </w:r>
    </w:p>
    <w:p>
      <w:pPr>
        <w:spacing w:after="0" w:line="103" w:lineRule="exact"/>
        <w:rPr>
          <w:sz w:val="20"/>
          <w:szCs w:val="20"/>
          <w:color w:val="auto"/>
        </w:rPr>
      </w:pPr>
    </w:p>
    <w:p>
      <w:pPr>
        <w:ind w:left="460" w:right="659" w:firstLine="432"/>
        <w:spacing w:after="0" w:line="264"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We have invested in building a broad sales force and marketing team. As of December 31, 2017, our business development teams consisted of 24 full-time sales and marketing personnel, including 19 sales managers, each of whom is responsible for a designated sales region or client account. We plan to enhance our sales efforts by recruiting more sales personnel both domestically and overseas.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right="499"/>
        <w:spacing w:after="0" w:line="285" w:lineRule="auto"/>
        <w:rPr>
          <w:sz w:val="20"/>
          <w:szCs w:val="20"/>
          <w:color w:val="auto"/>
        </w:rPr>
      </w:pPr>
      <w:r>
        <w:rPr>
          <w:rFonts w:ascii="Arial" w:cs="Arial" w:eastAsia="Arial" w:hAnsi="Arial"/>
          <w:sz w:val="16"/>
          <w:szCs w:val="16"/>
          <w:color w:val="auto"/>
        </w:rPr>
        <w:t>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jc w:val="both"/>
        <w:ind w:left="460" w:right="639" w:firstLine="432"/>
        <w:spacing w:after="0" w:line="264" w:lineRule="auto"/>
        <w:rPr>
          <w:sz w:val="20"/>
          <w:szCs w:val="20"/>
          <w:color w:val="auto"/>
        </w:rPr>
      </w:pPr>
      <w:r>
        <w:rPr>
          <w:rFonts w:ascii="Arial" w:cs="Arial" w:eastAsia="Arial" w:hAnsi="Arial"/>
          <w:sz w:val="18"/>
          <w:szCs w:val="18"/>
          <w:color w:val="auto"/>
        </w:rPr>
        <w:t>R&amp;D is an integral part of our continued growth. In order to serve our Chinese and global clients’ needs better, we focus on exploring and researching new and advanced technologies and how to best integrate them into our existing and new solutions.</w:t>
      </w:r>
    </w:p>
    <w:p>
      <w:pPr>
        <w:spacing w:after="0" w:line="11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w:t>
      </w:r>
    </w:p>
    <w:p>
      <w:pPr>
        <w:spacing w:after="0" w:line="8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color w:val="auto"/>
        </w:rPr>
        <w:t>Intellectual Property Rights</w:t>
      </w:r>
    </w:p>
    <w:p>
      <w:pPr>
        <w:spacing w:after="0" w:line="162"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The PRC has domestic laws for the protection of rights in copyrights, trademarks and trade secrets. The PRC is also a signatory to all of the world’s major intellectual property conventions, including:</w:t>
      </w:r>
    </w:p>
    <w:p>
      <w:pPr>
        <w:spacing w:after="0" w:line="66" w:lineRule="exact"/>
        <w:rPr>
          <w:sz w:val="20"/>
          <w:szCs w:val="20"/>
          <w:color w:val="auto"/>
        </w:rPr>
      </w:pPr>
    </w:p>
    <w:p>
      <w:pPr>
        <w:ind w:left="1300" w:hanging="40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1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0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5" w:name="page86"/>
    <w:bookmarkEnd w:id="85"/>
    <w:p>
      <w:pPr>
        <w:ind w:left="900"/>
        <w:spacing w:after="0"/>
        <w:rPr>
          <w:sz w:val="20"/>
          <w:szCs w:val="20"/>
          <w:color w:val="auto"/>
        </w:rPr>
      </w:pPr>
      <w:r>
        <w:rPr>
          <w:rFonts w:ascii="Arial" w:cs="Arial" w:eastAsia="Arial" w:hAnsi="Arial"/>
          <w:sz w:val="18"/>
          <w:szCs w:val="18"/>
          <w:color w:val="auto"/>
        </w:rPr>
        <w:t>We have registered for the following trademarks: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Application</w:t>
            </w: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Mark</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8"/>
                <w:szCs w:val="18"/>
                <w:color w:val="auto"/>
              </w:rPr>
            </w:pPr>
          </w:p>
        </w:tc>
        <w:tc>
          <w:tcPr>
            <w:tcW w:w="244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Class/Description</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Current Owner</w:t>
            </w:r>
          </w:p>
        </w:tc>
        <w:tc>
          <w:tcPr>
            <w:tcW w:w="120" w:type="dxa"/>
            <w:vAlign w:val="bottom"/>
          </w:tcPr>
          <w:p>
            <w:pPr>
              <w:spacing w:after="0"/>
              <w:rPr>
                <w:sz w:val="18"/>
                <w:szCs w:val="18"/>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Status</w:t>
            </w:r>
          </w:p>
        </w:tc>
      </w:tr>
      <w:tr>
        <w:trPr>
          <w:trHeight w:val="201"/>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880" w:type="dxa"/>
            <w:vAlign w:val="bottom"/>
          </w:tcPr>
          <w:p>
            <w:pPr>
              <w:ind w:left="80"/>
              <w:spacing w:after="0" w:line="201" w:lineRule="exact"/>
              <w:rPr>
                <w:sz w:val="20"/>
                <w:szCs w:val="20"/>
                <w:color w:val="auto"/>
              </w:rPr>
            </w:pPr>
            <w:r>
              <w:rPr>
                <w:rFonts w:ascii="Arial" w:cs="Arial" w:eastAsia="Arial" w:hAnsi="Arial"/>
                <w:sz w:val="18"/>
                <w:szCs w:val="18"/>
                <w:color w:val="auto"/>
                <w:w w:val="97"/>
              </w:rPr>
              <w:t>19288958</w:t>
            </w:r>
          </w:p>
        </w:tc>
        <w:tc>
          <w:tcPr>
            <w:tcW w:w="1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Class 9: Recorded computer</w:t>
            </w:r>
          </w:p>
        </w:tc>
        <w:tc>
          <w:tcPr>
            <w:tcW w:w="14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7"/>
                <w:szCs w:val="17"/>
                <w:color w:val="auto"/>
              </w:rPr>
            </w:pPr>
          </w:p>
        </w:tc>
        <w:tc>
          <w:tcPr>
            <w:tcW w:w="840" w:type="dxa"/>
            <w:vAlign w:val="bottom"/>
          </w:tcPr>
          <w:p>
            <w:pPr>
              <w:spacing w:after="0" w:line="201" w:lineRule="exact"/>
              <w:rPr>
                <w:sz w:val="20"/>
                <w:szCs w:val="20"/>
                <w:color w:val="auto"/>
              </w:rPr>
            </w:pPr>
            <w:r>
              <w:rPr>
                <w:rFonts w:ascii="Arial" w:cs="Arial" w:eastAsia="Arial" w:hAnsi="Arial"/>
                <w:sz w:val="18"/>
                <w:szCs w:val="18"/>
                <w:color w:val="auto"/>
                <w:w w:val="94"/>
              </w:rPr>
              <w:t>Registered</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4"/>
              </w:rPr>
              <w:t>programs (programs); Recorded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computer operating programs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2"/>
              </w:rPr>
              <w:t>Computer peripherals; Computer</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7"/>
              </w:rPr>
              <w:t>software (recorded); Connector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(data processing equipment);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Monitor program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2"/>
              </w:rPr>
              <w:t>program); Electronic publications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(downloadable);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program (downloadable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software); Downloadable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9"/>
              </w:rPr>
              <w:t>computer application software;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Computer hardware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7"/>
              </w:rPr>
              <w:t>19289112</w:t>
            </w: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Class 38: Information</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w w:val="94"/>
              </w:rPr>
              <w:t>Registered</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3"/>
              </w:rPr>
              <w:t>transmission; Computer terminal</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3"/>
              </w:rPr>
              <w:t>communication; Computer-aided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information and image</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transmission; Information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8"/>
              </w:rPr>
              <w:t>transmission equipment rental;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4"/>
              </w:rPr>
              <w:t>Provide telecommunications link</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services to connect with the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global computer network;</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3"/>
              </w:rPr>
              <w:t>Telecommunications routing and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1"/>
              </w:rPr>
              <w:t>junction services; Provide access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service for global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2"/>
              </w:rPr>
              <w:t>network users; Provide database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access service; Digital file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transfer Teleconference call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19289503   Class 9: Recorded computer</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w w:val="94"/>
              </w:rPr>
              <w:t>Registered</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4"/>
              </w:rPr>
              <w:t>programs (programs); Recorded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computer operating programs;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2"/>
              </w:rPr>
              <w:t>Computer peripherals; Computer</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7"/>
              </w:rPr>
              <w:t>software (recorded); Connector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(data processing equipment);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Monitor program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2"/>
              </w:rPr>
              <w:t>program); Electronic publications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(downloadable);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program (downloadable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software); Downloadable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w w:val="99"/>
              </w:rPr>
              <w:t>computer application software;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Computer hardware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19289341   Class 42: Technical research;</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w w:val="94"/>
              </w:rPr>
              <w:t>Registered</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Research or develop new</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products for others; Computer</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programming; Computer</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software design; Computer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hardware design and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ind w:left="120"/>
              <w:spacing w:after="0"/>
              <w:rPr>
                <w:sz w:val="20"/>
                <w:szCs w:val="20"/>
                <w:color w:val="auto"/>
              </w:rPr>
            </w:pPr>
            <w:r>
              <w:rPr>
                <w:rFonts w:ascii="Arial" w:cs="Arial" w:eastAsia="Arial" w:hAnsi="Arial"/>
                <w:sz w:val="18"/>
                <w:szCs w:val="18"/>
                <w:color w:val="auto"/>
              </w:rPr>
              <w:t>development consulting;</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-7185660</wp:posOffset>
            </wp:positionV>
            <wp:extent cx="617220" cy="2489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-5247640</wp:posOffset>
            </wp:positionV>
            <wp:extent cx="617220" cy="248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-2898140</wp:posOffset>
            </wp:positionV>
            <wp:extent cx="634365"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-960120</wp:posOffset>
            </wp:positionV>
            <wp:extent cx="634365" cy="2489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8"/>
          <w:szCs w:val="18"/>
          <w:color w:val="auto"/>
        </w:rPr>
        <w:t>Computer software rental;</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Computer software maintenance;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Computer system analysis;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Computer software installation;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Computer software consulting</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900"/>
        <w:spacing w:after="0"/>
        <w:rPr>
          <w:sz w:val="20"/>
          <w:szCs w:val="20"/>
          <w:color w:val="auto"/>
        </w:rPr>
      </w:pPr>
      <w:r>
        <w:rPr>
          <w:rFonts w:ascii="Arial" w:cs="Arial" w:eastAsia="Arial" w:hAnsi="Arial"/>
          <w:sz w:val="18"/>
          <w:szCs w:val="18"/>
          <w:color w:val="auto"/>
        </w:rPr>
        <w:t>We have applied to register the following trademarks: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2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w w:val="96"/>
              </w:rPr>
              <w:t>Application</w:t>
            </w: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Mark</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62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Class/Description</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Current Owner</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Status</w:t>
            </w:r>
          </w:p>
        </w:tc>
      </w:tr>
      <w:tr>
        <w:trPr>
          <w:trHeight w:val="201"/>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880" w:type="dxa"/>
            <w:vAlign w:val="bottom"/>
          </w:tcPr>
          <w:p>
            <w:pPr>
              <w:ind w:left="80"/>
              <w:spacing w:after="0" w:line="201" w:lineRule="exact"/>
              <w:rPr>
                <w:sz w:val="20"/>
                <w:szCs w:val="20"/>
                <w:color w:val="auto"/>
              </w:rPr>
            </w:pPr>
            <w:r>
              <w:rPr>
                <w:rFonts w:ascii="Arial" w:cs="Arial" w:eastAsia="Arial" w:hAnsi="Arial"/>
                <w:sz w:val="18"/>
                <w:szCs w:val="18"/>
                <w:color w:val="auto"/>
                <w:w w:val="97"/>
              </w:rPr>
              <w:t>19289066</w:t>
            </w:r>
          </w:p>
        </w:tc>
        <w:tc>
          <w:tcPr>
            <w:tcW w:w="1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6"/>
              </w:rPr>
              <w:t>Class 35: Advertising; Advertising</w:t>
            </w:r>
          </w:p>
        </w:tc>
        <w:tc>
          <w:tcPr>
            <w:tcW w:w="12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4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9"/>
              </w:rPr>
              <w:t>agency Advertising space rental;</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Online advertising on the computer</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network; Advertisement layout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design; Business management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assistance; Business inquiry;</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Business information agency;</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Business management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7"/>
              </w:rPr>
              <w:t>organization consulting; Business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management consulting</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19289214   Class 41: Teaching; Education;</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Training; Practical training</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(demonstration); Employment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guidance (education or training</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2"/>
              </w:rPr>
              <w:t>consultants); Arrange and organize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8"/>
              </w:rPr>
              <w:t>academic seminars; Arrange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organize meetings; Arrange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organize general meeting; Arrange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4"/>
              </w:rPr>
              <w:t>and organize symposium; Arrange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and organize training classes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19289175   Class 42: Technical research;</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Research or develop new products</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2"/>
              </w:rPr>
              <w:t>for others; Computer programming;</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Computer software design;</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Computer hardware design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development consulting; Computer</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2"/>
              </w:rPr>
              <w:t>software rental; Computer software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maintenance; Computer system</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analysis; Computer software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installation; Computer software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consulting</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w w:val="93"/>
              </w:rPr>
              <w:t>19289492   Class 38: Information transmission;</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Computer terminal communication;</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Computer-aided information and</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image transmission; Information</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transmission equipment rental;</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Provide telecommunications link</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4"/>
              </w:rPr>
              <w:t>services to connect with the global</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computer network;</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9"/>
              </w:rPr>
              <w:t>Telecommunications routing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8"/>
              </w:rPr>
              <w:t>junction services; Provide access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1"/>
              </w:rPr>
              <w:t>service for global computer network</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users; Provide database access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service; Digital file transfer;</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Teleconference call service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3620" w:type="dxa"/>
            <w:vAlign w:val="bottom"/>
            <w:gridSpan w:val="3"/>
          </w:tcPr>
          <w:p>
            <w:pPr>
              <w:ind w:left="80"/>
              <w:spacing w:after="0"/>
              <w:rPr>
                <w:sz w:val="20"/>
                <w:szCs w:val="20"/>
                <w:color w:val="auto"/>
              </w:rPr>
            </w:pPr>
            <w:r>
              <w:rPr>
                <w:rFonts w:ascii="Arial" w:cs="Arial" w:eastAsia="Arial" w:hAnsi="Arial"/>
                <w:sz w:val="18"/>
                <w:szCs w:val="18"/>
                <w:color w:val="auto"/>
              </w:rPr>
              <w:t>19289420   Class 41: Teaching; Education;</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Training; Practical training</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(demonstration); Employment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guidance (education or training</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2"/>
              </w:rPr>
              <w:t>consultants); Arrange and organize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8"/>
              </w:rPr>
              <w:t>academic seminars; Arrange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organize meetings; Arrange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w w:val="93"/>
              </w:rPr>
              <w:t>organize general meeting; Arrange</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-7734935</wp:posOffset>
            </wp:positionV>
            <wp:extent cx="61722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-6208395</wp:posOffset>
            </wp:positionV>
            <wp:extent cx="617220" cy="248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-4681855</wp:posOffset>
            </wp:positionV>
            <wp:extent cx="617220" cy="24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-3018155</wp:posOffset>
            </wp:positionV>
            <wp:extent cx="634365"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-1097280</wp:posOffset>
            </wp:positionV>
            <wp:extent cx="634365" cy="248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8"/>
          <w:szCs w:val="18"/>
          <w:color w:val="auto"/>
        </w:rPr>
        <w:t>and organize symposium; Arrange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organize training classes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900"/>
        <w:spacing w:after="0"/>
        <w:rPr>
          <w:sz w:val="20"/>
          <w:szCs w:val="20"/>
          <w:color w:val="auto"/>
        </w:rPr>
      </w:pPr>
      <w:r>
        <w:rPr>
          <w:rFonts w:ascii="Arial" w:cs="Arial" w:eastAsia="Arial" w:hAnsi="Arial"/>
          <w:sz w:val="18"/>
          <w:szCs w:val="18"/>
          <w:color w:val="auto"/>
        </w:rPr>
        <w:t>The following is a list of the Company’s copyrights: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Software Name</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Current Owner</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Approval Date</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CLPS HR Management</w:t>
            </w:r>
          </w:p>
        </w:tc>
        <w:tc>
          <w:tcPr>
            <w:tcW w:w="1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2009SR015975</w:t>
            </w:r>
          </w:p>
        </w:tc>
        <w:tc>
          <w:tcPr>
            <w:tcW w:w="12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1"/>
              </w:rPr>
              <w:t>29</w:t>
            </w:r>
            <w:r>
              <w:rPr>
                <w:rFonts w:ascii="Arial" w:cs="Arial" w:eastAsia="Arial" w:hAnsi="Arial"/>
                <w:sz w:val="21"/>
                <w:szCs w:val="21"/>
                <w:color w:val="auto"/>
                <w:w w:val="91"/>
                <w:vertAlign w:val="superscript"/>
              </w:rPr>
              <w:t>th</w:t>
            </w:r>
            <w:r>
              <w:rPr>
                <w:rFonts w:ascii="Arial" w:cs="Arial" w:eastAsia="Arial" w:hAnsi="Arial"/>
                <w:sz w:val="18"/>
                <w:szCs w:val="18"/>
                <w:color w:val="auto"/>
                <w:w w:val="91"/>
              </w:rPr>
              <w:t xml:space="preserve"> April 2009</w:t>
            </w:r>
          </w:p>
        </w:tc>
        <w:tc>
          <w:tcPr>
            <w:tcW w:w="12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Food and Beverage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2009SR060110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28</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December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Report Analysis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9"/>
              </w:rPr>
              <w:t>CLPS Apparel Industry POS</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2009SR060102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28</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December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Express Information</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2009SR060112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28</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December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6"/>
              </w:rPr>
              <w:t>Interactive Platform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2"/>
              </w:rPr>
              <w:t>CLPS Chain Store Information</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2009SR060108</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28</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December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6"/>
              </w:rPr>
              <w:t>Interactive Platform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Project Analysis and</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2009SR060169</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28</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December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Payroll Accounting</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2010SR043564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25</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August</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System Platform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4"/>
              </w:rPr>
              <w:t>CLPS Fast Moving Consumer</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2010SR043561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25</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August</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Goods Frontline Staff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Staff Management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2010SR043562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8"/>
              </w:rPr>
              <w:t>25</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August</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5"/>
              </w:rPr>
              <w:t>CLPS Coal Mining Enterprise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2010SR045449</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5"/>
              </w:rPr>
              <w:t>1</w:t>
            </w:r>
            <w:r>
              <w:rPr>
                <w:rFonts w:ascii="Arial" w:cs="Arial" w:eastAsia="Arial" w:hAnsi="Arial"/>
                <w:sz w:val="21"/>
                <w:szCs w:val="21"/>
                <w:color w:val="auto"/>
                <w:w w:val="85"/>
                <w:vertAlign w:val="superscript"/>
              </w:rPr>
              <w:t>st</w:t>
            </w:r>
            <w:r>
              <w:rPr>
                <w:rFonts w:ascii="Arial" w:cs="Arial" w:eastAsia="Arial" w:hAnsi="Arial"/>
                <w:sz w:val="18"/>
                <w:szCs w:val="18"/>
                <w:color w:val="auto"/>
                <w:w w:val="85"/>
              </w:rPr>
              <w:t xml:space="preserve"> September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Information System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4"/>
              </w:rPr>
              <w:t>CLPS Campus Expense Card</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2010SR045441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5"/>
              </w:rPr>
              <w:t>1</w:t>
            </w:r>
            <w:r>
              <w:rPr>
                <w:rFonts w:ascii="Arial" w:cs="Arial" w:eastAsia="Arial" w:hAnsi="Arial"/>
                <w:sz w:val="21"/>
                <w:szCs w:val="21"/>
                <w:color w:val="auto"/>
                <w:w w:val="85"/>
                <w:vertAlign w:val="superscript"/>
              </w:rPr>
              <w:t>st</w:t>
            </w:r>
            <w:r>
              <w:rPr>
                <w:rFonts w:ascii="Arial" w:cs="Arial" w:eastAsia="Arial" w:hAnsi="Arial"/>
                <w:sz w:val="18"/>
                <w:szCs w:val="18"/>
                <w:color w:val="auto"/>
                <w:w w:val="85"/>
              </w:rPr>
              <w:t xml:space="preserve"> September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3"/>
              </w:rPr>
              <w:t>Web Service System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4"/>
              </w:rPr>
              <w:t>CLPS Campus Expense Card</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2010SR045444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5"/>
              </w:rPr>
              <w:t>1</w:t>
            </w:r>
            <w:r>
              <w:rPr>
                <w:rFonts w:ascii="Arial" w:cs="Arial" w:eastAsia="Arial" w:hAnsi="Arial"/>
                <w:sz w:val="21"/>
                <w:szCs w:val="21"/>
                <w:color w:val="auto"/>
                <w:w w:val="85"/>
                <w:vertAlign w:val="superscript"/>
              </w:rPr>
              <w:t>st</w:t>
            </w:r>
            <w:r>
              <w:rPr>
                <w:rFonts w:ascii="Arial" w:cs="Arial" w:eastAsia="Arial" w:hAnsi="Arial"/>
                <w:sz w:val="18"/>
                <w:szCs w:val="18"/>
                <w:color w:val="auto"/>
                <w:w w:val="85"/>
              </w:rPr>
              <w:t xml:space="preserve"> September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Bathroom Management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Service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Machinery Industry</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2010SR045802</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5"/>
              </w:rPr>
              <w:t>2</w:t>
            </w:r>
            <w:r>
              <w:rPr>
                <w:rFonts w:ascii="Arial" w:cs="Arial" w:eastAsia="Arial" w:hAnsi="Arial"/>
                <w:sz w:val="21"/>
                <w:szCs w:val="21"/>
                <w:color w:val="auto"/>
                <w:w w:val="85"/>
                <w:vertAlign w:val="superscript"/>
              </w:rPr>
              <w:t>nd</w:t>
            </w:r>
            <w:r>
              <w:rPr>
                <w:rFonts w:ascii="Arial" w:cs="Arial" w:eastAsia="Arial" w:hAnsi="Arial"/>
                <w:sz w:val="18"/>
                <w:szCs w:val="18"/>
                <w:color w:val="auto"/>
                <w:w w:val="85"/>
              </w:rPr>
              <w:t xml:space="preserve"> September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ERP 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9"/>
              </w:rPr>
              <w:t>CLPS Assignment and Task</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2011SR076863</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9"/>
              </w:rPr>
              <w:t>25</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Software(short name: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Assignment and Task</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System)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Marketing Assistant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2012SR096727</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9"/>
              </w:rPr>
              <w:t>15</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System Platform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Outsourcing Service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2012SR096666</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9"/>
              </w:rPr>
              <w:t>15</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Staff Management System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CLPS Outsourcing Service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2012SR096731</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0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9"/>
              </w:rPr>
              <w:t>15</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Staff System Background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21" w:lineRule="exact"/>
        <w:rPr>
          <w:sz w:val="20"/>
          <w:szCs w:val="20"/>
          <w:color w:val="auto"/>
        </w:rPr>
      </w:pPr>
    </w:p>
    <w:p>
      <w:pPr>
        <w:sectPr>
          <w:pgSz w:w="11900" w:h="16838" w:orient="portrait"/>
          <w:cols w:equalWidth="0" w:num="1">
            <w:col w:w="9019"/>
          </w:cols>
          <w:pgMar w:left="1440" w:top="274" w:right="1440" w:bottom="0" w:gutter="0" w:footer="0" w:header="0"/>
        </w:sect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88" w:name="page89"/>
    <w:bookmarkEnd w:id="88"/>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Software Name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Registration</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6"/>
              </w:rPr>
              <w:t>Current Owner</w:t>
            </w:r>
          </w:p>
        </w:tc>
        <w:tc>
          <w:tcPr>
            <w:tcW w:w="116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93"/>
              </w:rPr>
              <w:t>Approval Date</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01"/>
        </w:trPr>
        <w:tc>
          <w:tcPr>
            <w:tcW w:w="2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CLPS Logistics Terminal</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2012SR096668</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15</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9"/>
              </w:rPr>
              <w:t>Distribution Platform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5"/>
              </w:rPr>
              <w:t>CLPS HR Background Support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2012SR098440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19</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System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CLPS HR Management System</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2012SR098429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19</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6"/>
              </w:rPr>
              <w:t>Platform Software(short name: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5"/>
              </w:rPr>
              <w:t>HR management system)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2"/>
              </w:rPr>
              <w:t>CLPS Outsourcing Service Staff</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2012SR098687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19</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Resume Entry System Platform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1"/>
              </w:rPr>
              <w:t>CLPS Bank Document Business</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2013SR054800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6"/>
              </w:rPr>
              <w:t>5</w:t>
            </w:r>
            <w:r>
              <w:rPr>
                <w:rFonts w:ascii="Arial" w:cs="Arial" w:eastAsia="Arial" w:hAnsi="Arial"/>
                <w:sz w:val="21"/>
                <w:szCs w:val="21"/>
                <w:color w:val="auto"/>
                <w:w w:val="86"/>
                <w:vertAlign w:val="superscript"/>
              </w:rPr>
              <w:t>th</w:t>
            </w:r>
            <w:r>
              <w:rPr>
                <w:rFonts w:ascii="Arial" w:cs="Arial" w:eastAsia="Arial" w:hAnsi="Arial"/>
                <w:sz w:val="18"/>
                <w:szCs w:val="18"/>
                <w:color w:val="auto"/>
                <w:w w:val="86"/>
              </w:rPr>
              <w:t xml:space="preserve"> June 2013</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Software(short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name: Document Management)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Bank Monetary</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2013SR054796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6"/>
              </w:rPr>
              <w:t>5</w:t>
            </w:r>
            <w:r>
              <w:rPr>
                <w:rFonts w:ascii="Arial" w:cs="Arial" w:eastAsia="Arial" w:hAnsi="Arial"/>
                <w:sz w:val="21"/>
                <w:szCs w:val="21"/>
                <w:color w:val="auto"/>
                <w:w w:val="86"/>
                <w:vertAlign w:val="superscript"/>
              </w:rPr>
              <w:t>th</w:t>
            </w:r>
            <w:r>
              <w:rPr>
                <w:rFonts w:ascii="Arial" w:cs="Arial" w:eastAsia="Arial" w:hAnsi="Arial"/>
                <w:sz w:val="18"/>
                <w:szCs w:val="18"/>
                <w:color w:val="auto"/>
                <w:w w:val="86"/>
              </w:rPr>
              <w:t xml:space="preserve"> June 2013</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Transaction Management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1"/>
              </w:rPr>
              <w:t>Software (short name: Monetary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Transaction Management)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Bank Expense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2014SR168125</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November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0"/>
              </w:rPr>
              <w:t>CLPS Bank Repayment Process</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2014SR168130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November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CLPS Bank Point Accumulative</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2014SR168132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November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Bank Interest Process</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2014SR168136</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November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8"/>
              </w:rPr>
              <w:t>CLPS Bank Credit Application</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2014SR168138</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November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Credit Card Risk</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2015SR028695</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8"/>
              </w:rPr>
              <w:t>10</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February</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Credit Card Account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2015SR029015</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8"/>
              </w:rPr>
              <w:t>10</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February</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2"/>
              </w:rPr>
              <w:t>Establishment and Card Making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Credit Card Customer</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2015SR029012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8"/>
              </w:rPr>
              <w:t>10</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February</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5"/>
              </w:rPr>
              <w:t>Service Management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Credit Card Cleaning</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2015SR028884</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8"/>
              </w:rPr>
              <w:t>10</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February</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Credit Card</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2015SR028914</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8"/>
              </w:rPr>
              <w:t>10</w:t>
            </w:r>
            <w:r>
              <w:rPr>
                <w:rFonts w:ascii="Arial" w:cs="Arial" w:eastAsia="Arial" w:hAnsi="Arial"/>
                <w:sz w:val="21"/>
                <w:szCs w:val="21"/>
                <w:color w:val="auto"/>
                <w:w w:val="88"/>
                <w:vertAlign w:val="superscript"/>
              </w:rPr>
              <w:t>th</w:t>
            </w:r>
            <w:r>
              <w:rPr>
                <w:rFonts w:ascii="Arial" w:cs="Arial" w:eastAsia="Arial" w:hAnsi="Arial"/>
                <w:sz w:val="18"/>
                <w:szCs w:val="18"/>
                <w:color w:val="auto"/>
                <w:w w:val="88"/>
              </w:rPr>
              <w:t xml:space="preserve"> February</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Authorization Management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Mortgage Loan Plan</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2015SR198772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16</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Spreadsheet Tool Software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4"/>
              </w:rPr>
              <w:t>(short name: loan spreadsheet)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CLPS Bank Product</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2015SR198610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Arial" w:cs="Arial" w:eastAsia="Arial" w:hAnsi="Arial"/>
                <w:sz w:val="18"/>
                <w:szCs w:val="18"/>
                <w:color w:val="auto"/>
                <w:w w:val="89"/>
              </w:rPr>
              <w:t>16</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October</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1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Services Co.,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Ltd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21" w:lineRule="exact"/>
        <w:rPr>
          <w:sz w:val="20"/>
          <w:szCs w:val="20"/>
          <w:color w:val="auto"/>
        </w:rPr>
      </w:pPr>
    </w:p>
    <w:p>
      <w:pPr>
        <w:sectPr>
          <w:pgSz w:w="11900" w:h="16838" w:orient="portrait"/>
          <w:cols w:equalWidth="0" w:num="1">
            <w:col w:w="9019"/>
          </w:cols>
          <w:pgMar w:left="1440" w:top="125" w:right="1440" w:bottom="0" w:gutter="0" w:footer="0" w:header="0"/>
        </w:sect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0" w:gutter="0" w:footer="0" w:header="0"/>
          <w:type w:val="continuous"/>
        </w:sectPr>
      </w:pPr>
    </w:p>
    <w:bookmarkStart w:id="89" w:name="page90"/>
    <w:bookmarkEnd w:id="89"/>
    <w:tbl>
      <w:tblPr>
        <w:tblLayout w:type="fixed"/>
        <w:tblInd w:w="46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Software Name</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Current Owner</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Approval Date</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Status</w:t>
            </w:r>
          </w:p>
        </w:tc>
      </w:tr>
      <w:tr>
        <w:trPr>
          <w:trHeight w:val="201"/>
        </w:trPr>
        <w:tc>
          <w:tcPr>
            <w:tcW w:w="2140" w:type="dxa"/>
            <w:vAlign w:val="bottom"/>
          </w:tcPr>
          <w:p>
            <w:pPr>
              <w:spacing w:after="0" w:line="201" w:lineRule="exact"/>
              <w:rPr>
                <w:sz w:val="20"/>
                <w:szCs w:val="20"/>
                <w:color w:val="auto"/>
              </w:rPr>
            </w:pPr>
            <w:r>
              <w:rPr>
                <w:rFonts w:ascii="Arial" w:cs="Arial" w:eastAsia="Arial" w:hAnsi="Arial"/>
                <w:sz w:val="18"/>
                <w:szCs w:val="18"/>
                <w:color w:val="auto"/>
              </w:rPr>
              <w:t>CLPS Bank Deposit and</w:t>
            </w:r>
          </w:p>
        </w:tc>
        <w:tc>
          <w:tcPr>
            <w:tcW w:w="14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2015SR198176</w:t>
            </w:r>
          </w:p>
        </w:tc>
        <w:tc>
          <w:tcPr>
            <w:tcW w:w="120" w:type="dxa"/>
            <w:vAlign w:val="bottom"/>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Withdrawal Services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Loan</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2015SR198654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Application Management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Repayment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2015SR198649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5"/>
              </w:rPr>
              <w:t>CLPS Bank Exchange Rate</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2015SR198774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Interest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2015SR198246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Settlement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Foreign</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2015SR198240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16</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Exchange Transaction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Investment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2016SR376924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6"/>
              </w:rPr>
              <w:t>16</w:t>
            </w:r>
            <w:r>
              <w:rPr>
                <w:rFonts w:ascii="Arial" w:cs="Arial" w:eastAsia="Arial" w:hAnsi="Arial"/>
                <w:sz w:val="21"/>
                <w:szCs w:val="21"/>
                <w:color w:val="auto"/>
                <w:w w:val="86"/>
                <w:vertAlign w:val="superscript"/>
              </w:rPr>
              <w:t>th</w:t>
            </w:r>
            <w:r>
              <w:rPr>
                <w:rFonts w:ascii="Arial" w:cs="Arial" w:eastAsia="Arial" w:hAnsi="Arial"/>
                <w:sz w:val="18"/>
                <w:szCs w:val="18"/>
                <w:color w:val="auto"/>
                <w:w w:val="86"/>
              </w:rPr>
              <w:t xml:space="preserve"> December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Management Securities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Business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Bank Big Data</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2016SR382920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6"/>
              </w:rPr>
              <w:t>20</w:t>
            </w:r>
            <w:r>
              <w:rPr>
                <w:rFonts w:ascii="Arial" w:cs="Arial" w:eastAsia="Arial" w:hAnsi="Arial"/>
                <w:sz w:val="21"/>
                <w:szCs w:val="21"/>
                <w:color w:val="auto"/>
                <w:w w:val="86"/>
                <w:vertAlign w:val="superscript"/>
              </w:rPr>
              <w:t>th</w:t>
            </w:r>
            <w:r>
              <w:rPr>
                <w:rFonts w:ascii="Arial" w:cs="Arial" w:eastAsia="Arial" w:hAnsi="Arial"/>
                <w:sz w:val="18"/>
                <w:szCs w:val="18"/>
                <w:color w:val="auto"/>
                <w:w w:val="86"/>
              </w:rPr>
              <w:t xml:space="preserve"> December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Decision-making Platform</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1"/>
              </w:rPr>
              <w:t>Customer Portrayal Software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Services Ca,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Internet Financial</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2016SR398821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6"/>
              </w:rPr>
              <w:t>27</w:t>
            </w:r>
            <w:r>
              <w:rPr>
                <w:rFonts w:ascii="Arial" w:cs="Arial" w:eastAsia="Arial" w:hAnsi="Arial"/>
                <w:sz w:val="21"/>
                <w:szCs w:val="21"/>
                <w:color w:val="auto"/>
                <w:w w:val="86"/>
                <w:vertAlign w:val="superscript"/>
              </w:rPr>
              <w:t>th</w:t>
            </w:r>
            <w:r>
              <w:rPr>
                <w:rFonts w:ascii="Arial" w:cs="Arial" w:eastAsia="Arial" w:hAnsi="Arial"/>
                <w:sz w:val="18"/>
                <w:szCs w:val="18"/>
                <w:color w:val="auto"/>
                <w:w w:val="86"/>
              </w:rPr>
              <w:t xml:space="preserve"> December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Cloud Mobile Banking</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 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Wantong Calculas</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2017SR118507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CLPS Beijing</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1"/>
              </w:rPr>
              <w:t>17</w:t>
            </w:r>
            <w:r>
              <w:rPr>
                <w:rFonts w:ascii="Arial" w:cs="Arial" w:eastAsia="Arial" w:hAnsi="Arial"/>
                <w:sz w:val="21"/>
                <w:szCs w:val="21"/>
                <w:color w:val="auto"/>
                <w:w w:val="91"/>
                <w:vertAlign w:val="superscript"/>
              </w:rPr>
              <w:t>th</w:t>
            </w:r>
            <w:r>
              <w:rPr>
                <w:rFonts w:ascii="Arial" w:cs="Arial" w:eastAsia="Arial" w:hAnsi="Arial"/>
                <w:sz w:val="18"/>
                <w:szCs w:val="18"/>
                <w:color w:val="auto"/>
                <w:w w:val="91"/>
              </w:rPr>
              <w:t xml:space="preserve"> April 2017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Mall Software 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Hengtong Co.,</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RcRules Engine</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2017SR169307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CLPS Ruicheng</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0"/>
              </w:rPr>
              <w:t>9</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May 2017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Internet Financing</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2017SR119266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CLPS Ruicheng</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1"/>
              </w:rPr>
              <w:t>17</w:t>
            </w:r>
            <w:r>
              <w:rPr>
                <w:rFonts w:ascii="Arial" w:cs="Arial" w:eastAsia="Arial" w:hAnsi="Arial"/>
                <w:sz w:val="21"/>
                <w:szCs w:val="21"/>
                <w:color w:val="auto"/>
                <w:w w:val="91"/>
                <w:vertAlign w:val="superscript"/>
              </w:rPr>
              <w:t>th</w:t>
            </w:r>
            <w:r>
              <w:rPr>
                <w:rFonts w:ascii="Arial" w:cs="Arial" w:eastAsia="Arial" w:hAnsi="Arial"/>
                <w:sz w:val="18"/>
                <w:szCs w:val="18"/>
                <w:color w:val="auto"/>
                <w:w w:val="91"/>
              </w:rPr>
              <w:t xml:space="preserve"> April 2017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Collection Management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 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9"/>
              </w:rPr>
              <w:t>CLPS Points Management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2017SR119078</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CLPS Ruicheng</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1"/>
              </w:rPr>
              <w:t>17</w:t>
            </w:r>
            <w:r>
              <w:rPr>
                <w:rFonts w:ascii="Arial" w:cs="Arial" w:eastAsia="Arial" w:hAnsi="Arial"/>
                <w:sz w:val="21"/>
                <w:szCs w:val="21"/>
                <w:color w:val="auto"/>
                <w:w w:val="91"/>
                <w:vertAlign w:val="superscript"/>
              </w:rPr>
              <w:t>th</w:t>
            </w:r>
            <w:r>
              <w:rPr>
                <w:rFonts w:ascii="Arial" w:cs="Arial" w:eastAsia="Arial" w:hAnsi="Arial"/>
                <w:sz w:val="18"/>
                <w:szCs w:val="18"/>
                <w:color w:val="auto"/>
                <w:w w:val="91"/>
              </w:rPr>
              <w:t xml:space="preserve"> April 2017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Platform Software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Full-web Order</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2017SR202535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CLPS Ruicheng</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9"/>
              </w:rPr>
              <w:t>24</w:t>
            </w:r>
            <w:r>
              <w:rPr>
                <w:rFonts w:ascii="Arial" w:cs="Arial" w:eastAsia="Arial" w:hAnsi="Arial"/>
                <w:sz w:val="21"/>
                <w:szCs w:val="21"/>
                <w:color w:val="auto"/>
                <w:w w:val="89"/>
                <w:vertAlign w:val="superscript"/>
              </w:rPr>
              <w:t>th</w:t>
            </w:r>
            <w:r>
              <w:rPr>
                <w:rFonts w:ascii="Arial" w:cs="Arial" w:eastAsia="Arial" w:hAnsi="Arial"/>
                <w:sz w:val="18"/>
                <w:szCs w:val="18"/>
                <w:color w:val="auto"/>
                <w:w w:val="89"/>
              </w:rPr>
              <w:t xml:space="preserve"> May 2017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9"/>
              </w:rPr>
              <w:t>Receiving Unified Platform</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Quanxi Intelligent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2017SR565576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87"/>
              </w:rPr>
              <w:t>13</w:t>
            </w:r>
            <w:r>
              <w:rPr>
                <w:rFonts w:ascii="Arial" w:cs="Arial" w:eastAsia="Arial" w:hAnsi="Arial"/>
                <w:sz w:val="21"/>
                <w:szCs w:val="21"/>
                <w:color w:val="auto"/>
                <w:w w:val="87"/>
                <w:vertAlign w:val="superscript"/>
              </w:rPr>
              <w:t>th</w:t>
            </w:r>
            <w:r>
              <w:rPr>
                <w:rFonts w:ascii="Arial" w:cs="Arial" w:eastAsia="Arial" w:hAnsi="Arial"/>
                <w:sz w:val="18"/>
                <w:szCs w:val="18"/>
                <w:color w:val="auto"/>
                <w:w w:val="87"/>
              </w:rPr>
              <w:t xml:space="preserve"> October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Marketing Platform Clients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Growth Center Software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Enterprise</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2017SR646712</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Recruitment Intelligent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Cooperation Platform</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Software V2.0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Intelligent Online</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2017SR646507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Training Test Instructional</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V1.0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CLPS Enterprise Internet</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2017SR647634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8"/>
                <w:szCs w:val="18"/>
                <w:color w:val="auto"/>
              </w:rPr>
            </w:pPr>
          </w:p>
        </w:tc>
        <w:tc>
          <w:tcPr>
            <w:tcW w:w="110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Qinqin Loan Background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4"/>
              </w:rPr>
              <w:t>Management Software V1.0</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90" w:name="page91"/>
    <w:bookmarkEnd w:id="9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Country of</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2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Software Name</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Current Owner</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Approval Date</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Status</w:t>
            </w:r>
          </w:p>
        </w:tc>
      </w:tr>
      <w:tr>
        <w:trPr>
          <w:trHeight w:val="201"/>
        </w:trPr>
        <w:tc>
          <w:tcPr>
            <w:tcW w:w="2200" w:type="dxa"/>
            <w:vAlign w:val="bottom"/>
          </w:tcPr>
          <w:p>
            <w:pPr>
              <w:spacing w:after="0" w:line="201" w:lineRule="exact"/>
              <w:rPr>
                <w:sz w:val="20"/>
                <w:szCs w:val="20"/>
                <w:color w:val="auto"/>
              </w:rPr>
            </w:pPr>
            <w:r>
              <w:rPr>
                <w:rFonts w:ascii="Arial" w:cs="Arial" w:eastAsia="Arial" w:hAnsi="Arial"/>
                <w:sz w:val="18"/>
                <w:szCs w:val="18"/>
                <w:color w:val="auto"/>
              </w:rPr>
              <w:t>CLPS Blockchain Based</w:t>
            </w:r>
          </w:p>
        </w:tc>
        <w:tc>
          <w:tcPr>
            <w:tcW w:w="14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2017SR645676</w:t>
            </w: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Virtual Credits Background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7"/>
              </w:rPr>
              <w:t>Management Software V2.0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Services Co., Ltd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CLPS Enterprise Talent</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2017SR645650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Information Intelligent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Mangement Software V2.0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Services Co., Ltd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9"/>
              </w:rPr>
              <w:t>CLPS Credit Card Big Data</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2017SR645763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Integrated Management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Background Software V2.0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Services Co., Ltd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2"/>
              </w:rPr>
              <w:t>CLPS Enterprise Recruitment</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2017SR647190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ChinaLink</w:t>
            </w:r>
          </w:p>
        </w:tc>
        <w:tc>
          <w:tcPr>
            <w:tcW w:w="12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Arial" w:cs="Arial" w:eastAsia="Arial" w:hAnsi="Arial"/>
                <w:sz w:val="18"/>
                <w:szCs w:val="18"/>
                <w:color w:val="auto"/>
                <w:w w:val="90"/>
              </w:rPr>
              <w:t>24</w:t>
            </w:r>
            <w:r>
              <w:rPr>
                <w:rFonts w:ascii="Arial" w:cs="Arial" w:eastAsia="Arial" w:hAnsi="Arial"/>
                <w:sz w:val="21"/>
                <w:szCs w:val="21"/>
                <w:color w:val="auto"/>
                <w:w w:val="90"/>
                <w:vertAlign w:val="superscript"/>
              </w:rPr>
              <w:t>th</w:t>
            </w:r>
            <w:r>
              <w:rPr>
                <w:rFonts w:ascii="Arial" w:cs="Arial" w:eastAsia="Arial" w:hAnsi="Arial"/>
                <w:sz w:val="18"/>
                <w:szCs w:val="18"/>
                <w:color w:val="auto"/>
                <w:w w:val="90"/>
              </w:rPr>
              <w:t xml:space="preserve"> November</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Registered</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Intelligent Cooperation</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Professional</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Platform Software V2.0</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Services Co., Ltd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Properties</w:t>
      </w:r>
    </w:p>
    <w:p>
      <w:pPr>
        <w:spacing w:after="0" w:line="202" w:lineRule="exact"/>
        <w:rPr>
          <w:sz w:val="20"/>
          <w:szCs w:val="20"/>
          <w:color w:val="auto"/>
        </w:rPr>
      </w:pPr>
    </w:p>
    <w:p>
      <w:pPr>
        <w:ind w:left="460" w:right="659" w:firstLine="432"/>
        <w:spacing w:after="0" w:line="298" w:lineRule="auto"/>
        <w:rPr>
          <w:sz w:val="20"/>
          <w:szCs w:val="20"/>
          <w:color w:val="auto"/>
        </w:rPr>
      </w:pPr>
      <w:r>
        <w:rPr>
          <w:rFonts w:ascii="Arial" w:cs="Arial" w:eastAsia="Arial" w:hAnsi="Arial"/>
          <w:sz w:val="15"/>
          <w:szCs w:val="15"/>
          <w:color w:val="auto"/>
        </w:rPr>
        <w:t>Our principal executive office is located on the 2</w:t>
      </w:r>
      <w:r>
        <w:rPr>
          <w:rFonts w:ascii="Arial" w:cs="Arial" w:eastAsia="Arial" w:hAnsi="Arial"/>
          <w:sz w:val="18"/>
          <w:szCs w:val="18"/>
          <w:color w:val="auto"/>
          <w:vertAlign w:val="superscript"/>
        </w:rPr>
        <w:t>nd</w:t>
      </w:r>
      <w:r>
        <w:rPr>
          <w:rFonts w:ascii="Arial" w:cs="Arial" w:eastAsia="Arial" w:hAnsi="Arial"/>
          <w:sz w:val="15"/>
          <w:szCs w:val="15"/>
          <w:color w:val="auto"/>
        </w:rPr>
        <w:t xml:space="preserve"> Floor, Building 18, Shanghai Pudong Software Park 498 Guoshoujing Road, Pudong, Shanghai 201203, PRC. We lease the premises and the lease term expires 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June, 2019.</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addition, the Company manages and operates several other facilities. We rent an office space in Tianjin,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Shenzhen, Guangzhou, Dalian, Chengdu, Beijing, Australia and Singapore. Rent expenses amounted to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$565,328 and $431,043 for the years ended June 30, 2017 and 2016, respectively. Rent expenses amounted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$310,505 and $244,458 for the six months ended December 31, 2017 and 2016, respectively. We believe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facilities are adequate for our current needs.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Facility</w:t>
            </w:r>
          </w:p>
        </w:tc>
        <w:tc>
          <w:tcPr>
            <w:tcW w:w="140" w:type="dxa"/>
            <w:vAlign w:val="bottom"/>
          </w:tcPr>
          <w:p>
            <w:pPr>
              <w:spacing w:after="0"/>
              <w:rPr>
                <w:sz w:val="21"/>
                <w:szCs w:val="21"/>
                <w:color w:val="auto"/>
              </w:rPr>
            </w:pPr>
          </w:p>
        </w:tc>
        <w:tc>
          <w:tcPr>
            <w:tcW w:w="556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Address</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Space (m</w:t>
            </w:r>
            <w:r>
              <w:rPr>
                <w:rFonts w:ascii="Arial" w:cs="Arial" w:eastAsia="Arial" w:hAnsi="Arial"/>
                <w:sz w:val="21"/>
                <w:szCs w:val="21"/>
                <w:b w:val="1"/>
                <w:bCs w:val="1"/>
                <w:color w:val="auto"/>
                <w:w w:val="90"/>
                <w:vertAlign w:val="superscript"/>
              </w:rPr>
              <w:t>2</w:t>
            </w:r>
            <w:r>
              <w:rPr>
                <w:rFonts w:ascii="Arial" w:cs="Arial" w:eastAsia="Arial" w:hAnsi="Arial"/>
                <w:sz w:val="16"/>
                <w:szCs w:val="16"/>
                <w:b w:val="1"/>
                <w:bCs w:val="1"/>
                <w:color w:val="auto"/>
                <w:w w:val="90"/>
              </w:rPr>
              <w:t>)</w:t>
            </w:r>
          </w:p>
        </w:tc>
      </w:tr>
      <w:tr>
        <w:trPr>
          <w:trHeight w:val="195"/>
        </w:trPr>
        <w:tc>
          <w:tcPr>
            <w:tcW w:w="1460" w:type="dxa"/>
            <w:vAlign w:val="bottom"/>
          </w:tcPr>
          <w:p>
            <w:pPr>
              <w:spacing w:after="0" w:line="195" w:lineRule="exact"/>
              <w:rPr>
                <w:sz w:val="20"/>
                <w:szCs w:val="20"/>
                <w:color w:val="auto"/>
              </w:rPr>
            </w:pPr>
            <w:r>
              <w:rPr>
                <w:rFonts w:ascii="Arial" w:cs="Arial" w:eastAsia="Arial" w:hAnsi="Arial"/>
                <w:sz w:val="18"/>
                <w:szCs w:val="18"/>
                <w:color w:val="auto"/>
              </w:rPr>
              <w:t>Shanghai Office</w:t>
            </w:r>
          </w:p>
        </w:tc>
        <w:tc>
          <w:tcPr>
            <w:tcW w:w="140" w:type="dxa"/>
            <w:vAlign w:val="bottom"/>
          </w:tcPr>
          <w:p>
            <w:pPr>
              <w:spacing w:after="0"/>
              <w:rPr>
                <w:sz w:val="16"/>
                <w:szCs w:val="16"/>
                <w:color w:val="auto"/>
              </w:rPr>
            </w:pPr>
          </w:p>
        </w:tc>
        <w:tc>
          <w:tcPr>
            <w:tcW w:w="5560" w:type="dxa"/>
            <w:vAlign w:val="bottom"/>
          </w:tcPr>
          <w:p>
            <w:pPr>
              <w:spacing w:after="0" w:line="196" w:lineRule="exact"/>
              <w:rPr>
                <w:sz w:val="20"/>
                <w:szCs w:val="20"/>
                <w:color w:val="auto"/>
              </w:rPr>
            </w:pPr>
            <w:r>
              <w:rPr>
                <w:rFonts w:ascii="Arial" w:cs="Arial" w:eastAsia="Arial" w:hAnsi="Arial"/>
                <w:sz w:val="18"/>
                <w:szCs w:val="18"/>
                <w:color w:val="auto"/>
                <w:w w:val="94"/>
              </w:rPr>
              <w:t>2</w:t>
            </w:r>
            <w:r>
              <w:rPr>
                <w:rFonts w:ascii="Arial" w:cs="Arial" w:eastAsia="Arial" w:hAnsi="Arial"/>
                <w:sz w:val="21"/>
                <w:szCs w:val="21"/>
                <w:color w:val="auto"/>
                <w:w w:val="94"/>
                <w:vertAlign w:val="superscript"/>
              </w:rPr>
              <w:t>nd</w:t>
            </w:r>
            <w:r>
              <w:rPr>
                <w:rFonts w:ascii="Arial" w:cs="Arial" w:eastAsia="Arial" w:hAnsi="Arial"/>
                <w:sz w:val="18"/>
                <w:szCs w:val="18"/>
                <w:color w:val="auto"/>
                <w:w w:val="94"/>
              </w:rPr>
              <w:t xml:space="preserve"> Floor, Building 18, Shanghai Pudong Software Park, 498 Guoshoujing</w:t>
            </w:r>
          </w:p>
        </w:tc>
        <w:tc>
          <w:tcPr>
            <w:tcW w:w="12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1,259.94</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Road, Pudong District, Shanghai,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rPr>
              <w:t>Tianjin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5"/>
              </w:rPr>
              <w:t>W5-C1-403-1, 51 West Area of Financial Street, the 3</w:t>
            </w:r>
            <w:r>
              <w:rPr>
                <w:rFonts w:ascii="Arial" w:cs="Arial" w:eastAsia="Arial" w:hAnsi="Arial"/>
                <w:sz w:val="21"/>
                <w:szCs w:val="21"/>
                <w:color w:val="auto"/>
                <w:w w:val="95"/>
                <w:vertAlign w:val="superscript"/>
              </w:rPr>
              <w:t>rd</w:t>
            </w:r>
            <w:r>
              <w:rPr>
                <w:rFonts w:ascii="Arial" w:cs="Arial" w:eastAsia="Arial" w:hAnsi="Arial"/>
                <w:sz w:val="18"/>
                <w:szCs w:val="18"/>
                <w:color w:val="auto"/>
                <w:w w:val="95"/>
              </w:rPr>
              <w:t xml:space="preserve"> Street, Economic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61.52</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Development District, Tianjian,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rPr>
              <w:t>Shenzhen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5"/>
              </w:rPr>
              <w:t>Room 2008, Anhui Building, Shennan Avenue, Futian District, Shenzhen,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234.16</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Guangdong Province,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w w:val="99"/>
              </w:rPr>
              <w:t>Guangzhou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1"/>
              </w:rPr>
              <w:t>6C03, 377 Tianhe Road, Tianhe District, Guangzhou, Guangdong Province,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rPr>
              <w:t>Dalian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8"/>
              </w:rPr>
              <w:t>Room#01-04, 1/F, 1 Huixian Garden, New &amp; High-tech Industrial Park,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2,344.04</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Dalian, Liaoning Province,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rPr>
              <w:t>Chengdu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8"/>
              </w:rPr>
              <w:t>Unit 10, 25/Floor, Tower 2, 88 Jitai 5</w:t>
            </w:r>
            <w:r>
              <w:rPr>
                <w:rFonts w:ascii="Arial" w:cs="Arial" w:eastAsia="Arial" w:hAnsi="Arial"/>
                <w:sz w:val="21"/>
                <w:szCs w:val="21"/>
                <w:color w:val="auto"/>
                <w:w w:val="98"/>
                <w:vertAlign w:val="superscript"/>
              </w:rPr>
              <w:t>th</w:t>
            </w:r>
            <w:r>
              <w:rPr>
                <w:rFonts w:ascii="Arial" w:cs="Arial" w:eastAsia="Arial" w:hAnsi="Arial"/>
                <w:sz w:val="18"/>
                <w:szCs w:val="18"/>
                <w:color w:val="auto"/>
                <w:w w:val="98"/>
              </w:rPr>
              <w:t xml:space="preserve"> Road, Gaoxin District, Chengdu,</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59.74</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Sichuan District,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1460" w:type="dxa"/>
            <w:vAlign w:val="bottom"/>
          </w:tcPr>
          <w:p>
            <w:pPr>
              <w:spacing w:after="0"/>
              <w:rPr>
                <w:sz w:val="20"/>
                <w:szCs w:val="20"/>
                <w:color w:val="auto"/>
              </w:rPr>
            </w:pPr>
            <w:r>
              <w:rPr>
                <w:rFonts w:ascii="Arial" w:cs="Arial" w:eastAsia="Arial" w:hAnsi="Arial"/>
                <w:sz w:val="18"/>
                <w:szCs w:val="18"/>
                <w:color w:val="auto"/>
              </w:rPr>
              <w:t>Beijing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3"/>
              </w:rPr>
              <w:t>1/F, Shangke Chuangye Area, Guotou Shangke Building, 111 Huihe South</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460" w:type="dxa"/>
            <w:vAlign w:val="bottom"/>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Street, Gaobeidian, Chaoyang District, Beijing, PRC</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18"/>
                <w:szCs w:val="18"/>
                <w:color w:val="auto"/>
              </w:rPr>
              <w:t>Australia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w w:val="91"/>
              </w:rPr>
              <w:t>Part Tenancy 5, Part Level 9, 276 Flinders Street, Melbourne, VIC, Australia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83.5</w:t>
            </w:r>
          </w:p>
        </w:tc>
      </w:tr>
      <w:tr>
        <w:trPr>
          <w:trHeight w:val="486"/>
        </w:trPr>
        <w:tc>
          <w:tcPr>
            <w:tcW w:w="1460" w:type="dxa"/>
            <w:vAlign w:val="bottom"/>
          </w:tcPr>
          <w:p>
            <w:pPr>
              <w:spacing w:after="0"/>
              <w:rPr>
                <w:sz w:val="20"/>
                <w:szCs w:val="20"/>
                <w:color w:val="auto"/>
              </w:rPr>
            </w:pPr>
            <w:r>
              <w:rPr>
                <w:rFonts w:ascii="Arial" w:cs="Arial" w:eastAsia="Arial" w:hAnsi="Arial"/>
                <w:sz w:val="18"/>
                <w:szCs w:val="18"/>
                <w:color w:val="auto"/>
              </w:rPr>
              <w:t>Singapore Office</w:t>
            </w:r>
          </w:p>
        </w:tc>
        <w:tc>
          <w:tcPr>
            <w:tcW w:w="5700" w:type="dxa"/>
            <w:vAlign w:val="bottom"/>
            <w:gridSpan w:val="2"/>
          </w:tcPr>
          <w:p>
            <w:pPr>
              <w:ind w:left="140"/>
              <w:spacing w:after="0"/>
              <w:rPr>
                <w:sz w:val="20"/>
                <w:szCs w:val="20"/>
                <w:color w:val="auto"/>
              </w:rPr>
            </w:pPr>
            <w:r>
              <w:rPr>
                <w:rFonts w:ascii="Arial" w:cs="Arial" w:eastAsia="Arial" w:hAnsi="Arial"/>
                <w:sz w:val="18"/>
                <w:szCs w:val="18"/>
                <w:color w:val="auto"/>
              </w:rPr>
              <w:t>No. 456 Office, Singapore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78"/>
        </w:trPr>
        <w:tc>
          <w:tcPr>
            <w:tcW w:w="14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ind w:left="250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We are currently not involved in any legal proceedings; nor are we aware of any claims that could have a material adverse effect on our business, financial condition, results of operations or cash flows.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144" w:lineRule="exact"/>
        <w:rPr>
          <w:sz w:val="20"/>
          <w:szCs w:val="20"/>
          <w:color w:val="auto"/>
        </w:rPr>
      </w:pPr>
    </w:p>
    <w:p>
      <w:pPr>
        <w:ind w:left="460" w:right="639" w:firstLine="432"/>
        <w:spacing w:after="0" w:line="276" w:lineRule="auto"/>
        <w:rPr>
          <w:sz w:val="20"/>
          <w:szCs w:val="20"/>
          <w:color w:val="auto"/>
        </w:rPr>
      </w:pPr>
      <w:r>
        <w:rPr>
          <w:rFonts w:ascii="Arial" w:cs="Arial" w:eastAsia="Arial" w:hAnsi="Arial"/>
          <w:sz w:val="17"/>
          <w:szCs w:val="17"/>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05"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99"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91"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158"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15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u w:val="single" w:color="auto"/>
          <w:color w:val="auto"/>
        </w:rPr>
        <w:t>Foreign Currency Exchange.</w:t>
      </w:r>
      <w:r>
        <w:rPr>
          <w:rFonts w:ascii="Arial" w:cs="Arial" w:eastAsia="Arial" w:hAnsi="Arial"/>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91"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11"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0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u w:val="single" w:color="auto"/>
          <w:color w:val="auto"/>
        </w:rPr>
        <w:t>Circular 37</w:t>
      </w:r>
      <w:r>
        <w:rPr>
          <w:rFonts w:ascii="Arial" w:cs="Arial" w:eastAsia="Arial" w:hAnsi="Arial"/>
          <w:sz w:val="16"/>
          <w:szCs w:val="16"/>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99"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158" w:lineRule="exact"/>
        <w:rPr>
          <w:sz w:val="20"/>
          <w:szCs w:val="20"/>
          <w:color w:val="auto"/>
        </w:rPr>
      </w:pPr>
    </w:p>
    <w:p>
      <w:pPr>
        <w:ind w:left="460" w:right="659" w:firstLine="432"/>
        <w:spacing w:after="0" w:line="270" w:lineRule="auto"/>
        <w:rPr>
          <w:sz w:val="20"/>
          <w:szCs w:val="20"/>
          <w:color w:val="auto"/>
        </w:rPr>
      </w:pPr>
      <w:r>
        <w:rPr>
          <w:rFonts w:ascii="Arial" w:cs="Arial" w:eastAsia="Arial" w:hAnsi="Arial"/>
          <w:sz w:val="17"/>
          <w:szCs w:val="17"/>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01"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7"/>
          <w:szCs w:val="17"/>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05"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Regulations on Offshore Parent Holding Companies’ Direct Investment in and Loans to Their PRC Subsidiaries</w:t>
      </w:r>
    </w:p>
    <w:p>
      <w:pPr>
        <w:spacing w:after="0" w:line="181"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following table sets forth our executive officers and directors, their ages and the positions held by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them:</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Age</w:t>
            </w:r>
          </w:p>
        </w:tc>
        <w:tc>
          <w:tcPr>
            <w:tcW w:w="45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24"/>
        </w:trPr>
        <w:tc>
          <w:tcPr>
            <w:tcW w:w="20" w:type="dxa"/>
            <w:vAlign w:val="bottom"/>
          </w:tcPr>
          <w:p>
            <w:pPr>
              <w:spacing w:after="0"/>
              <w:rPr>
                <w:sz w:val="19"/>
                <w:szCs w:val="19"/>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Xiao Feng Yang</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President and Director</w:t>
            </w:r>
          </w:p>
        </w:tc>
      </w:tr>
      <w:tr>
        <w:trPr>
          <w:trHeight w:val="242"/>
        </w:trPr>
        <w:tc>
          <w:tcPr>
            <w:tcW w:w="2660" w:type="dxa"/>
            <w:vAlign w:val="bottom"/>
            <w:gridSpan w:val="3"/>
          </w:tcPr>
          <w:p>
            <w:pPr>
              <w:spacing w:after="0"/>
              <w:rPr>
                <w:sz w:val="20"/>
                <w:szCs w:val="20"/>
                <w:color w:val="auto"/>
              </w:rPr>
            </w:pPr>
            <w:r>
              <w:rPr>
                <w:rFonts w:ascii="Arial" w:cs="Arial" w:eastAsia="Arial" w:hAnsi="Arial"/>
                <w:sz w:val="18"/>
                <w:szCs w:val="18"/>
                <w:color w:val="auto"/>
              </w:rPr>
              <w:t>Raymond Ming Hui Lin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2660" w:type="dxa"/>
            <w:vAlign w:val="bottom"/>
            <w:gridSpan w:val="3"/>
          </w:tcPr>
          <w:p>
            <w:pPr>
              <w:spacing w:after="0"/>
              <w:rPr>
                <w:sz w:val="20"/>
                <w:szCs w:val="20"/>
                <w:color w:val="auto"/>
              </w:rPr>
            </w:pPr>
            <w:r>
              <w:rPr>
                <w:rFonts w:ascii="Arial" w:cs="Arial" w:eastAsia="Arial" w:hAnsi="Arial"/>
                <w:sz w:val="18"/>
                <w:szCs w:val="18"/>
                <w:color w:val="auto"/>
              </w:rPr>
              <w:t>Tian van Acken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2660" w:type="dxa"/>
            <w:vAlign w:val="bottom"/>
            <w:gridSpan w:val="3"/>
          </w:tcPr>
          <w:p>
            <w:pPr>
              <w:spacing w:after="0"/>
              <w:rPr>
                <w:sz w:val="20"/>
                <w:szCs w:val="20"/>
                <w:color w:val="auto"/>
              </w:rPr>
            </w:pPr>
            <w:r>
              <w:rPr>
                <w:rFonts w:ascii="Arial" w:cs="Arial" w:eastAsia="Arial" w:hAnsi="Arial"/>
                <w:sz w:val="18"/>
                <w:szCs w:val="18"/>
                <w:color w:val="auto"/>
              </w:rPr>
              <w:t>Jian Xu</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Senior Vice President of Operations, Corporate Secretary</w:t>
            </w:r>
          </w:p>
        </w:tc>
      </w:tr>
      <w:tr>
        <w:trPr>
          <w:trHeight w:val="256"/>
        </w:trPr>
        <w:tc>
          <w:tcPr>
            <w:tcW w:w="2660" w:type="dxa"/>
            <w:vAlign w:val="bottom"/>
            <w:gridSpan w:val="3"/>
          </w:tcPr>
          <w:p>
            <w:pPr>
              <w:spacing w:after="0"/>
              <w:rPr>
                <w:sz w:val="20"/>
                <w:szCs w:val="20"/>
                <w:color w:val="auto"/>
              </w:rPr>
            </w:pPr>
            <w:r>
              <w:rPr>
                <w:rFonts w:ascii="Arial" w:cs="Arial" w:eastAsia="Arial" w:hAnsi="Arial"/>
                <w:sz w:val="18"/>
                <w:szCs w:val="18"/>
                <w:color w:val="auto"/>
              </w:rPr>
              <w:t>Jin He Shao</w:t>
            </w:r>
            <w:r>
              <w:rPr>
                <w:rFonts w:ascii="Arial" w:cs="Arial" w:eastAsia="Arial" w:hAnsi="Arial"/>
                <w:sz w:val="21"/>
                <w:szCs w:val="21"/>
                <w:color w:val="auto"/>
                <w:vertAlign w:val="superscript"/>
              </w:rPr>
              <w:t>(1)(4)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43"/>
        </w:trPr>
        <w:tc>
          <w:tcPr>
            <w:tcW w:w="2660" w:type="dxa"/>
            <w:vAlign w:val="bottom"/>
            <w:gridSpan w:val="3"/>
          </w:tcPr>
          <w:p>
            <w:pPr>
              <w:spacing w:after="0"/>
              <w:rPr>
                <w:sz w:val="20"/>
                <w:szCs w:val="20"/>
                <w:color w:val="auto"/>
              </w:rPr>
            </w:pPr>
            <w:r>
              <w:rPr>
                <w:rFonts w:ascii="Arial" w:cs="Arial" w:eastAsia="Arial" w:hAnsi="Arial"/>
                <w:sz w:val="18"/>
                <w:szCs w:val="18"/>
                <w:color w:val="auto"/>
              </w:rPr>
              <w:t>Kewei Huang</w:t>
            </w:r>
            <w:r>
              <w:rPr>
                <w:rFonts w:ascii="Arial" w:cs="Arial" w:eastAsia="Arial" w:hAnsi="Arial"/>
                <w:sz w:val="21"/>
                <w:szCs w:val="21"/>
                <w:color w:val="auto"/>
                <w:vertAlign w:val="superscript"/>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21"/>
        </w:trPr>
        <w:tc>
          <w:tcPr>
            <w:tcW w:w="2660" w:type="dxa"/>
            <w:vAlign w:val="bottom"/>
            <w:gridSpan w:val="3"/>
          </w:tcPr>
          <w:p>
            <w:pPr>
              <w:spacing w:after="0" w:line="221" w:lineRule="exact"/>
              <w:rPr>
                <w:sz w:val="20"/>
                <w:szCs w:val="20"/>
                <w:color w:val="auto"/>
              </w:rPr>
            </w:pPr>
            <w:r>
              <w:rPr>
                <w:rFonts w:ascii="Arial" w:cs="Arial" w:eastAsia="Arial" w:hAnsi="Arial"/>
                <w:sz w:val="18"/>
                <w:szCs w:val="18"/>
                <w:color w:val="auto"/>
              </w:rPr>
              <w:t>Kathryn Amooi</w:t>
            </w:r>
            <w:r>
              <w:rPr>
                <w:rFonts w:ascii="Arial" w:cs="Arial" w:eastAsia="Arial" w:hAnsi="Arial"/>
                <w:sz w:val="21"/>
                <w:szCs w:val="21"/>
                <w:color w:val="auto"/>
                <w:vertAlign w:val="superscript"/>
              </w:rPr>
              <w:t>(3)</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20" w:type="dxa"/>
            <w:vAlign w:val="bottom"/>
          </w:tcPr>
          <w:p>
            <w:pPr>
              <w:spacing w:after="0"/>
              <w:rPr>
                <w:sz w:val="17"/>
                <w:szCs w:val="17"/>
                <w:color w:val="auto"/>
              </w:rPr>
            </w:pPr>
          </w:p>
        </w:tc>
      </w:tr>
    </w:tbl>
    <w:p>
      <w:pPr>
        <w:ind w:left="880" w:hanging="418"/>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Chair of the Audit Committee.</w:t>
      </w:r>
    </w:p>
    <w:p>
      <w:pPr>
        <w:spacing w:after="0" w:line="18" w:lineRule="exact"/>
        <w:rPr>
          <w:rFonts w:ascii="Arial" w:cs="Arial" w:eastAsia="Arial" w:hAnsi="Arial"/>
          <w:sz w:val="16"/>
          <w:szCs w:val="16"/>
          <w:color w:val="auto"/>
        </w:rPr>
      </w:pPr>
    </w:p>
    <w:p>
      <w:pPr>
        <w:ind w:left="880" w:hanging="418"/>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Chair of the Compensation Committee.</w:t>
      </w:r>
    </w:p>
    <w:p>
      <w:pPr>
        <w:spacing w:after="0" w:line="15" w:lineRule="exact"/>
        <w:rPr>
          <w:rFonts w:ascii="Arial" w:cs="Arial" w:eastAsia="Arial" w:hAnsi="Arial"/>
          <w:sz w:val="16"/>
          <w:szCs w:val="16"/>
          <w:color w:val="auto"/>
        </w:rPr>
      </w:pPr>
    </w:p>
    <w:p>
      <w:pPr>
        <w:ind w:left="880" w:hanging="418"/>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Chair of the Nominating Committee.</w:t>
      </w:r>
    </w:p>
    <w:p>
      <w:pPr>
        <w:spacing w:after="0" w:line="5" w:lineRule="exact"/>
        <w:rPr>
          <w:rFonts w:ascii="Arial" w:cs="Arial" w:eastAsia="Arial" w:hAnsi="Arial"/>
          <w:sz w:val="16"/>
          <w:szCs w:val="16"/>
          <w:color w:val="auto"/>
        </w:rPr>
      </w:pPr>
    </w:p>
    <w:p>
      <w:pPr>
        <w:ind w:left="880" w:hanging="418"/>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Audit Committee financial expert.</w:t>
      </w:r>
    </w:p>
    <w:p>
      <w:pPr>
        <w:spacing w:after="0" w:line="131" w:lineRule="exact"/>
        <w:rPr>
          <w:sz w:val="20"/>
          <w:szCs w:val="20"/>
          <w:color w:val="auto"/>
        </w:rPr>
      </w:pPr>
    </w:p>
    <w:p>
      <w:pPr>
        <w:ind w:left="460" w:right="639" w:firstLine="432"/>
        <w:spacing w:after="0" w:line="292" w:lineRule="auto"/>
        <w:rPr>
          <w:sz w:val="20"/>
          <w:szCs w:val="20"/>
          <w:color w:val="auto"/>
        </w:rPr>
      </w:pPr>
      <w:r>
        <w:rPr>
          <w:rFonts w:ascii="Arial" w:cs="Arial" w:eastAsia="Arial" w:hAnsi="Arial"/>
          <w:sz w:val="16"/>
          <w:szCs w:val="16"/>
          <w:b w:val="1"/>
          <w:bCs w:val="1"/>
          <w:color w:val="auto"/>
        </w:rPr>
        <w:t xml:space="preserve">Xiao Feng Yang </w:t>
      </w:r>
      <w:r>
        <w:rPr>
          <w:rFonts w:ascii="Arial" w:cs="Arial" w:eastAsia="Arial" w:hAnsi="Arial"/>
          <w:sz w:val="16"/>
          <w:szCs w:val="16"/>
          <w:color w:val="auto"/>
        </w:rPr>
        <w:t>is the chairman, president and director of the Company. Mr. Yang has over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management and operational experience in the IT services business. From 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81"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b w:val="1"/>
          <w:bCs w:val="1"/>
          <w:color w:val="auto"/>
        </w:rPr>
        <w:t>Raymond Ming Hui Lin</w:t>
      </w:r>
      <w:r>
        <w:rPr>
          <w:rFonts w:ascii="Arial" w:cs="Arial" w:eastAsia="Arial" w:hAnsi="Arial"/>
          <w:sz w:val="17"/>
          <w:szCs w:val="17"/>
          <w:color w:val="auto"/>
        </w:rPr>
        <w:t>, is the chief executive officer and director of the Company. Mr. Lin joined</w:t>
      </w:r>
      <w:r>
        <w:rPr>
          <w:rFonts w:ascii="Arial" w:cs="Arial" w:eastAsia="Arial" w:hAnsi="Arial"/>
          <w:sz w:val="17"/>
          <w:szCs w:val="17"/>
          <w:b w:val="1"/>
          <w:bCs w:val="1"/>
          <w:color w:val="auto"/>
        </w:rPr>
        <w:t xml:space="preserve"> </w:t>
      </w:r>
      <w:r>
        <w:rPr>
          <w:rFonts w:ascii="Arial" w:cs="Arial" w:eastAsia="Arial" w:hAnsi="Arial"/>
          <w:sz w:val="17"/>
          <w:szCs w:val="17"/>
          <w:color w:val="auto"/>
        </w:rPr>
        <w:t>CLPS in February 2009 as chief executive officer. From January 2008 to January 2009, Mr. Lin was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07"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b w:val="1"/>
          <w:bCs w:val="1"/>
          <w:color w:val="auto"/>
        </w:rPr>
        <w:t xml:space="preserve">Tian van Acken </w:t>
      </w:r>
      <w:r>
        <w:rPr>
          <w:rFonts w:ascii="Arial" w:cs="Arial" w:eastAsia="Arial" w:hAnsi="Arial"/>
          <w:sz w:val="16"/>
          <w:szCs w:val="16"/>
          <w:color w:val="auto"/>
        </w:rPr>
        <w:t>Ms. Tian van Acken is the chief financial officer of the company. From December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to September 2017, Ms. van Acken served 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a certified public accountant licensed in the State of Massachusetts.</w:t>
      </w:r>
    </w:p>
    <w:p>
      <w:pPr>
        <w:spacing w:after="0" w:line="92" w:lineRule="exact"/>
        <w:rPr>
          <w:sz w:val="20"/>
          <w:szCs w:val="20"/>
          <w:color w:val="auto"/>
        </w:rPr>
      </w:pPr>
    </w:p>
    <w:p>
      <w:pPr>
        <w:ind w:left="460" w:right="459" w:firstLine="432"/>
        <w:spacing w:after="0" w:line="274" w:lineRule="auto"/>
        <w:rPr>
          <w:sz w:val="20"/>
          <w:szCs w:val="20"/>
          <w:color w:val="auto"/>
        </w:rPr>
      </w:pPr>
      <w:r>
        <w:rPr>
          <w:rFonts w:ascii="Arial" w:cs="Arial" w:eastAsia="Arial" w:hAnsi="Arial"/>
          <w:sz w:val="17"/>
          <w:szCs w:val="17"/>
          <w:b w:val="1"/>
          <w:bCs w:val="1"/>
          <w:color w:val="auto"/>
        </w:rPr>
        <w:t xml:space="preserve">Jian Xu </w:t>
      </w:r>
      <w:r>
        <w:rPr>
          <w:rFonts w:ascii="Arial" w:cs="Arial" w:eastAsia="Arial" w:hAnsi="Arial"/>
          <w:sz w:val="17"/>
          <w:szCs w:val="17"/>
          <w:color w:val="auto"/>
        </w:rPr>
        <w:t>is our senior vice president of operations and corporate secretary. He has been the SVP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since July 2008. From December 2003 to June 2008, Mr. Xu acted as IT consultant and trainer at A-IT 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Engineering from Shenyang University of Technology.</w:t>
      </w:r>
    </w:p>
    <w:p>
      <w:pPr>
        <w:spacing w:after="0" w:line="93" w:lineRule="exact"/>
        <w:rPr>
          <w:sz w:val="20"/>
          <w:szCs w:val="20"/>
          <w:color w:val="auto"/>
        </w:rPr>
      </w:pPr>
    </w:p>
    <w:p>
      <w:pPr>
        <w:ind w:left="460" w:right="579" w:firstLine="432"/>
        <w:spacing w:after="0" w:line="295" w:lineRule="auto"/>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a partner at Shanghai Huajin Accounting &amp;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5" w:name="page96"/>
    <w:bookmarkEnd w:id="95"/>
    <w:p>
      <w:pPr>
        <w:ind w:left="460" w:right="579" w:firstLine="432"/>
        <w:spacing w:after="0" w:line="258"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the office of the chief technology 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0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7"/>
          <w:szCs w:val="17"/>
          <w:b w:val="1"/>
          <w:bCs w:val="1"/>
          <w:color w:val="auto"/>
        </w:rPr>
        <w:t xml:space="preserve">Kathryn Amooi </w:t>
      </w:r>
      <w:r>
        <w:rPr>
          <w:rFonts w:ascii="Arial" w:cs="Arial" w:eastAsia="Arial" w:hAnsi="Arial"/>
          <w:sz w:val="17"/>
          <w:szCs w:val="17"/>
          <w:color w:val="auto"/>
        </w:rPr>
        <w:t>is an independent director of the Company. Ms. Amooi has held various positions at</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 Data Processing (ADP), LLC, a 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05" w:lineRule="exact"/>
        <w:rPr>
          <w:sz w:val="20"/>
          <w:szCs w:val="20"/>
          <w:color w:val="auto"/>
        </w:rPr>
      </w:pPr>
    </w:p>
    <w:p>
      <w:pPr>
        <w:ind w:left="460" w:right="679" w:firstLine="432"/>
        <w:spacing w:after="0" w:line="264"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Composition of Board; Risk Oversight</w:t>
      </w:r>
    </w:p>
    <w:p>
      <w:pPr>
        <w:spacing w:after="0" w:line="15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98"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97"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9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107" w:lineRule="exact"/>
        <w:rPr>
          <w:sz w:val="20"/>
          <w:szCs w:val="20"/>
          <w:color w:val="auto"/>
        </w:rPr>
      </w:pPr>
    </w:p>
    <w:p>
      <w:pPr>
        <w:ind w:left="460" w:right="459" w:firstLine="432"/>
        <w:spacing w:after="0" w:line="302" w:lineRule="auto"/>
        <w:rPr>
          <w:sz w:val="20"/>
          <w:szCs w:val="20"/>
          <w:color w:val="auto"/>
        </w:rPr>
      </w:pPr>
      <w:r>
        <w:rPr>
          <w:rFonts w:ascii="Arial" w:cs="Arial" w:eastAsia="Arial" w:hAnsi="Arial"/>
          <w:sz w:val="16"/>
          <w:szCs w:val="16"/>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Director Independence</w:t>
      </w:r>
    </w:p>
    <w:p>
      <w:pPr>
        <w:spacing w:after="0" w:line="158"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900"/>
        <w:spacing w:after="0"/>
        <w:rPr>
          <w:sz w:val="20"/>
          <w:szCs w:val="20"/>
          <w:color w:val="auto"/>
        </w:rPr>
      </w:pPr>
      <w:r>
        <w:rPr>
          <w:rFonts w:ascii="Arial" w:cs="Arial" w:eastAsia="Arial" w:hAnsi="Arial"/>
          <w:sz w:val="18"/>
          <w:szCs w:val="18"/>
          <w:i w:val="1"/>
          <w:iCs w:val="1"/>
          <w:color w:val="auto"/>
        </w:rPr>
        <w:t>Duties of Directors</w:t>
      </w:r>
    </w:p>
    <w:p>
      <w:pPr>
        <w:spacing w:after="0" w:line="158" w:lineRule="exact"/>
        <w:rPr>
          <w:sz w:val="20"/>
          <w:szCs w:val="20"/>
          <w:color w:val="auto"/>
        </w:rPr>
      </w:pPr>
    </w:p>
    <w:p>
      <w:pPr>
        <w:ind w:left="460" w:right="579" w:firstLine="432"/>
        <w:spacing w:after="0" w:line="297" w:lineRule="auto"/>
        <w:rPr>
          <w:sz w:val="20"/>
          <w:szCs w:val="20"/>
          <w:color w:val="auto"/>
        </w:rPr>
      </w:pPr>
      <w:r>
        <w:rPr>
          <w:rFonts w:ascii="Arial" w:cs="Arial" w:eastAsia="Arial" w:hAnsi="Arial"/>
          <w:sz w:val="16"/>
          <w:szCs w:val="16"/>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Board Committees</w:t>
      </w:r>
    </w:p>
    <w:p>
      <w:pPr>
        <w:spacing w:after="0" w:line="144"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03"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144" w:lineRule="exact"/>
        <w:rPr>
          <w:sz w:val="20"/>
          <w:szCs w:val="20"/>
          <w:color w:val="auto"/>
        </w:rPr>
      </w:pPr>
    </w:p>
    <w:p>
      <w:pPr>
        <w:ind w:left="1320" w:right="97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02" w:lineRule="exact"/>
        <w:rPr>
          <w:rFonts w:ascii="Arial" w:cs="Arial" w:eastAsia="Arial" w:hAnsi="Arial"/>
          <w:sz w:val="18"/>
          <w:szCs w:val="18"/>
          <w:color w:val="auto"/>
        </w:rPr>
      </w:pPr>
    </w:p>
    <w:p>
      <w:pPr>
        <w:ind w:left="1320" w:right="53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5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89" w:lineRule="exact"/>
        <w:rPr>
          <w:rFonts w:ascii="Arial" w:cs="Arial" w:eastAsia="Arial" w:hAnsi="Arial"/>
          <w:sz w:val="18"/>
          <w:szCs w:val="18"/>
          <w:color w:val="auto"/>
        </w:rPr>
      </w:pPr>
    </w:p>
    <w:p>
      <w:pPr>
        <w:ind w:left="1320" w:right="117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02" w:lineRule="exact"/>
        <w:rPr>
          <w:rFonts w:ascii="Arial" w:cs="Arial" w:eastAsia="Arial" w:hAnsi="Arial"/>
          <w:sz w:val="18"/>
          <w:szCs w:val="18"/>
          <w:color w:val="auto"/>
        </w:rPr>
      </w:pPr>
    </w:p>
    <w:p>
      <w:pPr>
        <w:ind w:left="1320" w:right="679" w:hanging="425"/>
        <w:spacing w:after="0" w:line="264"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3" w:lineRule="exact"/>
        <w:rPr>
          <w:rFonts w:ascii="Arial" w:cs="Arial" w:eastAsia="Arial" w:hAnsi="Arial"/>
          <w:sz w:val="18"/>
          <w:szCs w:val="18"/>
          <w:color w:val="auto"/>
        </w:rPr>
      </w:pPr>
    </w:p>
    <w:p>
      <w:pPr>
        <w:ind w:left="1320" w:right="61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9" w:lineRule="exact"/>
        <w:rPr>
          <w:rFonts w:ascii="Arial" w:cs="Arial" w:eastAsia="Arial" w:hAnsi="Arial"/>
          <w:sz w:val="18"/>
          <w:szCs w:val="18"/>
          <w:color w:val="auto"/>
        </w:rPr>
      </w:pPr>
    </w:p>
    <w:p>
      <w:pPr>
        <w:ind w:left="1320" w:right="105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102" w:lineRule="exact"/>
        <w:rPr>
          <w:rFonts w:ascii="Arial" w:cs="Arial" w:eastAsia="Arial" w:hAnsi="Arial"/>
          <w:sz w:val="18"/>
          <w:szCs w:val="18"/>
          <w:color w:val="auto"/>
        </w:rPr>
      </w:pPr>
    </w:p>
    <w:p>
      <w:pPr>
        <w:ind w:left="1320" w:right="739" w:hanging="425"/>
        <w:spacing w:after="0" w:line="277" w:lineRule="auto"/>
        <w:tabs>
          <w:tab w:leader="none" w:pos="1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144" w:lineRule="exact"/>
        <w:rPr>
          <w:sz w:val="20"/>
          <w:szCs w:val="20"/>
          <w:color w:val="auto"/>
        </w:rPr>
      </w:pPr>
    </w:p>
    <w:p>
      <w:pPr>
        <w:ind w:left="1320" w:right="459" w:hanging="425"/>
        <w:spacing w:after="0" w:line="277" w:lineRule="auto"/>
        <w:tabs>
          <w:tab w:leader="none" w:pos="13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144" w:lineRule="exact"/>
        <w:rPr>
          <w:rFonts w:ascii="Arial" w:cs="Arial" w:eastAsia="Arial" w:hAnsi="Arial"/>
          <w:sz w:val="18"/>
          <w:szCs w:val="18"/>
          <w:color w:val="auto"/>
        </w:rPr>
      </w:pPr>
    </w:p>
    <w:p>
      <w:pPr>
        <w:ind w:left="1320" w:right="659" w:hanging="425"/>
        <w:spacing w:after="0" w:line="277" w:lineRule="auto"/>
        <w:tabs>
          <w:tab w:leader="none" w:pos="13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158" w:lineRule="exact"/>
        <w:rPr>
          <w:sz w:val="20"/>
          <w:szCs w:val="20"/>
          <w:color w:val="auto"/>
        </w:rPr>
      </w:pPr>
    </w:p>
    <w:p>
      <w:pPr>
        <w:ind w:left="1300" w:hanging="40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144" w:lineRule="exact"/>
        <w:rPr>
          <w:rFonts w:ascii="Arial" w:cs="Arial" w:eastAsia="Arial" w:hAnsi="Arial"/>
          <w:sz w:val="18"/>
          <w:szCs w:val="18"/>
          <w:color w:val="auto"/>
        </w:rPr>
      </w:pPr>
    </w:p>
    <w:p>
      <w:pPr>
        <w:ind w:left="1320" w:right="619" w:hanging="425"/>
        <w:spacing w:after="0" w:line="277" w:lineRule="auto"/>
        <w:tabs>
          <w:tab w:leader="none" w:pos="13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Code of Business Conduct and Ethics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Duties of Directors</w:t>
      </w:r>
    </w:p>
    <w:p>
      <w:pPr>
        <w:spacing w:after="0" w:line="144"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ind w:left="90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44" w:lineRule="exact"/>
        <w:rPr>
          <w:sz w:val="20"/>
          <w:szCs w:val="20"/>
          <w:color w:val="auto"/>
        </w:rPr>
      </w:pPr>
    </w:p>
    <w:p>
      <w:pPr>
        <w:ind w:left="1300" w:hanging="40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57" w:lineRule="exact"/>
        <w:rPr>
          <w:rFonts w:ascii="Arial" w:cs="Arial" w:eastAsia="Arial" w:hAnsi="Arial"/>
          <w:sz w:val="18"/>
          <w:szCs w:val="18"/>
          <w:color w:val="auto"/>
        </w:rPr>
      </w:pPr>
    </w:p>
    <w:p>
      <w:pPr>
        <w:ind w:left="1320" w:right="539" w:hanging="425"/>
        <w:spacing w:after="0" w:line="277" w:lineRule="auto"/>
        <w:tabs>
          <w:tab w:leader="none" w:pos="13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the payment of donations to religious, charitable, public or other bodies, clubs, funds or associations as deemed advisable;</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exercising the borrowing powers of the company and mortgaging the property of the company;</w:t>
      </w:r>
    </w:p>
    <w:p>
      <w:pPr>
        <w:spacing w:after="0" w:line="155" w:lineRule="exact"/>
        <w:rPr>
          <w:rFonts w:ascii="Arial" w:cs="Arial" w:eastAsia="Arial" w:hAnsi="Arial"/>
          <w:sz w:val="17"/>
          <w:szCs w:val="17"/>
          <w:color w:val="auto"/>
        </w:rPr>
      </w:pPr>
    </w:p>
    <w:p>
      <w:pPr>
        <w:ind w:left="1300" w:hanging="40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executing checks, promissory notes and other negotiable instruments on behalf of the company; and</w:t>
      </w:r>
    </w:p>
    <w:p>
      <w:pPr>
        <w:spacing w:after="0" w:line="180" w:lineRule="exact"/>
        <w:rPr>
          <w:rFonts w:ascii="Arial" w:cs="Arial" w:eastAsia="Arial" w:hAnsi="Arial"/>
          <w:sz w:val="16"/>
          <w:szCs w:val="16"/>
          <w:color w:val="auto"/>
        </w:rPr>
      </w:pPr>
    </w:p>
    <w:p>
      <w:pPr>
        <w:ind w:left="1300" w:hanging="405"/>
        <w:spacing w:after="0"/>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maintaining or registering a register of mortgages, charges or other encumbrances of the company.</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Interested Transactions</w:t>
      </w:r>
    </w:p>
    <w:p>
      <w:pPr>
        <w:spacing w:after="0" w:line="15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7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Remuneration and Borrowing</w:t>
      </w:r>
    </w:p>
    <w:p>
      <w:pPr>
        <w:spacing w:after="0" w:line="14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Qualification</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following table shows the annual compensation paid by us for the years ended June 30, 2017 and June 30, 2016.</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left="141"/>
              <w:spacing w:after="0"/>
              <w:rPr>
                <w:sz w:val="20"/>
                <w:szCs w:val="20"/>
                <w:color w:val="auto"/>
              </w:rPr>
            </w:pPr>
            <w:r>
              <w:rPr>
                <w:rFonts w:ascii="Arial" w:cs="Arial" w:eastAsia="Arial" w:hAnsi="Arial"/>
                <w:sz w:val="16"/>
                <w:szCs w:val="16"/>
                <w:b w:val="1"/>
                <w:bCs w:val="1"/>
                <w:color w:val="auto"/>
                <w:w w:val="98"/>
              </w:rPr>
              <w:t>Equity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1"/>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Name/principal position</w:t>
            </w:r>
          </w:p>
        </w:tc>
        <w:tc>
          <w:tcPr>
            <w:tcW w:w="140" w:type="dxa"/>
            <w:vAlign w:val="bottom"/>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9"/>
              </w:rPr>
              <w:t>Salary</w:t>
            </w:r>
          </w:p>
        </w:tc>
        <w:tc>
          <w:tcPr>
            <w:tcW w:w="120" w:type="dxa"/>
            <w:vAlign w:val="bottom"/>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Compensation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88"/>
              </w:rPr>
              <w:t>Total Paid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89"/>
              </w:rPr>
              <w:t>Xiao Feng Yang, Chairman and President</w:t>
            </w:r>
            <w:r>
              <w:rPr>
                <w:rFonts w:ascii="Arial" w:cs="Arial" w:eastAsia="Arial" w:hAnsi="Arial"/>
                <w:sz w:val="21"/>
                <w:szCs w:val="21"/>
                <w:color w:val="auto"/>
                <w:w w:val="89"/>
                <w:vertAlign w:val="superscript"/>
              </w:rPr>
              <w:t>(1)</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47,396</w:t>
            </w:r>
          </w:p>
        </w:tc>
        <w:tc>
          <w:tcPr>
            <w:tcW w:w="900" w:type="dxa"/>
            <w:vAlign w:val="bottom"/>
            <w:gridSpan w:val="2"/>
          </w:tcPr>
          <w:p>
            <w:pPr>
              <w:jc w:val="right"/>
              <w:ind w:right="621"/>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3,260,616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3,308,012</w:t>
            </w: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Raymond Ming Hui Lin, CEO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Director</w:t>
            </w:r>
            <w:r>
              <w:rPr>
                <w:rFonts w:ascii="Arial" w:cs="Arial" w:eastAsia="Arial" w:hAnsi="Arial"/>
                <w:sz w:val="21"/>
                <w:szCs w:val="21"/>
                <w:color w:val="auto"/>
                <w:vertAlign w:val="superscript"/>
              </w:rPr>
              <w:t>(2)</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37,379</w:t>
            </w:r>
          </w:p>
        </w:tc>
        <w:tc>
          <w:tcPr>
            <w:tcW w:w="900" w:type="dxa"/>
            <w:vAlign w:val="bottom"/>
            <w:gridSpan w:val="2"/>
          </w:tcPr>
          <w:p>
            <w:pPr>
              <w:jc w:val="right"/>
              <w:ind w:right="621"/>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585,402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39,127</w:t>
            </w:r>
          </w:p>
        </w:tc>
        <w:tc>
          <w:tcPr>
            <w:tcW w:w="900" w:type="dxa"/>
            <w:vAlign w:val="bottom"/>
            <w:tcBorders>
              <w:bottom w:val="single" w:sz="8" w:color="CCEEFF"/>
            </w:tcBorders>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3,260,617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3,299,744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14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2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Tian van Acken, CFO</w:t>
            </w:r>
            <w:r>
              <w:rPr>
                <w:rFonts w:ascii="Arial" w:cs="Arial" w:eastAsia="Arial" w:hAnsi="Arial"/>
                <w:sz w:val="21"/>
                <w:szCs w:val="21"/>
                <w:color w:val="auto"/>
                <w:vertAlign w:val="superscript"/>
              </w:rPr>
              <w:t>(3)</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21"/>
              <w:spacing w:after="0"/>
              <w:rPr>
                <w:sz w:val="20"/>
                <w:szCs w:val="20"/>
                <w:color w:val="auto"/>
              </w:rPr>
            </w:pPr>
            <w:r>
              <w:rPr>
                <w:rFonts w:ascii="Arial" w:cs="Arial" w:eastAsia="Arial" w:hAnsi="Arial"/>
                <w:sz w:val="18"/>
                <w:szCs w:val="18"/>
                <w:color w:val="auto"/>
              </w:rPr>
              <w:t>—  $</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00" w:right="519" w:hanging="438"/>
        <w:spacing w:after="0" w:line="264" w:lineRule="auto"/>
        <w:tabs>
          <w:tab w:leader="none" w:pos="8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Appointed Chairman and President effective as of December 9, 2017. All other compensation amounts represent cash dividend payments in 2016 and 2017.</w:t>
      </w:r>
    </w:p>
    <w:p>
      <w:pPr>
        <w:ind w:left="900" w:right="519" w:hanging="438"/>
        <w:spacing w:after="0" w:line="253" w:lineRule="auto"/>
        <w:tabs>
          <w:tab w:leader="none" w:pos="8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Appointed Chief Executive Officer effective as of December 9, 2017. All other compensation amounts represent cash dividend payments in 2016 and 2017.</w:t>
      </w:r>
    </w:p>
    <w:p>
      <w:pPr>
        <w:ind w:left="880" w:hanging="418"/>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Appointed Chief Financial Officer effective as of December 9, 2017.</w:t>
      </w:r>
    </w:p>
    <w:p>
      <w:pPr>
        <w:spacing w:after="0" w:line="135"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Xian Feng Yang Employment Agreement</w:t>
      </w:r>
    </w:p>
    <w:p>
      <w:pPr>
        <w:spacing w:after="0" w:line="144"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On December 9, 2017, we entered into an employment agreement with Xian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w:t>
      </w:r>
    </w:p>
    <w:p>
      <w:pPr>
        <w:sectPr>
          <w:pgSz w:w="11900" w:h="16838" w:orient="portrait"/>
          <w:cols w:equalWidth="0" w:num="1">
            <w:col w:w="9019"/>
          </w:cols>
          <w:pgMar w:left="1440" w:top="337"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0" w:name="page101"/>
    <w:bookmarkEnd w:id="100"/>
    <w:p>
      <w:pPr>
        <w:ind w:left="460" w:right="479"/>
        <w:spacing w:after="0" w:line="286" w:lineRule="auto"/>
        <w:rPr>
          <w:sz w:val="20"/>
          <w:szCs w:val="20"/>
          <w:color w:val="auto"/>
        </w:rPr>
      </w:pPr>
      <w:r>
        <w:rPr>
          <w:rFonts w:ascii="Arial" w:cs="Arial" w:eastAsia="Arial" w:hAnsi="Arial"/>
          <w:sz w:val="16"/>
          <w:szCs w:val="16"/>
          <w:color w:val="auto"/>
        </w:rPr>
        <w:t>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Tian van Acken Employment Agreement</w:t>
      </w:r>
    </w:p>
    <w:p>
      <w:pPr>
        <w:spacing w:after="0" w:line="14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2017 Equity Incentive Plan</w:t>
      </w:r>
    </w:p>
    <w:p>
      <w:pPr>
        <w:spacing w:after="0" w:line="162"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11" w:lineRule="exact"/>
        <w:rPr>
          <w:sz w:val="20"/>
          <w:szCs w:val="20"/>
          <w:color w:val="auto"/>
        </w:rPr>
      </w:pPr>
    </w:p>
    <w:p>
      <w:pPr>
        <w:ind w:left="460" w:right="1019" w:firstLine="432"/>
        <w:spacing w:after="0" w:line="26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the board of directors (we refer to body administering the Plan as the “Committee”).</w:t>
      </w:r>
    </w:p>
    <w:p>
      <w:pPr>
        <w:spacing w:after="0" w:line="10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i w:val="1"/>
          <w:iCs w:val="1"/>
          <w:color w:val="auto"/>
        </w:rPr>
        <w:t>Number of Shares of Common Shares</w:t>
      </w:r>
      <w:r>
        <w:rPr>
          <w:rFonts w:ascii="Arial" w:cs="Arial" w:eastAsia="Arial" w:hAnsi="Arial"/>
          <w:sz w:val="17"/>
          <w:szCs w:val="17"/>
          <w:color w:val="auto"/>
        </w:rPr>
        <w:t>. The number of common shares that may be issued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is 2,210,000. Shares issuable under the Plan 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ectPr>
          <w:pgSz w:w="11900" w:h="16838" w:orient="portrait"/>
          <w:cols w:equalWidth="0" w:num="1">
            <w:col w:w="9019"/>
          </w:cols>
          <w:pgMar w:left="1440" w:top="274"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900"/>
        <w:spacing w:after="0"/>
        <w:tabs>
          <w:tab w:leader="none" w:pos="180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 key employees and directors of the Company are eligible to receive awards under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13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and stock unit awards to participants. Each award made under the Plan will be evidenced by a written award agreement specifying the terms and conditions of the award as determined by the Committee in its sole discretion, consistent with the terms of the Plan.</w:t>
      </w:r>
    </w:p>
    <w:p>
      <w:pPr>
        <w:spacing w:after="0" w:line="119"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Committee has the discretion to grant non-qualified stock options or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participants and to set the terms 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The Committee has the discretion to grant stock awards to participants. Shares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will be effective and 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0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methods available for payment of any 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1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i w:val="1"/>
          <w:iCs w:val="1"/>
          <w:color w:val="auto"/>
        </w:rPr>
        <w:t>Amendment of Award Agreements; Amendment and Termination of the Plan; Term of the Plan</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amend any award 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9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jc w:val="center"/>
        <w:ind w:right="-60"/>
        <w:spacing w:after="0"/>
        <w:rPr>
          <w:sz w:val="20"/>
          <w:szCs w:val="20"/>
          <w:color w:val="auto"/>
        </w:rPr>
      </w:pPr>
      <w:r>
        <w:rPr>
          <w:rFonts w:ascii="Arial" w:cs="Arial" w:eastAsia="Arial" w:hAnsi="Arial"/>
          <w:sz w:val="17"/>
          <w:szCs w:val="17"/>
          <w:color w:val="auto"/>
        </w:rPr>
        <w:t>No awards may be granted under the Plan on or after the tenth anniversary of the effective date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130"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While currently the Company does not have specific amounts and grantees designated, following the completion of this offering, the Company’s Board of Directors may issue grants permissible under the Plan in such amounts and to such eligible grantees as may be advisable and appropriate in the exercise of the Board’s discretion.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Interested Transactions</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Remuneration and Borrowing</w:t>
      </w:r>
    </w:p>
    <w:p>
      <w:pPr>
        <w:spacing w:after="0" w:line="14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For the services rendered by the independent director in any capacity, the company will pay a cash fee in the amount of USD$1,500 per month.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10"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Qualification</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148" w:lineRule="exact"/>
        <w:rPr>
          <w:sz w:val="20"/>
          <w:szCs w:val="20"/>
          <w:color w:val="auto"/>
        </w:rPr>
      </w:pPr>
    </w:p>
    <w:p>
      <w:pPr>
        <w:ind w:left="460" w:right="699" w:firstLine="432"/>
        <w:spacing w:after="0" w:line="271" w:lineRule="auto"/>
        <w:rPr>
          <w:sz w:val="20"/>
          <w:szCs w:val="20"/>
          <w:color w:val="auto"/>
        </w:rPr>
      </w:pPr>
      <w:r>
        <w:rPr>
          <w:rFonts w:ascii="Arial" w:cs="Arial" w:eastAsia="Arial" w:hAnsi="Arial"/>
          <w:sz w:val="17"/>
          <w:szCs w:val="17"/>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11"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460" w:right="519" w:firstLine="432"/>
        <w:spacing w:after="0" w:line="297" w:lineRule="auto"/>
        <w:rPr>
          <w:sz w:val="20"/>
          <w:szCs w:val="20"/>
          <w:color w:val="auto"/>
        </w:rPr>
      </w:pPr>
      <w:r>
        <w:rPr>
          <w:rFonts w:ascii="Arial" w:cs="Arial" w:eastAsia="Arial" w:hAnsi="Arial"/>
          <w:sz w:val="16"/>
          <w:szCs w:val="16"/>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 Our directors received no compensation in 2017.</w:t>
      </w:r>
    </w:p>
    <w:p>
      <w:pPr>
        <w:sectPr>
          <w:pgSz w:w="11900" w:h="16838" w:orient="portrait"/>
          <w:cols w:equalWidth="0" w:num="1">
            <w:col w:w="9019"/>
          </w:cols>
          <w:pgMar w:left="1440" w:top="274" w:right="1440" w:bottom="1440" w:gutter="0" w:footer="0" w:header="0"/>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36830</wp:posOffset>
            </wp:positionV>
            <wp:extent cx="51454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and for the six months ended December 31, 2017,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148" w:lineRule="exact"/>
        <w:rPr>
          <w:sz w:val="20"/>
          <w:szCs w:val="20"/>
          <w:color w:val="auto"/>
        </w:rPr>
      </w:pPr>
    </w:p>
    <w:p>
      <w:pPr>
        <w:jc w:val="both"/>
        <w:ind w:left="460" w:right="719" w:firstLine="432"/>
        <w:spacing w:after="0" w:line="259"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related party transactions: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balances due to and due from related parties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4"/>
              </w:rPr>
              <w:t>As of 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from related parties:</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rPr>
              <w:t>Non-controlling shareholder of CLPS Beijing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Affiliates of non-controlling interest shareholder of Judge</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103,255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China*</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rPr>
              <w:t>Non-controlling interest shareholder of Judge China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Mr. Xiao Feng Yang, Chairman and President of the</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353,011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Company</w:t>
            </w:r>
            <w:r>
              <w:rPr>
                <w:rFonts w:ascii="Arial" w:cs="Arial" w:eastAsia="Arial" w:hAnsi="Arial"/>
                <w:sz w:val="21"/>
                <w:szCs w:val="21"/>
                <w:color w:val="auto"/>
                <w:vertAlign w:val="superscript"/>
              </w:rPr>
              <w:t>(ii)</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rPr>
              <w:t>Mr. Raymond Ming Hui Lin, CEO of the Company</w:t>
            </w:r>
            <w:r>
              <w:rPr>
                <w:rFonts w:ascii="Arial" w:cs="Arial" w:eastAsia="Arial" w:hAnsi="Arial"/>
                <w:sz w:val="21"/>
                <w:szCs w:val="21"/>
                <w:color w:val="auto"/>
                <w:vertAlign w:val="superscript"/>
              </w:rPr>
              <w:t>(ii)</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1,094,367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1,447,378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i w:val="1"/>
                <w:iCs w:val="1"/>
                <w:color w:val="auto"/>
                <w:w w:val="99"/>
              </w:rPr>
              <w:t>The amount was subsequently offset with the acquisition</w:t>
            </w: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tcPr>
          <w:p>
            <w:pPr>
              <w:ind w:left="160"/>
              <w:spacing w:after="0"/>
              <w:rPr>
                <w:sz w:val="20"/>
                <w:szCs w:val="20"/>
                <w:color w:val="auto"/>
              </w:rPr>
            </w:pPr>
            <w:r>
              <w:rPr>
                <w:rFonts w:ascii="Arial" w:cs="Arial" w:eastAsia="Arial" w:hAnsi="Arial"/>
                <w:sz w:val="16"/>
                <w:szCs w:val="16"/>
                <w:i w:val="1"/>
                <w:iCs w:val="1"/>
                <w:color w:val="auto"/>
              </w:rPr>
              <w:t>payable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Shanghai Qisheng Co., Ltd (“Qisheng”), controlled by the</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7,742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7,222</w:t>
            </w:r>
          </w:p>
        </w:tc>
        <w:tc>
          <w:tcPr>
            <w:tcW w:w="60" w:type="dxa"/>
            <w:vAlign w:val="bottom"/>
          </w:tcPr>
          <w:p>
            <w:pPr>
              <w:spacing w:after="0"/>
              <w:rPr>
                <w:sz w:val="16"/>
                <w:szCs w:val="16"/>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7,080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6"/>
                <w:szCs w:val="16"/>
                <w:color w:val="auto"/>
              </w:rPr>
              <w:t>Chairman of the Company</w:t>
            </w: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1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shareholder of CLPS Beijing</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6"/>
                <w:szCs w:val="16"/>
                <w:color w:val="auto"/>
              </w:rPr>
              <w:t>Non-controlling shareholder of JQ</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Mr. Raymond Ming Hui Lin, CEO of the Company</w:t>
            </w:r>
            <w:r>
              <w:rPr>
                <w:rFonts w:ascii="Arial" w:cs="Arial" w:eastAsia="Arial" w:hAnsi="Arial"/>
                <w:sz w:val="21"/>
                <w:szCs w:val="21"/>
                <w:color w:val="auto"/>
                <w:vertAlign w:val="superscript"/>
              </w:rPr>
              <w:t>(i)</w:t>
            </w:r>
          </w:p>
        </w:tc>
        <w:tc>
          <w:tcPr>
            <w:tcW w:w="2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1,140,975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1,722,711</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854,192</w:t>
            </w:r>
          </w:p>
        </w:tc>
        <w:tc>
          <w:tcPr>
            <w:tcW w:w="0" w:type="dxa"/>
            <w:vAlign w:val="bottom"/>
          </w:tcPr>
          <w:p>
            <w:pPr>
              <w:spacing w:after="0"/>
              <w:rPr>
                <w:sz w:val="1"/>
                <w:szCs w:val="1"/>
                <w:color w:val="auto"/>
              </w:rPr>
            </w:pPr>
          </w:p>
        </w:tc>
      </w:tr>
      <w:tr>
        <w:trPr>
          <w:trHeight w:val="224"/>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1,148,197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1,729,791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-3224530</wp:posOffset>
            </wp:positionV>
            <wp:extent cx="2478405"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78405" cy="4629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16510</wp:posOffset>
            </wp:positionV>
            <wp:extent cx="24009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935" cy="26035"/>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hanging="418"/>
        <w:spacing w:after="0"/>
        <w:tabs>
          <w:tab w:leader="none" w:pos="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Due to related parties mainly represents the unpaid dividends, wages and other benefit to the Company’s executives.</w:t>
      </w:r>
    </w:p>
    <w:p>
      <w:pPr>
        <w:spacing w:after="0" w:line="41" w:lineRule="exact"/>
        <w:rPr>
          <w:rFonts w:ascii="Arial" w:cs="Arial" w:eastAsia="Arial" w:hAnsi="Arial"/>
          <w:sz w:val="14"/>
          <w:szCs w:val="14"/>
          <w:color w:val="auto"/>
        </w:rPr>
      </w:pPr>
    </w:p>
    <w:p>
      <w:pPr>
        <w:ind w:left="900" w:right="539" w:hanging="438"/>
        <w:spacing w:after="0" w:line="312" w:lineRule="auto"/>
        <w:tabs>
          <w:tab w:leader="none" w:pos="89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due from Mr. Yang and Mr. Lin of $353,011 and $1,094,367 as of June 30, 2015, respectively, represented short term loans to them with annual interest of 6% and due on demand. These loans were fully repaid in August 2015. For the years ended June 30, 2016 and 2015, the interest income was $Nil and $107,662, respectively.</w:t>
      </w:r>
    </w:p>
    <w:p>
      <w:pPr>
        <w:spacing w:after="0" w:line="8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During the six months ended December 31, 2017, the Company borrowed $1,505,752 (RMB 10,000,000) from CMB Credit Facility which was fully repaid as of December 31, 2017.</w:t>
      </w:r>
    </w:p>
    <w:p>
      <w:pPr>
        <w:spacing w:after="0" w:line="126" w:lineRule="exact"/>
        <w:rPr>
          <w:sz w:val="20"/>
          <w:szCs w:val="20"/>
          <w:color w:val="auto"/>
        </w:rPr>
      </w:pPr>
    </w:p>
    <w:p>
      <w:pPr>
        <w:jc w:val="both"/>
        <w:ind w:left="460" w:right="679" w:firstLine="432"/>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with an interest rate at 5.655% per annum expiring June 30, 2018.</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February 2018, the Company borrowed $1,906,193 (RMB 12,000,000) from China Merchants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loans are due in May and July 2018.</w:t>
      </w:r>
    </w:p>
    <w:p>
      <w:pPr>
        <w:spacing w:after="0" w:line="116" w:lineRule="exact"/>
        <w:rPr>
          <w:sz w:val="20"/>
          <w:szCs w:val="20"/>
          <w:color w:val="auto"/>
        </w:rPr>
      </w:pPr>
    </w:p>
    <w:p>
      <w:pPr>
        <w:ind w:left="460" w:right="659" w:firstLine="432"/>
        <w:spacing w:after="0" w:line="264" w:lineRule="auto"/>
        <w:rPr>
          <w:sz w:val="20"/>
          <w:szCs w:val="20"/>
          <w:color w:val="auto"/>
        </w:rPr>
      </w:pPr>
      <w:r>
        <w:rPr>
          <w:rFonts w:ascii="Arial" w:cs="Arial" w:eastAsia="Arial" w:hAnsi="Arial"/>
          <w:sz w:val="18"/>
          <w:szCs w:val="18"/>
          <w:color w:val="auto"/>
        </w:rPr>
        <w:t>On May 8 and 10, 2018, Raymond Minghui Lin made several loans in the total amount of RMB 8,240,000 to CLPS Shanghai for working capital and general corporate purposes. All of such loans have been repaid in full on or before May 22, 2018.</w:t>
      </w:r>
    </w:p>
    <w:p>
      <w:pPr>
        <w:sectPr>
          <w:pgSz w:w="11900" w:h="16838" w:orient="portrait"/>
          <w:cols w:equalWidth="0" w:num="1">
            <w:col w:w="9019"/>
          </w:cols>
          <w:pgMar w:left="1440" w:top="337"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36830</wp:posOffset>
            </wp:positionV>
            <wp:extent cx="5145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43" w:lineRule="exact"/>
        <w:rPr>
          <w:sz w:val="20"/>
          <w:szCs w:val="20"/>
          <w:color w:val="auto"/>
        </w:rPr>
      </w:pPr>
    </w:p>
    <w:p>
      <w:pPr>
        <w:ind w:left="1320" w:right="999" w:hanging="425"/>
        <w:spacing w:after="0" w:line="277" w:lineRule="auto"/>
        <w:tabs>
          <w:tab w:leader="none" w:pos="13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common shares;</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April 17,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April 17, 2018. Unless otherwise indicated, the address of each beneficial owner listed in the table below is c/o CLPS</w:t>
      </w:r>
    </w:p>
    <w:p>
      <w:pPr>
        <w:spacing w:after="0" w:line="6" w:lineRule="exact"/>
        <w:rPr>
          <w:sz w:val="20"/>
          <w:szCs w:val="20"/>
          <w:color w:val="auto"/>
        </w:rPr>
      </w:pPr>
    </w:p>
    <w:p>
      <w:pPr>
        <w:ind w:left="460" w:right="779"/>
        <w:spacing w:after="0" w:line="238" w:lineRule="auto"/>
        <w:rPr>
          <w:sz w:val="20"/>
          <w:szCs w:val="20"/>
          <w:color w:val="auto"/>
        </w:rPr>
      </w:pPr>
      <w:r>
        <w:rPr>
          <w:rFonts w:ascii="Arial" w:cs="Arial" w:eastAsia="Arial" w:hAnsi="Arial"/>
          <w:sz w:val="18"/>
          <w:szCs w:val="18"/>
          <w:color w:val="auto"/>
        </w:rPr>
        <w:t>Incorporation, c/o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Floor, Building 18, Shanghai Pudong Software Park, 498 Guoshoujing Road, Pudong, Shanghai 201203. People’s Republic of China.</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92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Beneficial Ownership</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After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920" w:type="dxa"/>
            <w:vAlign w:val="bottom"/>
            <w:gridSpan w:val="2"/>
          </w:tcPr>
          <w:p>
            <w:pPr>
              <w:jc w:val="right"/>
              <w:ind w:right="631"/>
              <w:spacing w:after="0"/>
              <w:rPr>
                <w:sz w:val="20"/>
                <w:szCs w:val="20"/>
                <w:color w:val="auto"/>
              </w:rPr>
            </w:pPr>
            <w:r>
              <w:rPr>
                <w:rFonts w:ascii="Arial" w:cs="Arial" w:eastAsia="Arial" w:hAnsi="Arial"/>
                <w:sz w:val="16"/>
                <w:szCs w:val="16"/>
                <w:b w:val="1"/>
                <w:bCs w:val="1"/>
                <w:color w:val="auto"/>
              </w:rPr>
              <w:t>Prior to Offering</w:t>
            </w:r>
            <w:r>
              <w:rPr>
                <w:rFonts w:ascii="Arial" w:cs="Arial" w:eastAsia="Arial" w:hAnsi="Arial"/>
                <w:sz w:val="21"/>
                <w:szCs w:val="21"/>
                <w:b w:val="1"/>
                <w:bCs w:val="1"/>
                <w:color w:val="auto"/>
                <w:vertAlign w:val="superscript"/>
              </w:rPr>
              <w:t>(1)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Offering</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4060" w:type="dxa"/>
            <w:vAlign w:val="bottom"/>
            <w:gridSpan w:val="3"/>
          </w:tcPr>
          <w:p>
            <w:pPr>
              <w:spacing w:after="0"/>
              <w:rPr>
                <w:sz w:val="20"/>
                <w:szCs w:val="20"/>
                <w:color w:val="auto"/>
              </w:rPr>
            </w:pPr>
            <w:r>
              <w:rPr>
                <w:rFonts w:ascii="Arial" w:cs="Arial" w:eastAsia="Arial" w:hAnsi="Arial"/>
                <w:sz w:val="16"/>
                <w:szCs w:val="16"/>
                <w:b w:val="1"/>
                <w:bCs w:val="1"/>
                <w:color w:val="auto"/>
              </w:rPr>
              <w:t>Name of Beneficial Owner</w:t>
            </w:r>
          </w:p>
        </w:tc>
        <w:tc>
          <w:tcPr>
            <w:tcW w:w="1660" w:type="dxa"/>
            <w:vAlign w:val="bottom"/>
          </w:tcPr>
          <w:p>
            <w:pPr>
              <w:jc w:val="right"/>
              <w:ind w:right="72"/>
              <w:spacing w:after="0"/>
              <w:rPr>
                <w:sz w:val="20"/>
                <w:szCs w:val="20"/>
                <w:color w:val="auto"/>
              </w:rPr>
            </w:pPr>
            <w:r>
              <w:rPr>
                <w:rFonts w:ascii="Arial" w:cs="Arial" w:eastAsia="Arial" w:hAnsi="Arial"/>
                <w:sz w:val="16"/>
                <w:szCs w:val="16"/>
                <w:b w:val="1"/>
                <w:bCs w:val="1"/>
                <w:color w:val="auto"/>
              </w:rPr>
              <w:t>Common Shares</w:t>
            </w:r>
          </w:p>
        </w:tc>
        <w:tc>
          <w:tcPr>
            <w:tcW w:w="1260" w:type="dxa"/>
            <w:vAlign w:val="bottom"/>
          </w:tcPr>
          <w:p>
            <w:pPr>
              <w:jc w:val="right"/>
              <w:ind w:right="271"/>
              <w:spacing w:after="0"/>
              <w:rPr>
                <w:sz w:val="20"/>
                <w:szCs w:val="20"/>
                <w:color w:val="auto"/>
              </w:rPr>
            </w:pPr>
            <w:r>
              <w:rPr>
                <w:rFonts w:ascii="Arial" w:cs="Arial" w:eastAsia="Arial" w:hAnsi="Arial"/>
                <w:sz w:val="16"/>
                <w:szCs w:val="16"/>
                <w:b w:val="1"/>
                <w:bCs w:val="1"/>
                <w:color w:val="auto"/>
              </w:rPr>
              <w:t>Percentage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w:t>
            </w:r>
            <w:r>
              <w:rPr>
                <w:rFonts w:ascii="Arial" w:cs="Arial" w:eastAsia="Arial" w:hAnsi="Arial"/>
                <w:sz w:val="21"/>
                <w:szCs w:val="21"/>
                <w:color w:val="auto"/>
                <w:vertAlign w:val="superscript"/>
              </w:rPr>
              <w:t>(2)</w:t>
            </w:r>
          </w:p>
        </w:tc>
        <w:tc>
          <w:tcPr>
            <w:tcW w:w="1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5,000,000</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Raymond Ming Hui Lin</w:t>
            </w:r>
            <w:r>
              <w:rPr>
                <w:rFonts w:ascii="Arial" w:cs="Arial" w:eastAsia="Arial" w:hAnsi="Arial"/>
                <w:sz w:val="21"/>
                <w:szCs w:val="21"/>
                <w:color w:val="auto"/>
                <w:vertAlign w:val="superscript"/>
              </w:rPr>
              <w:t>(3)</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5,000,000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44.29%</w:t>
            </w:r>
          </w:p>
        </w:tc>
        <w:tc>
          <w:tcPr>
            <w:tcW w:w="1140" w:type="dxa"/>
            <w:vAlign w:val="bottom"/>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Jin He Shao</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Kewei Huang</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Kathryn Amooi</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4060" w:type="dxa"/>
            <w:vAlign w:val="bottom"/>
            <w:gridSpan w:val="3"/>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4040" w:type="dxa"/>
            <w:vAlign w:val="bottom"/>
            <w:gridSpan w:val="2"/>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All directors and executive officers as a group (6</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persons)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10,000,000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88.58%</w:t>
            </w:r>
          </w:p>
        </w:tc>
        <w:tc>
          <w:tcPr>
            <w:tcW w:w="1140" w:type="dxa"/>
            <w:vAlign w:val="bottom"/>
          </w:tcPr>
          <w:p>
            <w:pPr>
              <w:jc w:val="right"/>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41"/>
        </w:trPr>
        <w:tc>
          <w:tcPr>
            <w:tcW w:w="4060" w:type="dxa"/>
            <w:vAlign w:val="bottom"/>
            <w:gridSpan w:val="3"/>
          </w:tcPr>
          <w:p>
            <w:pPr>
              <w:spacing w:after="0"/>
              <w:rPr>
                <w:sz w:val="3"/>
                <w:szCs w:val="3"/>
                <w:color w:val="auto"/>
              </w:rPr>
            </w:pPr>
          </w:p>
        </w:tc>
        <w:tc>
          <w:tcPr>
            <w:tcW w:w="16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40" w:type="dxa"/>
            <w:vAlign w:val="bottom"/>
            <w:gridSpan w:val="2"/>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Qinrui Ltd.</w:t>
            </w:r>
            <w:r>
              <w:rPr>
                <w:rFonts w:ascii="Arial" w:cs="Arial" w:eastAsia="Arial" w:hAnsi="Arial"/>
                <w:sz w:val="21"/>
                <w:szCs w:val="21"/>
                <w:color w:val="auto"/>
                <w:vertAlign w:val="superscript"/>
              </w:rPr>
              <w:t>(2)</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5,000,000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44.29%</w:t>
            </w:r>
          </w:p>
        </w:tc>
        <w:tc>
          <w:tcPr>
            <w:tcW w:w="1140" w:type="dxa"/>
            <w:vAlign w:val="bottom"/>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w:t>
            </w:r>
            <w:r>
              <w:rPr>
                <w:rFonts w:ascii="Arial" w:cs="Arial" w:eastAsia="Arial" w:hAnsi="Arial"/>
                <w:sz w:val="21"/>
                <w:szCs w:val="21"/>
                <w:color w:val="auto"/>
                <w:vertAlign w:val="superscript"/>
              </w:rPr>
              <w:t>(3)</w:t>
            </w:r>
          </w:p>
        </w:tc>
        <w:tc>
          <w:tcPr>
            <w:tcW w:w="1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5,000,000</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4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10,000,000</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88.58%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1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3920" w:type="dxa"/>
            <w:vAlign w:val="bottom"/>
          </w:tcPr>
          <w:p>
            <w:pPr>
              <w:ind w:left="300"/>
              <w:spacing w:after="0"/>
              <w:rPr>
                <w:sz w:val="20"/>
                <w:szCs w:val="20"/>
                <w:color w:val="auto"/>
              </w:rPr>
            </w:pPr>
            <w:r>
              <w:rPr>
                <w:rFonts w:ascii="Arial" w:cs="Arial" w:eastAsia="Arial" w:hAnsi="Arial"/>
                <w:sz w:val="16"/>
                <w:szCs w:val="16"/>
                <w:color w:val="auto"/>
              </w:rPr>
              <w:t>Less than 1%.</w:t>
            </w: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-2637155</wp:posOffset>
            </wp:positionV>
            <wp:extent cx="242697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26970" cy="154305"/>
                    </a:xfrm>
                    <a:prstGeom prst="rect">
                      <a:avLst/>
                    </a:prstGeom>
                    <a:noFill/>
                  </pic:spPr>
                </pic:pic>
              </a:graphicData>
            </a:graphic>
          </wp:anchor>
        </w:drawing>
      </w:r>
    </w:p>
    <w:p>
      <w:pPr>
        <w:ind w:left="900" w:right="539" w:hanging="438"/>
        <w:spacing w:after="0" w:line="249" w:lineRule="auto"/>
        <w:tabs>
          <w:tab w:leader="none" w:pos="8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additional shares in full for the purpose of covering over-allotments. See “Underwriting”.</w:t>
      </w:r>
    </w:p>
    <w:p>
      <w:pPr>
        <w:spacing w:after="0" w:line="2" w:lineRule="exact"/>
        <w:rPr>
          <w:rFonts w:ascii="Arial" w:cs="Arial" w:eastAsia="Arial" w:hAnsi="Arial"/>
          <w:sz w:val="16"/>
          <w:szCs w:val="16"/>
          <w:color w:val="auto"/>
        </w:rPr>
      </w:pPr>
    </w:p>
    <w:p>
      <w:pPr>
        <w:ind w:left="900" w:right="459" w:hanging="438"/>
        <w:spacing w:after="0" w:line="246" w:lineRule="auto"/>
        <w:tabs>
          <w:tab w:leader="none" w:pos="8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6"/>
          <w:szCs w:val="16"/>
          <w:color w:val="auto"/>
        </w:rPr>
      </w:pPr>
    </w:p>
    <w:p>
      <w:pPr>
        <w:ind w:left="900" w:right="499" w:hanging="438"/>
        <w:spacing w:after="0" w:line="276" w:lineRule="auto"/>
        <w:tabs>
          <w:tab w:leader="none" w:pos="888"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ind w:left="460" w:right="459" w:firstLine="432"/>
        <w:spacing w:after="0" w:line="302" w:lineRule="auto"/>
        <w:rPr>
          <w:sz w:val="20"/>
          <w:szCs w:val="20"/>
          <w:color w:val="auto"/>
        </w:rPr>
      </w:pPr>
      <w:r>
        <w:rPr>
          <w:rFonts w:ascii="Arial" w:cs="Arial" w:eastAsia="Arial" w:hAnsi="Arial"/>
          <w:sz w:val="16"/>
          <w:szCs w:val="16"/>
          <w:color w:val="auto"/>
        </w:rPr>
        <w:t>As of December 7, 2017, there were 5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73" w:lineRule="exact"/>
        <w:rPr>
          <w:sz w:val="20"/>
          <w:szCs w:val="20"/>
          <w:color w:val="auto"/>
        </w:rPr>
      </w:pPr>
    </w:p>
    <w:p>
      <w:pPr>
        <w:jc w:val="both"/>
        <w:ind w:left="460" w:right="579" w:firstLine="432"/>
        <w:spacing w:after="0" w:line="312" w:lineRule="auto"/>
        <w:rPr>
          <w:sz w:val="20"/>
          <w:szCs w:val="20"/>
          <w:color w:val="auto"/>
        </w:rPr>
      </w:pPr>
      <w:r>
        <w:rPr>
          <w:rFonts w:ascii="Arial" w:cs="Arial" w:eastAsia="Arial" w:hAnsi="Arial"/>
          <w:sz w:val="16"/>
          <w:szCs w:val="16"/>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are a Cayman Islands company and our affairs are governed by our Memorandum and Articles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Association and Companies Law of the Cayman Islands, which we refer to as the Companies Law below. As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date hereof, our authorized share capital consists of 100,000,000 common shares with a par value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US$0.0001 per share. As of April 14, 2018, there are 11,290,000 common shares issued and outstanding.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are summaries of material provisions of our memorandum and articles of association and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Companies Law insofar as they relate to the material terms of our common shares.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19" w:lineRule="exact"/>
        <w:rPr>
          <w:sz w:val="20"/>
          <w:szCs w:val="20"/>
          <w:color w:val="auto"/>
        </w:rPr>
      </w:pPr>
    </w:p>
    <w:p>
      <w:pPr>
        <w:jc w:val="both"/>
        <w:ind w:left="460" w:right="519" w:firstLine="432"/>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our common shares are entitled to such dividends as may be declared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Our articles of association provide that our board of directors may declare and pay dividends if justified by our financial position and permitted by law.</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In respect of all matters subject to a shareholders’ vote, each common share is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 vote. Voting at any meeting of 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9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 all or any of his or her common shares 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1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make calls upon shareholders for any amounts unpaid on their common shares in a notice served to such shareholders at least 14 clear days prior to the specified time of payment. The common shares that have been called upon and remain unpaid are subject to forfeiture.</w:t>
      </w:r>
    </w:p>
    <w:p>
      <w:pPr>
        <w:spacing w:after="0" w:line="119"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Redemption of Common Shares. </w:t>
      </w:r>
      <w:r>
        <w:rPr>
          <w:rFonts w:ascii="Arial" w:cs="Arial" w:eastAsia="Arial" w:hAnsi="Arial"/>
          <w:sz w:val="18"/>
          <w:szCs w:val="18"/>
          <w:color w:val="auto"/>
        </w:rPr>
        <w:t>The Companies Law and our memorandum of association permit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our own shares. In accordance 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ind w:left="460" w:right="599"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to inspect or obtain copies of our list of shareholders or our corporate records. However, we will provide our shareholders with annual audited financial statements. See “Where You Can Find Additional Information.”</w:t>
      </w:r>
    </w:p>
    <w:p>
      <w:pPr>
        <w:spacing w:after="0" w:line="106" w:lineRule="exact"/>
        <w:rPr>
          <w:sz w:val="20"/>
          <w:szCs w:val="20"/>
          <w:color w:val="auto"/>
        </w:rPr>
      </w:pPr>
    </w:p>
    <w:p>
      <w:pPr>
        <w:ind w:left="460" w:right="479" w:firstLine="432"/>
        <w:spacing w:after="0" w:line="276" w:lineRule="auto"/>
        <w:rPr>
          <w:sz w:val="20"/>
          <w:szCs w:val="20"/>
          <w:color w:val="auto"/>
        </w:rPr>
      </w:pPr>
      <w:r>
        <w:rPr>
          <w:rFonts w:ascii="Arial" w:cs="Arial" w:eastAsia="Arial" w:hAnsi="Arial"/>
          <w:sz w:val="17"/>
          <w:szCs w:val="17"/>
          <w:b w:val="1"/>
          <w:bCs w:val="1"/>
          <w:i w:val="1"/>
          <w:iCs w:val="1"/>
          <w:color w:val="auto"/>
        </w:rPr>
        <w:t xml:space="preserve">Issuance of Additional Shares. </w:t>
      </w:r>
      <w:r>
        <w:rPr>
          <w:rFonts w:ascii="Arial" w:cs="Arial" w:eastAsia="Arial" w:hAnsi="Arial"/>
          <w:sz w:val="17"/>
          <w:szCs w:val="17"/>
          <w:color w:val="auto"/>
        </w:rPr>
        <w:t>Our memorandum of association authorizes our board of directors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 additional common shares from time to 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05" w:lineRule="exact"/>
        <w:rPr>
          <w:sz w:val="20"/>
          <w:szCs w:val="20"/>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8" w:lineRule="exact"/>
        <w:rPr>
          <w:sz w:val="20"/>
          <w:szCs w:val="20"/>
          <w:color w:val="auto"/>
        </w:rPr>
      </w:pPr>
    </w:p>
    <w:p>
      <w:pPr>
        <w:ind w:left="460" w:right="779" w:firstLine="432"/>
        <w:spacing w:after="0" w:line="342" w:lineRule="auto"/>
        <w:rPr>
          <w:sz w:val="20"/>
          <w:szCs w:val="20"/>
          <w:color w:val="auto"/>
        </w:rPr>
      </w:pPr>
      <w:r>
        <w:rPr>
          <w:rFonts w:ascii="Arial" w:cs="Arial" w:eastAsia="Arial" w:hAnsi="Arial"/>
          <w:sz w:val="16"/>
          <w:szCs w:val="16"/>
          <w:color w:val="auto"/>
        </w:rPr>
        <w:t>Our board of directors may issue preference shares without action by our shareholders to the extent authorized but unissued. Issuance of these shares may dilute the voting power of holders of common shares.</w:t>
      </w:r>
    </w:p>
    <w:p>
      <w:pPr>
        <w:spacing w:after="0" w:line="43"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b w:val="1"/>
          <w:bCs w:val="1"/>
          <w:i w:val="1"/>
          <w:iCs w:val="1"/>
          <w:color w:val="auto"/>
        </w:rPr>
        <w:t xml:space="preserve">Anti-Takeover Provisions. </w:t>
      </w:r>
      <w:r>
        <w:rPr>
          <w:rFonts w:ascii="Arial" w:cs="Arial" w:eastAsia="Arial" w:hAnsi="Arial"/>
          <w:sz w:val="17"/>
          <w:szCs w:val="17"/>
          <w:color w:val="auto"/>
        </w:rPr>
        <w:t>Some provisions of our memorandum and articles of association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Differences in Corporate Law</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0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right="779" w:firstLine="432"/>
        <w:spacing w:after="0" w:line="259"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06"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14" w:lineRule="exact"/>
        <w:rPr>
          <w:sz w:val="20"/>
          <w:szCs w:val="20"/>
          <w:color w:val="auto"/>
        </w:rPr>
      </w:pPr>
    </w:p>
    <w:p>
      <w:pPr>
        <w:ind w:left="460" w:right="739" w:firstLine="432"/>
        <w:spacing w:after="0" w:line="293"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97" w:lineRule="exact"/>
        <w:rPr>
          <w:sz w:val="20"/>
          <w:szCs w:val="20"/>
          <w:color w:val="auto"/>
        </w:rPr>
      </w:pPr>
    </w:p>
    <w:p>
      <w:pPr>
        <w:ind w:left="460" w:right="519" w:firstLine="432"/>
        <w:spacing w:after="0" w:line="308" w:lineRule="auto"/>
        <w:rPr>
          <w:sz w:val="20"/>
          <w:szCs w:val="20"/>
          <w:color w:val="auto"/>
        </w:rPr>
      </w:pPr>
      <w:r>
        <w:rPr>
          <w:rFonts w:ascii="Arial" w:cs="Arial" w:eastAsia="Arial" w:hAnsi="Arial"/>
          <w:sz w:val="17"/>
          <w:szCs w:val="17"/>
          <w:color w:val="auto"/>
        </w:rPr>
        <w:t>While a dissenting shareholder has the right to express to the court the view that the transaction ought not to be approved, the court can be expected to approve the arrangement if it determines that:</w:t>
      </w:r>
    </w:p>
    <w:p>
      <w:pPr>
        <w:spacing w:after="0" w:line="66" w:lineRule="exact"/>
        <w:rPr>
          <w:sz w:val="20"/>
          <w:szCs w:val="20"/>
          <w:color w:val="auto"/>
        </w:rPr>
      </w:pPr>
    </w:p>
    <w:p>
      <w:pPr>
        <w:ind w:left="1300" w:hanging="40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57" w:lineRule="exact"/>
        <w:rPr>
          <w:rFonts w:ascii="Arial" w:cs="Arial" w:eastAsia="Arial" w:hAnsi="Arial"/>
          <w:sz w:val="18"/>
          <w:szCs w:val="18"/>
          <w:color w:val="auto"/>
        </w:rPr>
      </w:pPr>
    </w:p>
    <w:p>
      <w:pPr>
        <w:ind w:left="1320" w:right="939" w:hanging="425"/>
        <w:spacing w:after="0" w:line="277" w:lineRule="auto"/>
        <w:tabs>
          <w:tab w:leader="none" w:pos="13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arrangement is such that an intelligent and honest man of that class acting in respect of his interest would reasonably approve; and</w:t>
      </w:r>
    </w:p>
    <w:p>
      <w:pPr>
        <w:spacing w:after="0" w:line="89" w:lineRule="exact"/>
        <w:rPr>
          <w:rFonts w:ascii="Arial" w:cs="Arial" w:eastAsia="Arial" w:hAnsi="Arial"/>
          <w:sz w:val="18"/>
          <w:szCs w:val="18"/>
          <w:color w:val="auto"/>
        </w:rPr>
      </w:pPr>
    </w:p>
    <w:p>
      <w:pPr>
        <w:ind w:left="1320" w:right="679" w:hanging="425"/>
        <w:spacing w:after="0" w:line="277" w:lineRule="auto"/>
        <w:tabs>
          <w:tab w:leader="none" w:pos="13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03"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2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06"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company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19" w:lineRule="exact"/>
        <w:rPr>
          <w:sz w:val="20"/>
          <w:szCs w:val="20"/>
          <w:color w:val="auto"/>
        </w:rPr>
      </w:pPr>
    </w:p>
    <w:p>
      <w:pPr>
        <w:ind w:left="1320" w:right="519" w:hanging="425"/>
        <w:spacing w:after="0" w:line="277" w:lineRule="auto"/>
        <w:tabs>
          <w:tab w:leader="none" w:pos="13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102" w:lineRule="exact"/>
        <w:rPr>
          <w:rFonts w:ascii="Arial" w:cs="Arial" w:eastAsia="Arial" w:hAnsi="Arial"/>
          <w:sz w:val="18"/>
          <w:szCs w:val="18"/>
          <w:color w:val="auto"/>
        </w:rPr>
      </w:pPr>
    </w:p>
    <w:p>
      <w:pPr>
        <w:ind w:left="1320" w:right="739" w:hanging="425"/>
        <w:spacing w:after="0" w:line="277" w:lineRule="auto"/>
        <w:tabs>
          <w:tab w:leader="none" w:pos="13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89" w:lineRule="exact"/>
        <w:rPr>
          <w:rFonts w:ascii="Arial" w:cs="Arial" w:eastAsia="Arial" w:hAnsi="Arial"/>
          <w:sz w:val="18"/>
          <w:szCs w:val="18"/>
          <w:color w:val="auto"/>
        </w:rPr>
      </w:pPr>
    </w:p>
    <w:p>
      <w:pPr>
        <w:ind w:left="1300" w:hanging="40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right="519" w:firstLine="432"/>
        <w:spacing w:after="0" w:line="269" w:lineRule="auto"/>
        <w:rPr>
          <w:sz w:val="20"/>
          <w:szCs w:val="20"/>
          <w:color w:val="auto"/>
        </w:rPr>
      </w:pPr>
      <w:r>
        <w:rPr>
          <w:rFonts w:ascii="Arial" w:cs="Arial" w:eastAsia="Arial" w:hAnsi="Arial"/>
          <w:sz w:val="17"/>
          <w:szCs w:val="17"/>
          <w:b w:val="1"/>
          <w:bCs w:val="1"/>
          <w:i w:val="1"/>
          <w:iCs w:val="1"/>
          <w:color w:val="auto"/>
        </w:rPr>
        <w:t xml:space="preserve">Indemnification of Directors and Executive Officers and Limitation of Liability. </w:t>
      </w:r>
      <w:r>
        <w:rPr>
          <w:rFonts w:ascii="Arial" w:cs="Arial" w:eastAsia="Arial" w:hAnsi="Arial"/>
          <w:sz w:val="17"/>
          <w:szCs w:val="17"/>
          <w:color w:val="auto"/>
        </w:rPr>
        <w:t>The Companies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327" w:lineRule="exact"/>
        <w:rPr>
          <w:sz w:val="20"/>
          <w:szCs w:val="20"/>
          <w:color w:val="auto"/>
        </w:rPr>
      </w:pPr>
    </w:p>
    <w:p>
      <w:pPr>
        <w:ind w:left="460" w:right="599" w:firstLine="432"/>
        <w:spacing w:after="0" w:line="297" w:lineRule="auto"/>
        <w:rPr>
          <w:sz w:val="20"/>
          <w:szCs w:val="20"/>
          <w:color w:val="auto"/>
        </w:rPr>
      </w:pPr>
      <w:r>
        <w:rPr>
          <w:rFonts w:ascii="Arial" w:cs="Arial" w:eastAsia="Arial" w:hAnsi="Arial"/>
          <w:sz w:val="16"/>
          <w:szCs w:val="16"/>
          <w:b w:val="1"/>
          <w:bCs w:val="1"/>
          <w:i w:val="1"/>
          <w:iCs w:val="1"/>
          <w:color w:val="auto"/>
        </w:rPr>
        <w:t xml:space="preserve">Shareholder Action by Written Consent. </w:t>
      </w:r>
      <w:r>
        <w:rPr>
          <w:rFonts w:ascii="Arial" w:cs="Arial" w:eastAsia="Arial" w:hAnsi="Arial"/>
          <w:sz w:val="16"/>
          <w:szCs w:val="16"/>
          <w:color w:val="auto"/>
        </w:rPr>
        <w:t>Under the Delaware General Corporation Law, a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eliminate the right of shareholders to 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9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02"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jc w:val="both"/>
        <w:ind w:left="460" w:right="959"/>
        <w:spacing w:after="0" w:line="264" w:lineRule="auto"/>
        <w:rPr>
          <w:sz w:val="20"/>
          <w:szCs w:val="20"/>
          <w:color w:val="auto"/>
        </w:rPr>
      </w:pPr>
      <w:r>
        <w:rPr>
          <w:rFonts w:ascii="Arial" w:cs="Arial" w:eastAsia="Arial" w:hAnsi="Arial"/>
          <w:sz w:val="18"/>
          <w:szCs w:val="18"/>
          <w:color w:val="auto"/>
        </w:rPr>
        <w:t>shareholder’s voting power with respect to electing such director. There are no prohibitions in relation to cumulative voting under the Companies Law but our articles of association do not provide for cumulative voting.</w:t>
      </w:r>
    </w:p>
    <w:p>
      <w:pPr>
        <w:spacing w:after="0" w:line="10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removed with the approval of a majority of the outstanding shares entitled to vote, unless the certificate of incorporation provides otherwise. Under our articles of association, directors may be removed with or without cause, by an ordinary resolution of our shareholders.</w:t>
      </w:r>
    </w:p>
    <w:p>
      <w:pPr>
        <w:spacing w:after="0" w:line="11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2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0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b w:val="1"/>
          <w:bCs w:val="1"/>
          <w:i w:val="1"/>
          <w:iCs w:val="1"/>
          <w:color w:val="auto"/>
        </w:rPr>
        <w:t xml:space="preserve">Variation of Rights of Shares. </w:t>
      </w:r>
      <w:r>
        <w:rPr>
          <w:rFonts w:ascii="Arial" w:cs="Arial" w:eastAsia="Arial" w:hAnsi="Arial"/>
          <w:sz w:val="16"/>
          <w:szCs w:val="16"/>
          <w:color w:val="auto"/>
        </w:rPr>
        <w:t>Under the Delaware General Corporation Law, a corporation may vary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rights of a class of shares with the 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97" w:lineRule="exact"/>
        <w:rPr>
          <w:sz w:val="20"/>
          <w:szCs w:val="20"/>
          <w:color w:val="auto"/>
        </w:rPr>
      </w:pPr>
    </w:p>
    <w:p>
      <w:pPr>
        <w:ind w:left="460" w:right="579" w:firstLine="432"/>
        <w:spacing w:after="0" w:line="302" w:lineRule="auto"/>
        <w:rPr>
          <w:sz w:val="20"/>
          <w:szCs w:val="20"/>
          <w:color w:val="auto"/>
        </w:rPr>
      </w:pPr>
      <w:r>
        <w:rPr>
          <w:rFonts w:ascii="Arial" w:cs="Arial" w:eastAsia="Arial" w:hAnsi="Arial"/>
          <w:sz w:val="16"/>
          <w:szCs w:val="16"/>
          <w:b w:val="1"/>
          <w:bCs w:val="1"/>
          <w:i w:val="1"/>
          <w:iCs w:val="1"/>
          <w:color w:val="auto"/>
        </w:rPr>
        <w:t xml:space="preserve">Amendment of Governing Documents. </w:t>
      </w:r>
      <w:r>
        <w:rPr>
          <w:rFonts w:ascii="Arial" w:cs="Arial" w:eastAsia="Arial" w:hAnsi="Arial"/>
          <w:sz w:val="16"/>
          <w:szCs w:val="16"/>
          <w:color w:val="auto"/>
        </w:rPr>
        <w:t>Under the Delaware General Corporation Law, a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documents may be amended with 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87"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2" w:lineRule="exact"/>
        <w:rPr>
          <w:sz w:val="20"/>
          <w:szCs w:val="20"/>
          <w:color w:val="auto"/>
        </w:rPr>
      </w:pPr>
    </w:p>
    <w:p>
      <w:pPr>
        <w:ind w:left="460" w:right="559" w:firstLine="432"/>
        <w:spacing w:after="0" w:line="312" w:lineRule="auto"/>
        <w:rPr>
          <w:sz w:val="20"/>
          <w:szCs w:val="20"/>
          <w:color w:val="auto"/>
        </w:rPr>
      </w:pPr>
      <w:r>
        <w:rPr>
          <w:rFonts w:ascii="Arial" w:cs="Arial" w:eastAsia="Arial" w:hAnsi="Arial"/>
          <w:sz w:val="16"/>
          <w:szCs w:val="16"/>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6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Upon the completion of this offering, we will have outstanding 13,290,000 shares (or 13,590,000 shares assuming that the underwriters’ over-allotment option is exercised in full).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twelve months (subject to extension) after the date of this prospectus, except with the prior written consent of Benchmark on behalf of the underwriters. Benchmark in its sole discretion on behalf of the underwriters, may release any of the securities subject to these lock-up agreements at any time without notice. The lock-up period may be extended in the circumstances described under “Underwriting.”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97" w:lineRule="exact"/>
        <w:rPr>
          <w:sz w:val="20"/>
          <w:szCs w:val="20"/>
          <w:color w:val="auto"/>
        </w:rPr>
      </w:pPr>
    </w:p>
    <w:p>
      <w:pPr>
        <w:ind w:left="1320" w:right="939" w:hanging="425"/>
        <w:spacing w:after="0" w:line="277" w:lineRule="auto"/>
        <w:tabs>
          <w:tab w:leader="none" w:pos="13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shares immediately after this offering; or</w:t>
      </w:r>
    </w:p>
    <w:p>
      <w:pPr>
        <w:spacing w:after="0" w:line="102" w:lineRule="exact"/>
        <w:rPr>
          <w:rFonts w:ascii="Arial" w:cs="Arial" w:eastAsia="Arial" w:hAnsi="Arial"/>
          <w:sz w:val="18"/>
          <w:szCs w:val="18"/>
          <w:color w:val="auto"/>
        </w:rPr>
      </w:pPr>
    </w:p>
    <w:p>
      <w:pPr>
        <w:ind w:left="1320" w:right="519" w:hanging="425"/>
        <w:spacing w:after="0" w:line="277" w:lineRule="auto"/>
        <w:tabs>
          <w:tab w:leader="none" w:pos="13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weekly trading volume of the common shares during the four calendar weeks preceding the filing of a Form 144 with respect to the sale.</w:t>
      </w:r>
    </w:p>
    <w:p>
      <w:pPr>
        <w:spacing w:after="0" w:line="103"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Sales under Rule 144 by our affiliates will also be subject to manner of sale provisions and notice requirements and to the availability of current public information about us.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Taxation</w:t>
      </w:r>
    </w:p>
    <w:p>
      <w:pPr>
        <w:spacing w:after="0" w:line="148"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162"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05"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9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14"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ind w:left="460" w:right="479"/>
        <w:spacing w:after="0" w:line="272" w:lineRule="auto"/>
        <w:rPr>
          <w:sz w:val="20"/>
          <w:szCs w:val="20"/>
          <w:color w:val="auto"/>
        </w:rPr>
      </w:pPr>
      <w:r>
        <w:rPr>
          <w:rFonts w:ascii="Arial" w:cs="Arial" w:eastAsia="Arial" w:hAnsi="Arial"/>
          <w:sz w:val="17"/>
          <w:szCs w:val="17"/>
          <w:color w:val="auto"/>
        </w:rPr>
        <w:t>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is a summary of the material U.S. federal income tax consequences of owning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disposing of our common shares. The discussion below of the U.S. federal income tax consequences to “U.S.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will apply to a beneficial owner of our shares that is for U.S. federal income tax purposes:</w:t>
      </w:r>
    </w:p>
    <w:p>
      <w:pPr>
        <w:spacing w:after="0" w:line="143" w:lineRule="exact"/>
        <w:rPr>
          <w:sz w:val="20"/>
          <w:szCs w:val="20"/>
          <w:color w:val="auto"/>
        </w:rPr>
      </w:pPr>
    </w:p>
    <w:p>
      <w:pPr>
        <w:ind w:left="1300" w:hanging="40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57" w:lineRule="exact"/>
        <w:rPr>
          <w:rFonts w:ascii="Arial" w:cs="Arial" w:eastAsia="Arial" w:hAnsi="Arial"/>
          <w:sz w:val="18"/>
          <w:szCs w:val="18"/>
          <w:color w:val="auto"/>
        </w:rPr>
      </w:pPr>
    </w:p>
    <w:p>
      <w:pPr>
        <w:ind w:left="1320" w:right="699" w:hanging="425"/>
        <w:spacing w:after="0" w:line="264" w:lineRule="auto"/>
        <w:tabs>
          <w:tab w:leader="none" w:pos="13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00" w:lineRule="exact"/>
        <w:rPr>
          <w:rFonts w:ascii="Arial" w:cs="Arial" w:eastAsia="Arial" w:hAnsi="Arial"/>
          <w:sz w:val="18"/>
          <w:szCs w:val="18"/>
          <w:color w:val="auto"/>
        </w:rPr>
      </w:pPr>
    </w:p>
    <w:p>
      <w:pPr>
        <w:ind w:left="1320" w:right="1199" w:hanging="425"/>
        <w:spacing w:after="0" w:line="277" w:lineRule="auto"/>
        <w:tabs>
          <w:tab w:leader="none" w:pos="13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02" w:lineRule="exact"/>
        <w:rPr>
          <w:rFonts w:ascii="Arial" w:cs="Arial" w:eastAsia="Arial" w:hAnsi="Arial"/>
          <w:sz w:val="18"/>
          <w:szCs w:val="18"/>
          <w:color w:val="auto"/>
        </w:rPr>
      </w:pPr>
    </w:p>
    <w:p>
      <w:pPr>
        <w:jc w:val="both"/>
        <w:ind w:left="1320" w:right="499" w:hanging="425"/>
        <w:spacing w:after="0" w:line="312" w:lineRule="auto"/>
        <w:tabs>
          <w:tab w:leader="none" w:pos="13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7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0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19" w:lineRule="exact"/>
        <w:rPr>
          <w:sz w:val="20"/>
          <w:szCs w:val="20"/>
          <w:color w:val="auto"/>
        </w:rPr>
      </w:pPr>
    </w:p>
    <w:p>
      <w:pPr>
        <w:ind w:left="460" w:right="579" w:firstLine="432"/>
        <w:spacing w:after="0" w:line="297"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91" w:lineRule="exact"/>
        <w:rPr>
          <w:sz w:val="20"/>
          <w:szCs w:val="20"/>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144" w:lineRule="exact"/>
        <w:rPr>
          <w:rFonts w:ascii="Arial" w:cs="Arial" w:eastAsia="Arial" w:hAnsi="Arial"/>
          <w:sz w:val="18"/>
          <w:szCs w:val="18"/>
          <w:color w:val="auto"/>
        </w:rPr>
      </w:pPr>
    </w:p>
    <w:p>
      <w:pPr>
        <w:ind w:left="4380" w:right="2199" w:hanging="3485"/>
        <w:spacing w:after="0" w:line="434" w:lineRule="auto"/>
        <w:tabs>
          <w:tab w:leader="none" w:pos="13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-105410</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1320" w:right="639" w:hanging="425"/>
        <w:spacing w:after="0" w:line="277" w:lineRule="auto"/>
        <w:tabs>
          <w:tab w:leader="none" w:pos="13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89" w:lineRule="exact"/>
        <w:rPr>
          <w:rFonts w:ascii="Arial" w:cs="Arial" w:eastAsia="Arial" w:hAnsi="Arial"/>
          <w:sz w:val="18"/>
          <w:szCs w:val="18"/>
          <w:color w:val="auto"/>
        </w:rPr>
      </w:pPr>
    </w:p>
    <w:p>
      <w:pPr>
        <w:ind w:left="1320" w:right="799" w:hanging="425"/>
        <w:spacing w:after="0" w:line="277" w:lineRule="auto"/>
        <w:tabs>
          <w:tab w:leader="none" w:pos="13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102" w:lineRule="exact"/>
        <w:rPr>
          <w:rFonts w:ascii="Arial" w:cs="Arial" w:eastAsia="Arial" w:hAnsi="Arial"/>
          <w:sz w:val="18"/>
          <w:szCs w:val="18"/>
          <w:color w:val="auto"/>
        </w:rPr>
      </w:pPr>
    </w:p>
    <w:p>
      <w:pPr>
        <w:ind w:left="1300" w:hanging="40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5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85" w:lineRule="exact"/>
        <w:rPr>
          <w:sz w:val="20"/>
          <w:szCs w:val="20"/>
          <w:color w:val="auto"/>
        </w:rPr>
      </w:pPr>
    </w:p>
    <w:p>
      <w:pPr>
        <w:ind w:left="460" w:right="519" w:firstLine="432"/>
        <w:spacing w:after="0" w:line="276" w:lineRule="auto"/>
        <w:rPr>
          <w:sz w:val="20"/>
          <w:szCs w:val="20"/>
          <w:color w:val="auto"/>
        </w:rPr>
      </w:pPr>
      <w:r>
        <w:rPr>
          <w:rFonts w:ascii="Arial" w:cs="Arial" w:eastAsia="Arial" w:hAnsi="Arial"/>
          <w:sz w:val="17"/>
          <w:szCs w:val="17"/>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5"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15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86"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right="479" w:firstLine="432"/>
        <w:spacing w:after="0" w:line="257"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144"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01" w:lineRule="exact"/>
        <w:rPr>
          <w:sz w:val="20"/>
          <w:szCs w:val="20"/>
          <w:color w:val="auto"/>
        </w:rPr>
      </w:pPr>
    </w:p>
    <w:p>
      <w:pPr>
        <w:ind w:left="1300" w:hanging="405"/>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gain recognized by the U.S. Holder on the sale or other disposition of its common shares; and</w:t>
      </w:r>
    </w:p>
    <w:p>
      <w:pPr>
        <w:spacing w:after="0" w:line="167" w:lineRule="exact"/>
        <w:rPr>
          <w:rFonts w:ascii="Arial" w:cs="Arial" w:eastAsia="Arial" w:hAnsi="Arial"/>
          <w:sz w:val="16"/>
          <w:szCs w:val="16"/>
          <w:color w:val="auto"/>
        </w:rPr>
      </w:pPr>
    </w:p>
    <w:p>
      <w:pPr>
        <w:ind w:left="1320" w:right="519" w:hanging="425"/>
        <w:spacing w:after="0" w:line="257" w:lineRule="auto"/>
        <w:tabs>
          <w:tab w:leader="none" w:pos="13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20"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Under these rules,</w:t>
      </w:r>
    </w:p>
    <w:p>
      <w:pPr>
        <w:spacing w:after="0" w:line="157" w:lineRule="exact"/>
        <w:rPr>
          <w:rFonts w:ascii="Arial" w:cs="Arial" w:eastAsia="Arial" w:hAnsi="Arial"/>
          <w:sz w:val="18"/>
          <w:szCs w:val="18"/>
          <w:color w:val="auto"/>
        </w:rPr>
      </w:pPr>
    </w:p>
    <w:p>
      <w:pPr>
        <w:ind w:left="1320" w:right="479" w:hanging="425"/>
        <w:spacing w:after="0" w:line="277" w:lineRule="auto"/>
        <w:tabs>
          <w:tab w:leader="none" w:pos="13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89" w:lineRule="exact"/>
        <w:rPr>
          <w:rFonts w:ascii="Arial" w:cs="Arial" w:eastAsia="Arial" w:hAnsi="Arial"/>
          <w:sz w:val="18"/>
          <w:szCs w:val="18"/>
          <w:color w:val="auto"/>
        </w:rPr>
      </w:pPr>
    </w:p>
    <w:p>
      <w:pPr>
        <w:ind w:left="1320" w:right="499" w:hanging="425"/>
        <w:spacing w:after="0" w:line="312" w:lineRule="auto"/>
        <w:tabs>
          <w:tab w:leader="none" w:pos="13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79" w:lineRule="exact"/>
        <w:rPr>
          <w:rFonts w:ascii="Arial" w:cs="Arial" w:eastAsia="Arial" w:hAnsi="Arial"/>
          <w:sz w:val="16"/>
          <w:szCs w:val="16"/>
          <w:color w:val="auto"/>
        </w:rPr>
      </w:pPr>
    </w:p>
    <w:p>
      <w:pPr>
        <w:ind w:left="1320" w:right="599" w:hanging="425"/>
        <w:spacing w:after="0" w:line="264" w:lineRule="auto"/>
        <w:tabs>
          <w:tab w:leader="none" w:pos="13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1320" w:right="719" w:hanging="425"/>
        <w:spacing w:after="0" w:line="277" w:lineRule="auto"/>
        <w:tabs>
          <w:tab w:leader="none" w:pos="13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89"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9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15"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0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12" w:lineRule="exact"/>
        <w:rPr>
          <w:sz w:val="20"/>
          <w:szCs w:val="20"/>
          <w:color w:val="auto"/>
        </w:rPr>
      </w:pPr>
    </w:p>
    <w:p>
      <w:pPr>
        <w:jc w:val="both"/>
        <w:ind w:left="460" w:right="719" w:firstLine="432"/>
        <w:spacing w:after="0" w:line="288" w:lineRule="auto"/>
        <w:rPr>
          <w:sz w:val="20"/>
          <w:szCs w:val="20"/>
          <w:color w:val="auto"/>
        </w:rPr>
      </w:pPr>
      <w:r>
        <w:rPr>
          <w:rFonts w:ascii="Arial" w:cs="Arial" w:eastAsia="Arial" w:hAnsi="Arial"/>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w:t>
      </w:r>
    </w:p>
    <w:p>
      <w:pPr>
        <w:ind w:left="460" w:right="539"/>
        <w:spacing w:after="0" w:line="254" w:lineRule="auto"/>
        <w:rPr>
          <w:sz w:val="20"/>
          <w:szCs w:val="20"/>
          <w:color w:val="auto"/>
        </w:rPr>
      </w:pPr>
      <w:r>
        <w:rPr>
          <w:rFonts w:ascii="Arial" w:cs="Arial" w:eastAsia="Arial" w:hAnsi="Arial"/>
          <w:sz w:val="18"/>
          <w:szCs w:val="18"/>
          <w:color w:val="auto"/>
        </w:rPr>
        <w:t>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right="459"/>
        <w:spacing w:after="0" w:line="293" w:lineRule="auto"/>
        <w:rPr>
          <w:sz w:val="20"/>
          <w:szCs w:val="20"/>
          <w:color w:val="auto"/>
        </w:rPr>
      </w:pPr>
      <w:r>
        <w:rPr>
          <w:rFonts w:ascii="Arial" w:cs="Arial" w:eastAsia="Arial" w:hAnsi="Arial"/>
          <w:sz w:val="16"/>
          <w:szCs w:val="16"/>
          <w:color w:val="auto"/>
        </w:rPr>
        <w:t>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84" w:lineRule="exact"/>
        <w:rPr>
          <w:sz w:val="20"/>
          <w:szCs w:val="20"/>
          <w:color w:val="auto"/>
        </w:rPr>
      </w:pPr>
    </w:p>
    <w:p>
      <w:pPr>
        <w:ind w:left="460" w:right="599" w:firstLine="432"/>
        <w:spacing w:after="0" w:line="297" w:lineRule="auto"/>
        <w:rPr>
          <w:sz w:val="20"/>
          <w:szCs w:val="20"/>
          <w:color w:val="auto"/>
        </w:rPr>
      </w:pPr>
      <w:r>
        <w:rPr>
          <w:rFonts w:ascii="Arial" w:cs="Arial" w:eastAsia="Arial" w:hAnsi="Arial"/>
          <w:sz w:val="16"/>
          <w:szCs w:val="16"/>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9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162"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9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10" w:lineRule="exact"/>
        <w:rPr>
          <w:sz w:val="20"/>
          <w:szCs w:val="20"/>
          <w:color w:val="auto"/>
        </w:rPr>
      </w:pPr>
    </w:p>
    <w:p>
      <w:pPr>
        <w:ind w:left="460" w:right="479" w:firstLine="432"/>
        <w:spacing w:after="0" w:line="297" w:lineRule="auto"/>
        <w:rPr>
          <w:sz w:val="20"/>
          <w:szCs w:val="20"/>
          <w:color w:val="auto"/>
        </w:rPr>
      </w:pPr>
      <w:r>
        <w:rPr>
          <w:rFonts w:ascii="Arial" w:cs="Arial" w:eastAsia="Arial" w:hAnsi="Arial"/>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right="559" w:firstLine="2"/>
        <w:spacing w:after="0" w:line="259"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06" w:lineRule="exact"/>
        <w:rPr>
          <w:sz w:val="20"/>
          <w:szCs w:val="20"/>
          <w:color w:val="auto"/>
        </w:rPr>
      </w:pPr>
    </w:p>
    <w:p>
      <w:pPr>
        <w:ind w:left="460" w:right="459" w:firstLine="432"/>
        <w:spacing w:after="0" w:line="297" w:lineRule="auto"/>
        <w:rPr>
          <w:sz w:val="20"/>
          <w:szCs w:val="20"/>
          <w:color w:val="auto"/>
        </w:rPr>
      </w:pPr>
      <w:r>
        <w:rPr>
          <w:rFonts w:ascii="Arial" w:cs="Arial" w:eastAsia="Arial" w:hAnsi="Arial"/>
          <w:sz w:val="16"/>
          <w:szCs w:val="16"/>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9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ind w:left="460" w:right="839" w:firstLine="432"/>
        <w:spacing w:after="0" w:line="286" w:lineRule="auto"/>
        <w:rPr>
          <w:sz w:val="20"/>
          <w:szCs w:val="20"/>
          <w:color w:val="auto"/>
        </w:rPr>
      </w:pPr>
      <w:r>
        <w:rPr>
          <w:rFonts w:ascii="Arial" w:cs="Arial" w:eastAsia="Arial" w:hAnsi="Arial"/>
          <w:sz w:val="17"/>
          <w:szCs w:val="17"/>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84"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21"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Our constitutional documents do not contain provisions requiring that disputes, including those arising under the securities laws of the United States, between us, our officers, directors and shareholders, be arbitrated.</w:t>
      </w:r>
    </w:p>
    <w:p>
      <w:pPr>
        <w:spacing w:after="0" w:line="56"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84" w:lineRule="exact"/>
        <w:rPr>
          <w:sz w:val="20"/>
          <w:szCs w:val="20"/>
          <w:color w:val="auto"/>
        </w:rPr>
      </w:pPr>
    </w:p>
    <w:p>
      <w:pPr>
        <w:ind w:left="460" w:right="539" w:firstLine="432"/>
        <w:spacing w:after="0" w:line="264" w:lineRule="auto"/>
        <w:rPr>
          <w:sz w:val="20"/>
          <w:szCs w:val="20"/>
          <w:color w:val="auto"/>
        </w:rPr>
      </w:pPr>
      <w:r>
        <w:rPr>
          <w:rFonts w:ascii="Arial" w:cs="Arial" w:eastAsia="Arial" w:hAnsi="Arial"/>
          <w:sz w:val="18"/>
          <w:szCs w:val="18"/>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14" w:lineRule="exact"/>
        <w:rPr>
          <w:sz w:val="20"/>
          <w:szCs w:val="20"/>
          <w:color w:val="auto"/>
        </w:rPr>
      </w:pPr>
    </w:p>
    <w:p>
      <w:pPr>
        <w:ind w:left="460" w:right="939" w:firstLine="432"/>
        <w:spacing w:after="0" w:line="264"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14" w:lineRule="exact"/>
        <w:rPr>
          <w:sz w:val="20"/>
          <w:szCs w:val="20"/>
          <w:color w:val="auto"/>
        </w:rPr>
      </w:pPr>
    </w:p>
    <w:p>
      <w:pPr>
        <w:ind w:left="1320" w:right="699" w:hanging="425"/>
        <w:spacing w:after="0" w:line="264" w:lineRule="auto"/>
        <w:tabs>
          <w:tab w:leader="none" w:pos="13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00" w:lineRule="exact"/>
        <w:rPr>
          <w:rFonts w:ascii="Arial" w:cs="Arial" w:eastAsia="Arial" w:hAnsi="Arial"/>
          <w:sz w:val="18"/>
          <w:szCs w:val="18"/>
          <w:color w:val="auto"/>
        </w:rPr>
      </w:pPr>
    </w:p>
    <w:p>
      <w:pPr>
        <w:ind w:left="1320" w:right="739" w:hanging="425"/>
        <w:spacing w:after="0" w:line="342" w:lineRule="auto"/>
        <w:tabs>
          <w:tab w:leader="none" w:pos="13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entertain original actions brought in each respective jurisdiction against us or our directors or officers predicated upon the securities laws of the United States or any state in the United States.</w:t>
      </w:r>
    </w:p>
    <w:p>
      <w:pPr>
        <w:spacing w:after="0" w:line="56"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2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ectPr>
          <w:pgSz w:w="11900" w:h="16838" w:orient="portrait"/>
          <w:cols w:equalWidth="0" w:num="1">
            <w:col w:w="9019"/>
          </w:cols>
          <w:pgMar w:left="1440" w:top="337"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36830</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In connection with this offering, we will enter into an underwriting agreement with The Benchmark Company, LLC as representative for the underwriters in this offering. Each underwriter named below has severally agreed to purchase from us, on a firm commitment basis, the number of common shares set forth opposite its name below, at the public offering price, less the underwriting discount set forth on the cover page of this prospectus.</w:t>
      </w:r>
    </w:p>
    <w:p>
      <w:pPr>
        <w:spacing w:after="0" w:line="148"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ind w:left="460"/>
        <w:spacing w:after="0"/>
        <w:tabs>
          <w:tab w:leader="none" w:pos="740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common shares</w:t>
      </w:r>
    </w:p>
    <w:p>
      <w:pPr>
        <w:spacing w:after="0" w:line="31"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858,000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-120650</wp:posOffset>
            </wp:positionV>
            <wp:extent cx="5145405" cy="283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2832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Benchmark Company, LLC</w:t>
      </w:r>
    </w:p>
    <w:p>
      <w:pPr>
        <w:spacing w:after="0" w:line="18"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667,000</w:t>
      </w:r>
    </w:p>
    <w:p>
      <w:pPr>
        <w:ind w:left="460"/>
        <w:spacing w:after="0"/>
        <w:rPr>
          <w:sz w:val="20"/>
          <w:szCs w:val="20"/>
          <w:color w:val="auto"/>
        </w:rPr>
      </w:pPr>
      <w:r>
        <w:rPr>
          <w:rFonts w:ascii="Arial" w:cs="Arial" w:eastAsia="Arial" w:hAnsi="Arial"/>
          <w:sz w:val="18"/>
          <w:szCs w:val="18"/>
          <w:color w:val="auto"/>
        </w:rPr>
        <w:t>Axiom Capital Management, Inc.</w:t>
      </w:r>
    </w:p>
    <w:p>
      <w:pPr>
        <w:spacing w:after="0" w:line="18"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-111760</wp:posOffset>
            </wp:positionV>
            <wp:extent cx="5145405"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Cuttone &amp; Co., LLC</w:t>
      </w:r>
    </w:p>
    <w:p>
      <w:pPr>
        <w:spacing w:after="0" w:line="18"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2,000,000</w:t>
      </w:r>
    </w:p>
    <w:p>
      <w:pPr>
        <w:ind w:left="460"/>
        <w:spacing w:after="0"/>
        <w:rPr>
          <w:sz w:val="20"/>
          <w:szCs w:val="20"/>
          <w:color w:val="auto"/>
        </w:rPr>
      </w:pPr>
      <w:r>
        <w:rPr>
          <w:rFonts w:ascii="Arial" w:cs="Arial" w:eastAsia="Arial" w:hAnsi="Arial"/>
          <w:sz w:val="18"/>
          <w:szCs w:val="18"/>
          <w:color w:val="auto"/>
        </w:rPr>
        <w:t>Total</w:t>
      </w:r>
    </w:p>
    <w:p>
      <w:pPr>
        <w:spacing w:after="0" w:line="209"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underwriting agreement will provide that the underwriters are obligated to purchase all of the common shares offered by this prospectus, other than those covered by the over-allotment option, if any common shares are purchased. The underwriters are offering the common shares when, as and if issued to and accepted by them, subject to a number of conditions. These conditions include, among other things, the requirements that no stop order suspending the effectiveness of the registration statement be in effect and that no proceedings for this purpose have been initiated or threatened by the SEC.</w:t>
      </w:r>
    </w:p>
    <w:p>
      <w:pPr>
        <w:spacing w:after="0" w:line="111"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representative of the underwriters has advised us that the underwriters propose to offer our common shares to the public at the offering price set forth on the cover page of this prospectus and to selected dealers at that price less a concession of not more than $0.3412 per share. The underwriters and selected dealers may re-allow a concession to other dealers, including the underwriters, of not more than $0.3412 per share. After completion of the public offering of the common shares, the offering price, the concessions to selected dealers and the reallowance to their dealers may be changed by the underwriters.</w:t>
      </w:r>
    </w:p>
    <w:p>
      <w:pPr>
        <w:spacing w:after="0" w:line="97" w:lineRule="exact"/>
        <w:rPr>
          <w:sz w:val="20"/>
          <w:szCs w:val="20"/>
          <w:color w:val="auto"/>
        </w:rPr>
      </w:pPr>
    </w:p>
    <w:p>
      <w:pPr>
        <w:ind w:left="460" w:right="519" w:firstLine="432"/>
        <w:spacing w:after="0" w:line="264" w:lineRule="auto"/>
        <w:rPr>
          <w:sz w:val="20"/>
          <w:szCs w:val="20"/>
          <w:color w:val="auto"/>
        </w:rPr>
      </w:pPr>
      <w:r>
        <w:rPr>
          <w:rFonts w:ascii="Arial" w:cs="Arial" w:eastAsia="Arial" w:hAnsi="Arial"/>
          <w:sz w:val="18"/>
          <w:szCs w:val="18"/>
          <w:color w:val="auto"/>
        </w:rPr>
        <w:t>We have been advised by the representative of the underwriters that the underwriters intend to make a market in our securities but that they are not obligated to do so and may discontinue making a market at any time without notice.</w:t>
      </w:r>
    </w:p>
    <w:p>
      <w:pPr>
        <w:spacing w:after="0" w:line="100"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In connection with the offering, the underwriters or certain of the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have granted a 45-day option to the underwriters, exercisable one or more times in whole or in part, to purchase up to an additional 300,000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Underwriters’ Compensation</w:t>
      </w:r>
    </w:p>
    <w:p>
      <w:pPr>
        <w:spacing w:after="0" w:line="162"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7"/>
          <w:szCs w:val="17"/>
          <w:color w:val="auto"/>
        </w:rPr>
        <w:t>Except as disclosed in this prospectus, the underwriters have not received and will not receive from us any other item of compensation or expense in connection with this offering considered by the Financial Industry Regulatory Authority, Inc. (“FINRA”), to be underwriting compensation under its rule of fair price.</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Discount</w:t>
      </w:r>
    </w:p>
    <w:p>
      <w:pPr>
        <w:spacing w:after="0" w:line="144" w:lineRule="exact"/>
        <w:rPr>
          <w:sz w:val="20"/>
          <w:szCs w:val="20"/>
          <w:color w:val="auto"/>
        </w:rPr>
      </w:pPr>
    </w:p>
    <w:p>
      <w:pPr>
        <w:ind w:left="460" w:right="779" w:firstLine="432"/>
        <w:spacing w:after="0" w:line="264"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w:t>
      </w:r>
    </w:p>
    <w:p>
      <w:pPr>
        <w:spacing w:after="0" w:line="11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have agreed to sell the common shares to the underwriters, (i) with respect to sales of common shares to investors introduced by the underwriters in this offering, at the initial offering price of $4.9088 per share, which represents the initial public offering price of the common shares of common stock set forth on the cover page of this prospectus less a 6.5% underwriting discount; and (ii) with respect to sales of common shares to investors introduced</w:t>
      </w:r>
    </w:p>
    <w:p>
      <w:pPr>
        <w:sectPr>
          <w:pgSz w:w="11900" w:h="16838" w:orient="portrait"/>
          <w:cols w:equalWidth="0" w:num="1">
            <w:col w:w="9019"/>
          </w:cols>
          <w:pgMar w:left="1440" w:top="337"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36830</wp:posOffset>
            </wp:positionV>
            <wp:extent cx="5145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1" w:name="page122"/>
    <w:bookmarkEnd w:id="121"/>
    <w:p>
      <w:pPr>
        <w:jc w:val="both"/>
        <w:ind w:left="460" w:right="659"/>
        <w:spacing w:after="0" w:line="264" w:lineRule="auto"/>
        <w:rPr>
          <w:sz w:val="20"/>
          <w:szCs w:val="20"/>
          <w:color w:val="auto"/>
        </w:rPr>
      </w:pPr>
      <w:r>
        <w:rPr>
          <w:rFonts w:ascii="Arial" w:cs="Arial" w:eastAsia="Arial" w:hAnsi="Arial"/>
          <w:sz w:val="18"/>
          <w:szCs w:val="18"/>
          <w:color w:val="auto"/>
        </w:rPr>
        <w:t>by Company in this offering, at the initial offering price of $5.04 per share, which represents the initial public offering price of the common shares of common stock set forth on the cover page of this prospectus less a 4% underwriting discount.</w:t>
      </w:r>
    </w:p>
    <w:p>
      <w:pPr>
        <w:spacing w:after="0" w:line="100" w:lineRule="exact"/>
        <w:rPr>
          <w:sz w:val="20"/>
          <w:szCs w:val="20"/>
          <w:color w:val="auto"/>
        </w:rPr>
      </w:pPr>
    </w:p>
    <w:p>
      <w:pPr>
        <w:ind w:left="460" w:right="779" w:firstLine="432"/>
        <w:spacing w:after="0" w:line="264" w:lineRule="auto"/>
        <w:rPr>
          <w:sz w:val="20"/>
          <w:szCs w:val="20"/>
          <w:color w:val="auto"/>
        </w:rPr>
      </w:pPr>
      <w:r>
        <w:rPr>
          <w:rFonts w:ascii="Arial" w:cs="Arial" w:eastAsia="Arial" w:hAnsi="Arial"/>
          <w:sz w:val="18"/>
          <w:szCs w:val="18"/>
          <w:color w:val="auto"/>
        </w:rPr>
        <w:t>The following table shows the per share price and total underwriting discounts and commissions to be paid to the underwriters. Such amounts are shown assuming both no exercise and full exercise of the underwriters’ option to purchase 300,000 additional common shares.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Total Without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Total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Exercise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Exercise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92"/>
              <w:spacing w:after="0"/>
              <w:rPr>
                <w:sz w:val="20"/>
                <w:szCs w:val="20"/>
                <w:color w:val="auto"/>
              </w:rPr>
            </w:pPr>
            <w:r>
              <w:rPr>
                <w:rFonts w:ascii="Arial" w:cs="Arial" w:eastAsia="Arial" w:hAnsi="Arial"/>
                <w:sz w:val="16"/>
                <w:szCs w:val="16"/>
                <w:b w:val="1"/>
                <w:bCs w:val="1"/>
                <w:color w:val="auto"/>
              </w:rPr>
              <w:t>Per</w:t>
            </w:r>
          </w:p>
        </w:tc>
        <w:tc>
          <w:tcPr>
            <w:tcW w:w="14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Over-allotment</w:t>
            </w:r>
          </w:p>
        </w:tc>
        <w:tc>
          <w:tcPr>
            <w:tcW w:w="1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Common share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option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option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Discounts &amp; commissions</w:t>
            </w: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0.3412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Non-accountable expense allowance</w:t>
            </w:r>
          </w:p>
        </w:tc>
        <w:tc>
          <w:tcPr>
            <w:tcW w:w="112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52,400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60,260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proceeds to us</w:t>
            </w:r>
          </w:p>
        </w:tc>
        <w:tc>
          <w:tcPr>
            <w:tcW w:w="11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11,229,980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Expense</w:t>
      </w:r>
    </w:p>
    <w:p>
      <w:pPr>
        <w:spacing w:after="0" w:line="15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the following: (i) all reasonable fees and expenses of the underwriters’ outside legal counsel, which shall not exceed $75,000 ($10,000 of which was already paid); (ii) third-party due diligence expenses not to exceed $50,000; (iii) Underwriter road show expenses not to exceed $25,000; (iv) Underwriters’ use of Ipreo’s book-building, prospectus tracking and compliance software for the Offering not to exceed $15,000; and (v) the costs associated with the bound volumes of the public offering materials as well as commemorative mementos and lucite tombstones in an amount not to exceed $2,500, with all of the Underwriters’ out-of-pocket expenses not to exceed an aggregate of $167,500. All fees already paid shall be reimbursable to us to the extent not actually incurred.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Warrants</w:t>
      </w:r>
    </w:p>
    <w:p>
      <w:pPr>
        <w:spacing w:after="0" w:line="14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Upon the closing of this offering, we have agreed to sell to the underwriters a warrant to purchase: (i) up to 5% of the number of common shares sold to investors introduced by the underwriters in this offering; and (ii) up to 3% of the number of common shares issued to investors identified by us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The warrant will be exercisable at any time, and from time to time, in whole or in part, during the period from the effective date of the offering, which period shall not extend further than five years from the effective date of the offering in compliance with FINRA Rule 5110(f)(2)(G)(i). The warrant is also exercisable on a cashless basis. The warrants have been deemed compensation by FINRA and are therefore subject to a 180-day lock-up pursuant to FINRA Rule 5110(g)(1). Except as permitted by Rule 5110(g)(1), the underwriters (or permitted assignees under the Rule) will not sell, transfer, assign, pledge, or hypothecate the warrants or the securities underlying the warrants,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warrants and the underlying common shares have been registered in the registration statement of which this prospectus forms a part, we have also agreed on only one occasion to register all of such underlying common shares at such time as we become eligible to file a resale registration statement on Form F-3. These registration rights apply to all of the securities directly and indirectly issuable upon exercise of the warrants, and shall expire on the fifth anniversary of the effective date of the registration statement of which this prospectus forms a part. We will bear all fees and expenses attendant to registering the securities issuable on exercise of the warrants, other than underwriting commissions incurred and payable by the holders.</w:t>
      </w:r>
    </w:p>
    <w:p>
      <w:pPr>
        <w:spacing w:after="0" w:line="113" w:lineRule="exact"/>
        <w:rPr>
          <w:sz w:val="20"/>
          <w:szCs w:val="20"/>
          <w:color w:val="auto"/>
        </w:rPr>
      </w:pPr>
    </w:p>
    <w:p>
      <w:pPr>
        <w:ind w:left="460" w:right="699" w:firstLine="432"/>
        <w:spacing w:after="0" w:line="312" w:lineRule="auto"/>
        <w:rPr>
          <w:sz w:val="20"/>
          <w:szCs w:val="20"/>
          <w:color w:val="auto"/>
        </w:rPr>
      </w:pPr>
      <w:r>
        <w:rPr>
          <w:rFonts w:ascii="Arial" w:cs="Arial" w:eastAsia="Arial" w:hAnsi="Arial"/>
          <w:sz w:val="16"/>
          <w:szCs w:val="16"/>
          <w:color w:val="auto"/>
        </w:rPr>
        <w:t>Upon the closing of this offering, we will place an escrow fund in the amount of USD $200,000 in an escrow account to be released to the underwriters in the connection with the payments of our indemnification pursuant to the underwriting agreement. The escrow account will remain in place for a period of 18 months.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90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We have agreed with the underwriters that we will not, without the prior consent of The Benchmark Company, LLC, as representative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twelve months after the date of this prospectus.</w:t>
      </w:r>
    </w:p>
    <w:p>
      <w:pPr>
        <w:spacing w:after="0" w:line="97"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In addition, each of our executive officers and directors and 5% or more holders of all of our common shares and warrants outstanding prior to the effective date of this offering,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The Benchmark Company, LLC, as representative of the underwriters, for a period of six months after the date of this prospectus.</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Stabilization</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08" w:lineRule="exact"/>
        <w:rPr>
          <w:sz w:val="20"/>
          <w:szCs w:val="20"/>
          <w:color w:val="auto"/>
        </w:rPr>
      </w:pPr>
    </w:p>
    <w:p>
      <w:pPr>
        <w:ind w:left="460" w:right="599" w:firstLine="432"/>
        <w:spacing w:after="0" w:line="312"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 has repurchased common shares sold by or for the account of such underwriter in stabilizing or short covering transactions.</w:t>
      </w:r>
    </w:p>
    <w:p>
      <w:pPr>
        <w:spacing w:after="0" w:line="66"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Finally, the underwriters may bid for, and purchase, common shares in market making transactions, including “passive” market making transactions as described below.</w:t>
      </w:r>
    </w:p>
    <w:p>
      <w:pPr>
        <w:spacing w:after="0" w:line="103"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0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06" w:lineRule="exact"/>
        <w:rPr>
          <w:sz w:val="20"/>
          <w:szCs w:val="20"/>
          <w:color w:val="auto"/>
        </w:rPr>
      </w:pPr>
    </w:p>
    <w:p>
      <w:pPr>
        <w:ind w:left="1320" w:right="679" w:hanging="425"/>
        <w:spacing w:after="0" w:line="259" w:lineRule="auto"/>
        <w:tabs>
          <w:tab w:leader="none" w:pos="13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ind w:left="1320" w:right="499"/>
        <w:spacing w:after="0" w:line="342" w:lineRule="auto"/>
        <w:rPr>
          <w:sz w:val="20"/>
          <w:szCs w:val="20"/>
          <w:color w:val="auto"/>
        </w:rPr>
      </w:pPr>
      <w:r>
        <w:rPr>
          <w:rFonts w:ascii="Arial" w:cs="Arial" w:eastAsia="Arial" w:hAnsi="Arial"/>
          <w:sz w:val="16"/>
          <w:szCs w:val="16"/>
          <w:color w:val="auto"/>
        </w:rPr>
        <w:t>maker’s average daily trading volume in our common share during a specified two-month prior period or 200 shares, whichever is greater, and must be discontinued when that limit is reached; and</w:t>
      </w:r>
    </w:p>
    <w:p>
      <w:pPr>
        <w:spacing w:after="0" w:line="43" w:lineRule="exact"/>
        <w:rPr>
          <w:sz w:val="20"/>
          <w:szCs w:val="20"/>
          <w:color w:val="auto"/>
        </w:rPr>
      </w:pPr>
    </w:p>
    <w:p>
      <w:pPr>
        <w:ind w:left="1300" w:hanging="405"/>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passive market making bids must be identified as such.</w:t>
      </w:r>
    </w:p>
    <w:p>
      <w:pPr>
        <w:spacing w:after="0" w:line="15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Passive market making may stabilize or maintain the market price of our common shares at a level above that which might otherwise prevail and, if commenced, may be discontinued at any time.</w:t>
      </w:r>
    </w:p>
    <w:p>
      <w:pPr>
        <w:spacing w:after="0" w:line="103"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underwriters do not expect sales to discretionary accounts to exceed five percent of the total number of common shares offered.</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Participation in Future Offerings</w:t>
      </w:r>
    </w:p>
    <w:p>
      <w:pPr>
        <w:spacing w:after="0" w:line="162"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Until ten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Prior to this offering, there has not been a public market for our common shares. The public offering price of the common shares offered by this prospectus has been determined by negotiation between us and the underwriters. Among the factors considered in determining the public offering price of the common shares were:</w:t>
      </w:r>
    </w:p>
    <w:p>
      <w:pPr>
        <w:spacing w:after="0" w:line="106" w:lineRule="exact"/>
        <w:rPr>
          <w:sz w:val="20"/>
          <w:szCs w:val="20"/>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history and our prospects;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financial information and historical performance;</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industry in which we operate;</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status and development prospects for our products and services;</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experience and skills of our executive officers;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sz w:val="20"/>
          <w:szCs w:val="20"/>
          <w:color w:val="auto"/>
        </w:rPr>
      </w:pPr>
    </w:p>
    <w:p>
      <w:pPr>
        <w:ind w:left="460" w:right="499" w:firstLine="432"/>
        <w:spacing w:after="0" w:line="312" w:lineRule="auto"/>
        <w:rPr>
          <w:sz w:val="20"/>
          <w:szCs w:val="20"/>
          <w:color w:val="auto"/>
        </w:rPr>
      </w:pPr>
      <w:r>
        <w:rPr>
          <w:rFonts w:ascii="Arial" w:cs="Arial" w:eastAsia="Arial" w:hAnsi="Arial"/>
          <w:sz w:val="16"/>
          <w:szCs w:val="16"/>
          <w:color w:val="auto"/>
        </w:rPr>
        <w:t>The offering price stated on the cover page of this prospectus should not be considered an indication of the actual value of the common shares. That price is subject to change as a result of market conditions and other factors, and we cannot assure you that the common shares can be resold at or above the public offering price.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The common shares have been approved for listing on The Nasdaq Capital Market under the symbol “CLPS”.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websites or through other online services maintained by the underwriter of this offering, or by its affiliates. Other than the prospectus in electronic format, the information on the underwriters’ website and any information contained in any other website maintained by an underwriter is not part of this prospectus or the registration statement of which this prospectus forms a part, has not been approved and/or endorsed by us or the underwriter in its capacity as underwriter, and should not be relied upon by investors.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90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our common shares offered by this prospectus to any accounts over which they exercise discretionary authority.</w:t>
      </w:r>
    </w:p>
    <w:p>
      <w:pPr>
        <w:spacing w:after="0" w:line="89"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114"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19" w:lineRule="exact"/>
        <w:rPr>
          <w:sz w:val="20"/>
          <w:szCs w:val="20"/>
          <w:color w:val="auto"/>
        </w:rPr>
      </w:pPr>
    </w:p>
    <w:p>
      <w:pPr>
        <w:ind w:left="460" w:right="699" w:firstLine="432"/>
        <w:spacing w:after="0" w:line="302" w:lineRule="auto"/>
        <w:rPr>
          <w:sz w:val="20"/>
          <w:szCs w:val="20"/>
          <w:color w:val="auto"/>
        </w:rPr>
      </w:pPr>
      <w:r>
        <w:rPr>
          <w:rFonts w:ascii="Arial" w:cs="Arial" w:eastAsia="Arial" w:hAnsi="Arial"/>
          <w:sz w:val="16"/>
          <w:szCs w:val="16"/>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48"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jc w:val="both"/>
        <w:ind w:left="460" w:right="69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 xml:space="preserve">The common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common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made in accordance with an exemption from, or in a transaction not subject to, the prospectus requirements of applicable securities laws.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6" w:lineRule="exact"/>
        <w:rPr>
          <w:sz w:val="20"/>
          <w:szCs w:val="20"/>
          <w:color w:val="auto"/>
        </w:rPr>
      </w:pPr>
    </w:p>
    <w:p>
      <w:pPr>
        <w:jc w:val="both"/>
        <w:ind w:left="460" w:right="659" w:firstLine="432"/>
        <w:spacing w:after="0" w:line="312"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5" w:name="page126"/>
    <w:bookmarkEnd w:id="125"/>
    <w:p>
      <w:pPr>
        <w:jc w:val="both"/>
        <w:ind w:left="460" w:right="579"/>
        <w:spacing w:after="0" w:line="276" w:lineRule="auto"/>
        <w:rPr>
          <w:sz w:val="20"/>
          <w:szCs w:val="20"/>
          <w:color w:val="auto"/>
        </w:rPr>
      </w:pPr>
      <w:r>
        <w:rPr>
          <w:rFonts w:ascii="Arial" w:cs="Arial" w:eastAsia="Arial" w:hAnsi="Arial"/>
          <w:sz w:val="17"/>
          <w:szCs w:val="17"/>
          <w:color w:val="auto"/>
        </w:rPr>
        <w:t>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the People’s Republic of China</w:t>
      </w:r>
    </w:p>
    <w:p>
      <w:pPr>
        <w:spacing w:after="0" w:line="148" w:lineRule="exact"/>
        <w:rPr>
          <w:sz w:val="20"/>
          <w:szCs w:val="20"/>
          <w:color w:val="auto"/>
        </w:rPr>
      </w:pPr>
    </w:p>
    <w:p>
      <w:pPr>
        <w:ind w:left="460" w:right="459" w:firstLine="432"/>
        <w:spacing w:after="0" w:line="302" w:lineRule="auto"/>
        <w:rPr>
          <w:sz w:val="20"/>
          <w:szCs w:val="20"/>
          <w:color w:val="auto"/>
        </w:rPr>
      </w:pPr>
      <w:r>
        <w:rPr>
          <w:rFonts w:ascii="Arial" w:cs="Arial" w:eastAsia="Arial" w:hAnsi="Arial"/>
          <w:sz w:val="16"/>
          <w:szCs w:val="16"/>
          <w:color w:val="auto"/>
        </w:rPr>
        <w:t>This prospectus may not be circulated or distributed in China and the common shares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common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common shares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Notice to Prospective Investors in Taiwan, the Republic of China</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common shares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679" w:firstLine="432"/>
        <w:spacing w:after="0" w:line="312" w:lineRule="auto"/>
        <w:rPr>
          <w:sz w:val="20"/>
          <w:szCs w:val="20"/>
          <w:color w:val="auto"/>
        </w:rPr>
      </w:pPr>
      <w:r>
        <w:rPr>
          <w:rFonts w:ascii="Arial" w:cs="Arial" w:eastAsia="Arial" w:hAnsi="Arial"/>
          <w:sz w:val="16"/>
          <w:szCs w:val="16"/>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7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FINRA filing fee</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Underwriters out-of-pocket expenses (due diligence, etc.)</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 for Benchmark counsel</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Legal fees and expenses for Cayman Islands counsel</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 for U.S. counsel</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Investor relations fees and expenses</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Website fees and expenses</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advisor fees and expenses</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1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70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16510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33655</wp:posOffset>
            </wp:positionV>
            <wp:extent cx="7715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900" w:hanging="438"/>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Estimates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479" w:firstLine="432"/>
        <w:spacing w:after="0" w:line="276" w:lineRule="auto"/>
        <w:rPr>
          <w:sz w:val="20"/>
          <w:szCs w:val="20"/>
          <w:color w:val="auto"/>
        </w:rPr>
      </w:pPr>
      <w:r>
        <w:rPr>
          <w:rFonts w:ascii="Arial" w:cs="Arial" w:eastAsia="Arial" w:hAnsi="Arial"/>
          <w:sz w:val="17"/>
          <w:szCs w:val="17"/>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www.sec.gov.</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40" w:type="dxa"/>
            <w:vAlign w:val="bottom"/>
          </w:tcPr>
          <w:p>
            <w:pPr>
              <w:jc w:val="center"/>
              <w:ind w:left="911"/>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40" w:type="dxa"/>
            <w:vAlign w:val="bottom"/>
          </w:tcPr>
          <w:p>
            <w:pPr>
              <w:jc w:val="center"/>
              <w:ind w:left="911"/>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2240" w:type="dxa"/>
            <w:vAlign w:val="bottom"/>
            <w:tcBorders>
              <w:bottom w:val="single" w:sz="8" w:color="CCEEFF"/>
            </w:tcBorders>
            <w:shd w:val="clear" w:color="auto" w:fill="CCEEFF"/>
          </w:tcPr>
          <w:p>
            <w:pPr>
              <w:jc w:val="center"/>
              <w:ind w:left="911"/>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Consolidated Statements of Income and Comprehensive Income</w:t>
            </w:r>
          </w:p>
        </w:tc>
        <w:tc>
          <w:tcPr>
            <w:tcW w:w="2240" w:type="dxa"/>
            <w:vAlign w:val="bottom"/>
          </w:tcPr>
          <w:p>
            <w:pPr>
              <w:jc w:val="center"/>
              <w:ind w:left="911"/>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2240" w:type="dxa"/>
            <w:vAlign w:val="bottom"/>
            <w:tcBorders>
              <w:bottom w:val="single" w:sz="8" w:color="CCEEFF"/>
            </w:tcBorders>
            <w:shd w:val="clear" w:color="auto" w:fill="CCEEFF"/>
          </w:tcPr>
          <w:p>
            <w:pPr>
              <w:jc w:val="center"/>
              <w:ind w:left="911"/>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240" w:type="dxa"/>
            <w:vAlign w:val="bottom"/>
          </w:tcPr>
          <w:p>
            <w:pPr>
              <w:jc w:val="center"/>
              <w:ind w:left="911"/>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2240" w:type="dxa"/>
            <w:vAlign w:val="bottom"/>
            <w:tcBorders>
              <w:bottom w:val="single" w:sz="8" w:color="CCEEFF"/>
            </w:tcBorders>
            <w:shd w:val="clear" w:color="auto" w:fill="CCEEFF"/>
          </w:tcPr>
          <w:p>
            <w:pPr>
              <w:jc w:val="center"/>
              <w:ind w:left="911"/>
              <w:spacing w:after="0"/>
              <w:rPr>
                <w:sz w:val="20"/>
                <w:szCs w:val="20"/>
                <w:color w:val="auto"/>
              </w:rPr>
            </w:pPr>
            <w:r>
              <w:rPr>
                <w:rFonts w:ascii="Arial" w:cs="Arial" w:eastAsia="Arial" w:hAnsi="Arial"/>
                <w:sz w:val="18"/>
                <w:szCs w:val="18"/>
                <w:color w:val="auto"/>
                <w:w w:val="90"/>
              </w:rPr>
              <w:t>F-8 – F-32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860" w:type="dxa"/>
            <w:vAlign w:val="bottom"/>
            <w:tcBorders>
              <w:bottom w:val="single" w:sz="8" w:color="auto"/>
            </w:tcBorders>
          </w:tcPr>
          <w:p>
            <w:pPr>
              <w:ind w:left="3900"/>
              <w:spacing w:after="0"/>
              <w:rPr>
                <w:sz w:val="20"/>
                <w:szCs w:val="20"/>
                <w:color w:val="auto"/>
              </w:rPr>
            </w:pPr>
            <w:r>
              <w:rPr>
                <w:rFonts w:ascii="Arial" w:cs="Arial" w:eastAsia="Arial" w:hAnsi="Arial"/>
                <w:sz w:val="18"/>
                <w:szCs w:val="18"/>
                <w:color w:val="auto"/>
              </w:rPr>
              <w:t>F-2</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9" w:name="page130"/>
    <w:bookmarkEnd w:id="129"/>
    <w:p>
      <w:pPr>
        <w:ind w:left="1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183515</wp:posOffset>
            </wp:positionV>
            <wp:extent cx="3224530" cy="557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3224530" cy="557530"/>
                    </a:xfrm>
                    <a:prstGeom prst="rect">
                      <a:avLst/>
                    </a:prstGeom>
                    <a:noFill/>
                  </pic:spPr>
                </pic:pic>
              </a:graphicData>
            </a:graphic>
          </wp:anchor>
        </w:drawing>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CLPS Incorporation</w:t>
      </w:r>
    </w:p>
    <w:p>
      <w:pPr>
        <w:spacing w:after="0" w:line="143" w:lineRule="exact"/>
        <w:rPr>
          <w:sz w:val="20"/>
          <w:szCs w:val="20"/>
          <w:color w:val="auto"/>
        </w:rPr>
      </w:pPr>
    </w:p>
    <w:p>
      <w:pPr>
        <w:ind w:left="460" w:right="559" w:firstLine="432"/>
        <w:spacing w:after="0" w:line="297" w:lineRule="auto"/>
        <w:rPr>
          <w:sz w:val="20"/>
          <w:szCs w:val="20"/>
          <w:color w:val="auto"/>
        </w:rPr>
      </w:pPr>
      <w:r>
        <w:rPr>
          <w:rFonts w:ascii="Arial" w:cs="Arial" w:eastAsia="Arial" w:hAnsi="Arial"/>
          <w:sz w:val="16"/>
          <w:szCs w:val="16"/>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9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2"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Friedman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8, 2017, except for Notes 1, 2, 17, and 18 which are dated March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280035</wp:posOffset>
            </wp:positionV>
            <wp:extent cx="4399280" cy="360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992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 xml:space="preserve">As of </w:t>
            </w:r>
            <w:r>
              <w:rPr>
                <w:rFonts w:ascii="Arial" w:cs="Arial" w:eastAsia="Arial" w:hAnsi="Arial"/>
                <w:sz w:val="16"/>
                <w:szCs w:val="16"/>
                <w:b w:val="1"/>
                <w:bCs w:val="1"/>
                <w:color w:val="auto"/>
              </w:rPr>
              <w:t>June</w:t>
            </w:r>
            <w:r>
              <w:rPr>
                <w:rFonts w:ascii="Arial" w:cs="Arial" w:eastAsia="Arial" w:hAnsi="Arial"/>
                <w:sz w:val="14"/>
                <w:szCs w:val="14"/>
                <w:b w:val="1"/>
                <w:bCs w:val="1"/>
                <w:color w:val="auto"/>
              </w:rPr>
              <w:t xml:space="preserv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4,659,037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6,644,774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4,373,489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10,813,479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260,156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952,494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Prepaid income tax</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169,557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12,325,296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9,910,841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16,619,705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114,248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Long-term investment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74,479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13,521,923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10,471,529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17,853,399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2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239,165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753,116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Tax payables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640,864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428,675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5,392,434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4,578,928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7,190,519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1,729,791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1,148,197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6,264,005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10,985,416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w w:val="93"/>
              </w:rPr>
              <w:t>Common share, $0.0001 par value; 100,000,000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2"/>
              </w:rPr>
              <w:t>authorized; 11,290,000 shares issued and outstanding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0"/>
              </w:rPr>
              <w:t>as of June 30, 2017 and 2016 and December 31, 2017*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Statuary reserves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418,722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(2,521,285)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(2,984,943)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(447,270)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(352,361)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(236,819)</w:t>
            </w:r>
          </w:p>
        </w:tc>
        <w:tc>
          <w:tcPr>
            <w:tcW w:w="0" w:type="dxa"/>
            <w:vAlign w:val="bottom"/>
          </w:tcPr>
          <w:p>
            <w:pPr>
              <w:spacing w:after="0"/>
              <w:rPr>
                <w:sz w:val="1"/>
                <w:szCs w:val="1"/>
                <w:color w:val="auto"/>
              </w:rPr>
            </w:pPr>
          </w:p>
        </w:tc>
      </w:tr>
      <w:tr>
        <w:trPr>
          <w:trHeight w:val="26"/>
        </w:trPr>
        <w:tc>
          <w:tcPr>
            <w:tcW w:w="4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4,834,188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4,203,490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6,375,968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477,110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5,311,298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4,207,524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6,867,983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13,521,923</w:t>
            </w:r>
          </w:p>
        </w:tc>
        <w:tc>
          <w:tcPr>
            <w:tcW w:w="120" w:type="dxa"/>
            <w:vAlign w:val="bottom"/>
          </w:tcPr>
          <w:p>
            <w:pPr>
              <w:spacing w:after="0"/>
              <w:rPr>
                <w:sz w:val="20"/>
                <w:szCs w:val="20"/>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10,471,529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17,853,399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2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-7927975</wp:posOffset>
            </wp:positionV>
            <wp:extent cx="250444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04440" cy="308610"/>
                    </a:xfrm>
                    <a:prstGeom prst="rect">
                      <a:avLst/>
                    </a:prstGeom>
                    <a:noFill/>
                  </pic:spPr>
                </pic:pic>
              </a:graphicData>
            </a:graphic>
          </wp:anchor>
        </w:drawing>
      </w:r>
    </w:p>
    <w:p>
      <w:pPr>
        <w:ind w:left="880" w:hanging="418"/>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w:t>
      </w:r>
    </w:p>
    <w:p>
      <w:pPr>
        <w:spacing w:after="0" w:line="158"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For the years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tcPr>
          <w:p>
            <w:pPr>
              <w:jc w:val="right"/>
              <w:ind w:right="98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31,361,976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29,024,178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22,199,995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14,323,938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Less: Cost of revenues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(18,669,812)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(17,463,416)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(13,341,978)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(8,483,897)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12,692,164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11,560,762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1,206,493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1,132,931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282,618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3,562,988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2,006,766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5,647,790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4,955,037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3,064,232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3,032,589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11,087,071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10,947,111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5,321,973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1,097,866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455,009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(13,213)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6"/>
        </w:trPr>
        <w:tc>
          <w:tcPr>
            <w:tcW w:w="2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2,102,811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2,054,124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1,451,451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970,931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(118,546)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1,784,971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Less: Net income (loss) attributable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attributable to CLPS</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2,047,445</w:t>
            </w:r>
          </w:p>
        </w:tc>
        <w:tc>
          <w:tcPr>
            <w:tcW w:w="14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1,826,112</w:t>
            </w:r>
          </w:p>
        </w:tc>
        <w:tc>
          <w:tcPr>
            <w:tcW w:w="12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1,331,329</w:t>
            </w:r>
          </w:p>
        </w:tc>
        <w:tc>
          <w:tcPr>
            <w:tcW w:w="14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1,025,448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b w:val="1"/>
                <w:bCs w:val="1"/>
                <w:color w:val="auto"/>
              </w:rPr>
              <w:t>Incorporation’s shareholders</w:t>
            </w:r>
          </w:p>
        </w:tc>
        <w:tc>
          <w:tcPr>
            <w:tcW w:w="2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9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Foreign currency translation (loss) gain</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(387,100)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5"/>
              </w:rPr>
              <w:t>Less: foreign currency translation gain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w w:val="97"/>
              </w:rPr>
              <w:t>(loss) attributable to Non-controlling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attributable to CLPS Incorporation’s</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(94,909)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(385,629)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210,451</w:t>
            </w:r>
          </w:p>
        </w:tc>
        <w:tc>
          <w:tcPr>
            <w:tcW w:w="14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(226,776)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CCEEFF"/>
            </w:tcBorders>
            <w:gridSpan w:val="2"/>
            <w:vMerge w:val="continue"/>
            <w:shd w:val="clear" w:color="auto" w:fill="CCEEFF"/>
          </w:tcPr>
          <w:p>
            <w:pPr>
              <w:spacing w:after="0"/>
              <w:rPr>
                <w:sz w:val="22"/>
                <w:szCs w:val="22"/>
                <w:color w:val="auto"/>
              </w:rPr>
            </w:pPr>
          </w:p>
        </w:tc>
        <w:tc>
          <w:tcPr>
            <w:tcW w:w="106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CCEEFF"/>
            </w:tcBorders>
            <w:gridSpan w:val="2"/>
            <w:vMerge w:val="continue"/>
            <w:shd w:val="clear" w:color="auto" w:fill="CCEEFF"/>
          </w:tcPr>
          <w:p>
            <w:pPr>
              <w:spacing w:after="0"/>
              <w:rPr>
                <w:sz w:val="22"/>
                <w:szCs w:val="22"/>
                <w:color w:val="auto"/>
              </w:rPr>
            </w:pPr>
          </w:p>
        </w:tc>
        <w:tc>
          <w:tcPr>
            <w:tcW w:w="106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CCEEFF"/>
            </w:tcBorders>
            <w:gridSpan w:val="2"/>
            <w:vMerge w:val="continue"/>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vMerge w:val="continue"/>
            <w:shd w:val="clear" w:color="auto" w:fill="CCEEFF"/>
          </w:tcPr>
          <w:p>
            <w:pPr>
              <w:spacing w:after="0"/>
              <w:rPr>
                <w:sz w:val="22"/>
                <w:szCs w:val="22"/>
                <w:color w:val="auto"/>
              </w:rPr>
            </w:pPr>
          </w:p>
        </w:tc>
        <w:tc>
          <w:tcPr>
            <w:tcW w:w="10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1,952,536</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1,440,483</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1,541,780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(42,612)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9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2"/>
              </w:rPr>
              <w:t>Basic and diluted earnings per common</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outstanding – basic and diluted</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-6551295</wp:posOffset>
            </wp:positionV>
            <wp:extent cx="3284855"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84855" cy="308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880" w:hanging="418"/>
        <w:spacing w:after="0"/>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w:t>
      </w:r>
    </w:p>
    <w:p>
      <w:pPr>
        <w:spacing w:after="0" w:line="158"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0" w:type="dxa"/>
            <w:vAlign w:val="bottom"/>
            <w:gridSpan w:val="4"/>
            <w:vMerge w:val="restart"/>
          </w:tcPr>
          <w:p>
            <w:pPr>
              <w:jc w:val="right"/>
              <w:ind w:right="208"/>
              <w:spacing w:after="0"/>
              <w:rPr>
                <w:sz w:val="20"/>
                <w:szCs w:val="20"/>
                <w:color w:val="auto"/>
              </w:rPr>
            </w:pPr>
            <w:r>
              <w:rPr>
                <w:rFonts w:ascii="Arial" w:cs="Arial" w:eastAsia="Arial" w:hAnsi="Arial"/>
                <w:sz w:val="13"/>
                <w:szCs w:val="13"/>
                <w:b w:val="1"/>
                <w:bCs w:val="1"/>
                <w:color w:val="auto"/>
              </w:rPr>
              <w:t>Common Share</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Earnings</w:t>
            </w:r>
          </w:p>
        </w:tc>
        <w:tc>
          <w:tcPr>
            <w:tcW w:w="96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88"/>
              </w:rPr>
              <w:t>Comprehensive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7"/>
              </w:rPr>
              <w:t>Statutory</w:t>
            </w:r>
          </w:p>
        </w:tc>
        <w:tc>
          <w:tcPr>
            <w:tcW w:w="80" w:type="dxa"/>
            <w:vAlign w:val="bottom"/>
          </w:tcPr>
          <w:p>
            <w:pPr>
              <w:spacing w:after="0"/>
              <w:rPr>
                <w:sz w:val="11"/>
                <w:szCs w:val="11"/>
                <w:color w:val="auto"/>
              </w:rPr>
            </w:pPr>
          </w:p>
        </w:tc>
        <w:tc>
          <w:tcPr>
            <w:tcW w:w="8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1"/>
                <w:szCs w:val="11"/>
                <w:color w:val="auto"/>
              </w:rPr>
            </w:pPr>
          </w:p>
        </w:tc>
        <w:tc>
          <w:tcPr>
            <w:tcW w:w="6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Amount*</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Surplus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Balance at July 1, 2015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11,290,000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$2,696,377</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540,967</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2,639,885</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33,268</w:t>
            </w:r>
          </w:p>
        </w:tc>
        <w:tc>
          <w:tcPr>
            <w:tcW w:w="1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5,913,141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Shareholder’s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contribution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3,377,813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3,377,813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Recapitalization of</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Shanghai CLPS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1,051,952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(551,684)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(500,268)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160"/>
              <w:spacing w:after="0" w:line="149" w:lineRule="exact"/>
              <w:rPr>
                <w:sz w:val="20"/>
                <w:szCs w:val="20"/>
                <w:color w:val="auto"/>
              </w:rPr>
            </w:pPr>
            <w:r>
              <w:rPr>
                <w:rFonts w:ascii="Arial" w:cs="Arial" w:eastAsia="Arial" w:hAnsi="Arial"/>
                <w:sz w:val="14"/>
                <w:szCs w:val="14"/>
                <w:color w:val="auto"/>
              </w:rPr>
              <w:t>shareholders’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contribution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46,919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46,919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 Non-</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controlling interest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(5,199)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Dividends declared</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(6,521,233)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(6,521,233)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Net income for the year</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1,826,112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(41,141)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1,784,971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Appropriation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statutory reserve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429,439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(429,439)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(385,629)</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(387,100)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Arial" w:cs="Arial" w:eastAsia="Arial" w:hAnsi="Arial"/>
                <w:sz w:val="14"/>
                <w:szCs w:val="14"/>
                <w:color w:val="auto"/>
                <w:w w:val="96"/>
              </w:rPr>
              <w:t>Balance at June 30, 2016</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11,290,000</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$7,120,943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418,722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(2,984,943)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(352,361)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4,207,524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Non-controlling</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shareholders’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contribution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Non-controlling interest</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through acquisition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290,994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290,994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Dividend declared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(1,321,838)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(1,321,838)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Arial" w:cs="Arial" w:eastAsia="Arial" w:hAnsi="Arial"/>
                <w:sz w:val="14"/>
                <w:szCs w:val="14"/>
                <w:color w:val="auto"/>
              </w:rPr>
              <w:t>Net income for the year</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2,047,445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173,912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2,221,357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Appropriation of</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statutory reserve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261,949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(261,949)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160"/>
              <w:spacing w:after="0" w:line="149" w:lineRule="exact"/>
              <w:rPr>
                <w:sz w:val="20"/>
                <w:szCs w:val="20"/>
                <w:color w:val="auto"/>
              </w:rPr>
            </w:pPr>
            <w:r>
              <w:rPr>
                <w:rFonts w:ascii="Arial" w:cs="Arial" w:eastAsia="Arial" w:hAnsi="Arial"/>
                <w:sz w:val="14"/>
                <w:szCs w:val="14"/>
                <w:color w:val="auto"/>
              </w:rPr>
              <w:t>translation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(94,909)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(93,177)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Balance at June 30, 2017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11,290,000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w w:val="71"/>
                <w:shd w:val="clear" w:color="auto" w:fill="CCEEFF"/>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1,129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shd w:val="clear" w:color="auto" w:fill="CCEEFF"/>
              </w:rPr>
              <w:t>$7,120,943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shd w:val="clear" w:color="auto" w:fill="CCEEFF"/>
              </w:rPr>
              <w:t>680,671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shd w:val="clear" w:color="auto" w:fill="CCEEFF"/>
              </w:rPr>
              <w:t>(2,521,285)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(447,270)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shd w:val="clear" w:color="auto" w:fill="CCEEFF"/>
              </w:rPr>
              <w:t>477,110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5,311,298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Non-controlling interest</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through acquisition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for the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1,331,329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(5,938)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1,325,391</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line="130" w:lineRule="exact"/>
              <w:rPr>
                <w:sz w:val="20"/>
                <w:szCs w:val="20"/>
                <w:color w:val="auto"/>
              </w:rPr>
            </w:pPr>
            <w:r>
              <w:rPr>
                <w:rFonts w:ascii="Arial" w:cs="Arial" w:eastAsia="Arial" w:hAnsi="Arial"/>
                <w:sz w:val="14"/>
                <w:szCs w:val="14"/>
                <w:color w:val="auto"/>
              </w:rPr>
              <w:t>Appropriation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statutory reserve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224,882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(224,882)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210,451</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231,224</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vMerge w:val="restart"/>
          </w:tcPr>
          <w:p>
            <w:pPr>
              <w:spacing w:after="0" w:line="130" w:lineRule="exact"/>
              <w:rPr>
                <w:sz w:val="20"/>
                <w:szCs w:val="20"/>
                <w:color w:val="auto"/>
              </w:rPr>
            </w:pPr>
            <w:r>
              <w:rPr>
                <w:rFonts w:ascii="Arial" w:cs="Arial" w:eastAsia="Arial" w:hAnsi="Arial"/>
                <w:sz w:val="14"/>
                <w:szCs w:val="14"/>
                <w:color w:val="auto"/>
                <w:w w:val="97"/>
              </w:rPr>
              <w:t>Balance at December 31,</w:t>
            </w: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9"/>
              </w:rPr>
              <w:t>11,290,000</w:t>
            </w:r>
          </w:p>
        </w:tc>
        <w:tc>
          <w:tcPr>
            <w:tcW w:w="260" w:type="dxa"/>
            <w:vAlign w:val="bottom"/>
            <w:gridSpan w:val="2"/>
            <w:vMerge w:val="restart"/>
          </w:tcPr>
          <w:p>
            <w:pPr>
              <w:jc w:val="right"/>
              <w:ind w:right="25"/>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1,129</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$7,120,943</w:t>
            </w:r>
          </w:p>
        </w:tc>
        <w:tc>
          <w:tcPr>
            <w:tcW w:w="100" w:type="dxa"/>
            <w:vAlign w:val="bottom"/>
          </w:tcPr>
          <w:p>
            <w:pPr>
              <w:spacing w:after="0"/>
              <w:rPr>
                <w:sz w:val="9"/>
                <w:szCs w:val="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8"/>
              </w:rPr>
              <w:t>905,553</w:t>
            </w:r>
          </w:p>
        </w:tc>
        <w:tc>
          <w:tcPr>
            <w:tcW w:w="120" w:type="dxa"/>
            <w:vAlign w:val="bottom"/>
          </w:tcPr>
          <w:p>
            <w:pPr>
              <w:spacing w:after="0"/>
              <w:rPr>
                <w:sz w:val="9"/>
                <w:szCs w:val="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2"/>
              </w:rPr>
              <w:t>(1,414,838)</w:t>
            </w: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(236,819)</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0"/>
              </w:rPr>
              <w:t>492,015</w:t>
            </w:r>
          </w:p>
        </w:tc>
        <w:tc>
          <w:tcPr>
            <w:tcW w:w="120" w:type="dxa"/>
            <w:vAlign w:val="bottom"/>
          </w:tcPr>
          <w:p>
            <w:pPr>
              <w:spacing w:after="0"/>
              <w:rPr>
                <w:sz w:val="9"/>
                <w:szCs w:val="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6"/>
              </w:rPr>
              <w:t>6,867,983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Arial" w:cs="Arial" w:eastAsia="Arial" w:hAnsi="Arial"/>
                <w:sz w:val="14"/>
                <w:szCs w:val="14"/>
                <w:color w:val="auto"/>
              </w:rPr>
              <w:t>2017 (Unaudited)</w:t>
            </w: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-4622800</wp:posOffset>
            </wp:positionV>
            <wp:extent cx="4210685"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10685" cy="9461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7620</wp:posOffset>
            </wp:positionV>
            <wp:extent cx="40906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90670" cy="26035"/>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hanging="418"/>
        <w:spacing w:after="0"/>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w:t>
      </w:r>
    </w:p>
    <w:p>
      <w:pPr>
        <w:spacing w:after="0" w:line="158"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For the years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ind w:right="29"/>
              <w:spacing w:after="0"/>
              <w:rPr>
                <w:sz w:val="20"/>
                <w:szCs w:val="20"/>
                <w:color w:val="auto"/>
              </w:rPr>
            </w:pPr>
            <w:r>
              <w:rPr>
                <w:rFonts w:ascii="Arial" w:cs="Arial" w:eastAsia="Arial" w:hAnsi="Arial"/>
                <w:sz w:val="13"/>
                <w:szCs w:val="13"/>
                <w:b w:val="1"/>
                <w:bCs w:val="1"/>
                <w:color w:val="auto"/>
              </w:rPr>
              <w:t>June 30,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29"/>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08"/>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29"/>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08"/>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(Unaudited)</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2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2,221,357</w:t>
            </w:r>
          </w:p>
        </w:tc>
        <w:tc>
          <w:tcPr>
            <w:tcW w:w="120" w:type="dxa"/>
            <w:vAlign w:val="bottom"/>
          </w:tcPr>
          <w:p>
            <w:pPr>
              <w:spacing w:after="0"/>
              <w:rPr>
                <w:sz w:val="16"/>
                <w:szCs w:val="16"/>
                <w:color w:val="auto"/>
              </w:rPr>
            </w:pP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1,784,971</w:t>
            </w:r>
          </w:p>
        </w:tc>
        <w:tc>
          <w:tcPr>
            <w:tcW w:w="14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1,325,391</w:t>
            </w:r>
          </w:p>
        </w:tc>
        <w:tc>
          <w:tcPr>
            <w:tcW w:w="22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1,024,973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6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w w:val="95"/>
              </w:rPr>
              <w:t>Adjustments to reconcile net income to net cash provided</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by (used in) operating activities:</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143,626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102,365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71,778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tax (benefit) provision</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(221,114)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(96,713)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109,116</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(124,663)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Provision for doubtful accounts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86,463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60,787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Changes in assets and liabilities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(2,410,155)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1,053,207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(4,168,705)</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(1,474,414)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Prepayment, deposits and other assets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(357,761)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(303,637)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(348,107)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Prepaid income tax</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(168,825)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(34,998)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other current liabilities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287,696</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219,672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208,772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47,253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(71,010)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16,580</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340"/>
              <w:spacing w:after="0"/>
              <w:rPr>
                <w:sz w:val="20"/>
                <w:szCs w:val="20"/>
                <w:color w:val="auto"/>
              </w:rPr>
            </w:pPr>
            <w:r>
              <w:rPr>
                <w:rFonts w:ascii="Arial" w:cs="Arial" w:eastAsia="Arial" w:hAnsi="Arial"/>
                <w:sz w:val="14"/>
                <w:szCs w:val="14"/>
                <w:color w:val="auto"/>
              </w:rPr>
              <w:t>Customer deposits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51,194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681,479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406,488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Salaries and benefits payable</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899,462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957,167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1,798,085</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943,076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624,344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4,462,268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(137,467)</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740,065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(327,768)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(219,693)</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(30,380)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Payment for business acquisition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(349,617)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acquired from acquisition</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Disposition (acquisition) of long term investment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(46,580)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(101,218)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(374,348)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(219,693)</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236,476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Proceeds from short-term bank loans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2,243,570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 of short-term bank loans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(1,505,752)</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Capital contribution by shareholders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2,135,673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Non-controlling interest shareholder’s contribution</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Purchase of non-controlling interest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(6,987)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Amounts due from related parties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2,491,794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57,870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(14,162)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Amounts due to related parties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(102,754)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(209,251)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Dividend paid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(736,436)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(5,279,093)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(600,167)</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(832,752)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(378,837)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(13,730)</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170,232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(153,002)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(227,771)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215,359</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(120,034)</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increase in cash</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(462,628)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3,481,312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(155,531)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1,026,739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beginning of period</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5,277,196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1,795,884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4,814,568</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5,277,196</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4,814,568</w:t>
            </w:r>
          </w:p>
        </w:tc>
        <w:tc>
          <w:tcPr>
            <w:tcW w:w="120" w:type="dxa"/>
            <w:vAlign w:val="bottom"/>
          </w:tcPr>
          <w:p>
            <w:pPr>
              <w:spacing w:after="0"/>
              <w:rPr>
                <w:sz w:val="19"/>
                <w:szCs w:val="19"/>
                <w:color w:val="auto"/>
              </w:rPr>
            </w:pP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5,277,196</w:t>
            </w:r>
          </w:p>
        </w:tc>
        <w:tc>
          <w:tcPr>
            <w:tcW w:w="140" w:type="dxa"/>
            <w:vAlign w:val="bottom"/>
          </w:tcPr>
          <w:p>
            <w:pPr>
              <w:spacing w:after="0"/>
              <w:rPr>
                <w:sz w:val="19"/>
                <w:szCs w:val="19"/>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4,659,037</w:t>
            </w:r>
          </w:p>
        </w:tc>
        <w:tc>
          <w:tcPr>
            <w:tcW w:w="22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6,303,935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SUPPLEMENTAL DISCLOSURE OF CASH FLOW</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INFORMATION: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Income tax paid</w:t>
            </w:r>
          </w:p>
        </w:tc>
        <w:tc>
          <w:tcPr>
            <w:tcW w:w="2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335,143</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285,019</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131,826</w:t>
            </w: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Interest paid</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Non-Cash Transactions of Investing and Financing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Dividend payable included in due to related parties</w:t>
            </w:r>
          </w:p>
        </w:tc>
        <w:tc>
          <w:tcPr>
            <w:tcW w:w="2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585,402</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Payable for business acquisition</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128,371</w:t>
            </w: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26,750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468,742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Dividend contributed to capital</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1,242,140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Capital contribution from non-controlling shareholders</w:t>
            </w: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-6868795</wp:posOffset>
            </wp:positionV>
            <wp:extent cx="2907030" cy="274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07030" cy="2743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62"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and President, together with Mr. Raymond Ming Hui Lin, the Company’s Chief Executive Officer (“CEO”) are the controlling shareholders of the Company. (the “controlling shareholder”).</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Reorganization</w:t>
      </w:r>
    </w:p>
    <w:p>
      <w:pPr>
        <w:spacing w:after="0" w:line="14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and President, together with Mr. Raymond Ming Hui Lin, the Company’s Chief Executive Officer (“CEO”) are the controlling shareholders of the Company (the “Controlling shareholders”).</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26"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Prior to the reorganization, CLPS Shanghai’s equity interests were 100% controlled by the same group of the controlling shareholders of CLPS.</w:t>
      </w:r>
    </w:p>
    <w:p>
      <w:pPr>
        <w:spacing w:after="0" w:line="89"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0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10" w:lineRule="exact"/>
        <w:rPr>
          <w:sz w:val="20"/>
          <w:szCs w:val="20"/>
          <w:color w:val="auto"/>
        </w:rPr>
      </w:pPr>
    </w:p>
    <w:p>
      <w:pPr>
        <w:ind w:left="460" w:right="479" w:firstLine="432"/>
        <w:spacing w:after="0" w:line="297" w:lineRule="auto"/>
        <w:rPr>
          <w:sz w:val="20"/>
          <w:szCs w:val="20"/>
          <w:color w:val="auto"/>
        </w:rPr>
      </w:pPr>
      <w:r>
        <w:rPr>
          <w:rFonts w:ascii="Arial" w:cs="Arial" w:eastAsia="Arial" w:hAnsi="Arial"/>
          <w:sz w:val="16"/>
          <w:szCs w:val="16"/>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DESCRIPTION OF BUSINESS </w:t>
      </w:r>
      <w:r>
        <w:rPr>
          <w:rFonts w:ascii="Arial" w:cs="Arial" w:eastAsia="Arial" w:hAnsi="Arial"/>
          <w:sz w:val="18"/>
          <w:szCs w:val="18"/>
          <w:color w:val="auto"/>
        </w:rPr>
        <w:t>(cont.)</w:t>
      </w:r>
    </w:p>
    <w:p>
      <w:pPr>
        <w:spacing w:after="0" w:line="162" w:lineRule="exact"/>
        <w:rPr>
          <w:sz w:val="20"/>
          <w:szCs w:val="20"/>
          <w:color w:val="auto"/>
        </w:rPr>
      </w:pPr>
    </w:p>
    <w:p>
      <w:pPr>
        <w:ind w:left="460" w:right="939" w:firstLine="432"/>
        <w:spacing w:after="0" w:line="308" w:lineRule="auto"/>
        <w:rPr>
          <w:sz w:val="20"/>
          <w:szCs w:val="20"/>
          <w:color w:val="auto"/>
        </w:rPr>
      </w:pPr>
      <w:r>
        <w:rPr>
          <w:rFonts w:ascii="Arial" w:cs="Arial" w:eastAsia="Arial" w:hAnsi="Arial"/>
          <w:sz w:val="17"/>
          <w:szCs w:val="17"/>
          <w:color w:val="auto"/>
        </w:rPr>
        <w:t>Upon the reorganization, the Company has subsidiaries in PRC, Hong Kong, Taiwan, British Virgin Islands, Australia and Singapore. Details of the subsidiaries of the Company are set out below:</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auto"/>
                <w:w w:val="94"/>
              </w:rPr>
              <w:t>Date of</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0"/>
              </w:rPr>
              <w:t>Place of</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4"/>
              </w:rPr>
              <w:t>Principal</w:t>
            </w:r>
          </w:p>
        </w:tc>
        <w:tc>
          <w:tcPr>
            <w:tcW w:w="0" w:type="dxa"/>
            <w:vAlign w:val="bottom"/>
          </w:tcPr>
          <w:p>
            <w:pPr>
              <w:spacing w:after="0"/>
              <w:rPr>
                <w:sz w:val="1"/>
                <w:szCs w:val="1"/>
                <w:color w:val="auto"/>
              </w:rPr>
            </w:pPr>
          </w:p>
        </w:tc>
      </w:tr>
      <w:tr>
        <w:trPr>
          <w:trHeight w:val="179"/>
        </w:trPr>
        <w:tc>
          <w:tcPr>
            <w:tcW w:w="1380" w:type="dxa"/>
            <w:vAlign w:val="bottom"/>
            <w:gridSpan w:val="2"/>
          </w:tcPr>
          <w:p>
            <w:pPr>
              <w:spacing w:after="0"/>
              <w:rPr>
                <w:sz w:val="20"/>
                <w:szCs w:val="20"/>
                <w:color w:val="auto"/>
              </w:rPr>
            </w:pPr>
            <w:r>
              <w:rPr>
                <w:rFonts w:ascii="Arial" w:cs="Arial" w:eastAsia="Arial" w:hAnsi="Arial"/>
                <w:sz w:val="15"/>
                <w:szCs w:val="15"/>
                <w:b w:val="1"/>
                <w:bCs w:val="1"/>
                <w:color w:val="auto"/>
              </w:rPr>
              <w:t>Name of Entity</w:t>
            </w:r>
          </w:p>
        </w:tc>
        <w:tc>
          <w:tcPr>
            <w:tcW w:w="17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Incorporation/acquisition</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5"/>
              </w:rPr>
              <w:t>Incorporation</w:t>
            </w:r>
          </w:p>
        </w:tc>
        <w:tc>
          <w:tcPr>
            <w:tcW w:w="100" w:type="dxa"/>
            <w:vAlign w:val="bottom"/>
          </w:tcPr>
          <w:p>
            <w:pPr>
              <w:spacing w:after="0"/>
              <w:rPr>
                <w:sz w:val="15"/>
                <w:szCs w:val="15"/>
                <w:color w:val="auto"/>
              </w:rPr>
            </w:pPr>
          </w:p>
        </w:tc>
        <w:tc>
          <w:tcPr>
            <w:tcW w:w="2540" w:type="dxa"/>
            <w:vAlign w:val="bottom"/>
            <w:gridSpan w:val="2"/>
          </w:tcPr>
          <w:p>
            <w:pPr>
              <w:ind w:left="480"/>
              <w:spacing w:after="0"/>
              <w:rPr>
                <w:sz w:val="20"/>
                <w:szCs w:val="20"/>
                <w:color w:val="auto"/>
              </w:rPr>
            </w:pPr>
            <w:r>
              <w:rPr>
                <w:rFonts w:ascii="Arial" w:cs="Arial" w:eastAsia="Arial" w:hAnsi="Arial"/>
                <w:sz w:val="15"/>
                <w:szCs w:val="15"/>
                <w:b w:val="1"/>
                <w:bCs w:val="1"/>
                <w:color w:val="auto"/>
              </w:rPr>
              <w:t>% of Equity Ownership</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2"/>
              </w:rPr>
              <w:t>Activities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6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7"/>
                <w:szCs w:val="17"/>
                <w:color w:val="auto"/>
              </w:rPr>
              <w:t>CLPS</w:t>
            </w:r>
          </w:p>
        </w:tc>
        <w:tc>
          <w:tcPr>
            <w:tcW w:w="80" w:type="dxa"/>
            <w:vAlign w:val="bottom"/>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w w:val="92"/>
              </w:rPr>
              <w:t>Incorporated on May</w:t>
            </w:r>
          </w:p>
        </w:tc>
        <w:tc>
          <w:tcPr>
            <w:tcW w:w="12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w w:val="90"/>
              </w:rPr>
              <w:t>Cayman Islands</w:t>
            </w:r>
          </w:p>
        </w:tc>
        <w:tc>
          <w:tcPr>
            <w:tcW w:w="100" w:type="dxa"/>
            <w:vAlign w:val="bottom"/>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86"/>
              </w:rPr>
              <w:t>Parent</w:t>
            </w: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w w:val="97"/>
              </w:rPr>
              <w:t>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Incorporation</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11,</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Company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(“CLPS” or the</w:t>
            </w:r>
          </w:p>
        </w:tc>
        <w:tc>
          <w:tcPr>
            <w:tcW w:w="176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5"/>
              </w:rPr>
              <w:t>2017</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“Company”)</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rPr>
              <w:t>Qinheng Co.,</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89"/>
              </w:rPr>
              <w:t>Incorporated on June 9,</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7"/>
                <w:szCs w:val="17"/>
                <w:color w:val="auto"/>
                <w:w w:val="93"/>
              </w:rPr>
              <w:t>Hong Kong,</w:t>
            </w:r>
          </w:p>
        </w:tc>
        <w:tc>
          <w:tcPr>
            <w:tcW w:w="160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7"/>
              </w:rPr>
              <w:t>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Limited</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9"/>
              </w:rPr>
              <w:t>China</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(“Qinheng”)</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7"/>
              </w:rPr>
              <w:t>Qiner Co., Limited</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3"/>
              </w:rPr>
              <w:t>Incorporated on April</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3"/>
              </w:rPr>
              <w:t>Hong Kong,</w:t>
            </w:r>
          </w:p>
        </w:tc>
        <w:tc>
          <w:tcPr>
            <w:tcW w:w="1600" w:type="dxa"/>
            <w:vAlign w:val="bottom"/>
            <w:gridSpan w:val="2"/>
            <w:shd w:val="clear" w:color="auto" w:fill="CCEEFF"/>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7"/>
              </w:rPr>
              <w:t>Holding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(“Qiner”)</w:t>
            </w:r>
          </w:p>
        </w:tc>
        <w:tc>
          <w:tcPr>
            <w:tcW w:w="17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21, 2017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China</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Company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w w:val="89"/>
              </w:rPr>
              <w:t>Shanghai Qincheng</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92"/>
              </w:rPr>
              <w:t>Incorporated on August</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7"/>
                <w:szCs w:val="17"/>
                <w:color w:val="auto"/>
                <w:w w:val="89"/>
              </w:rPr>
              <w:t>Shanghai, China</w:t>
            </w:r>
          </w:p>
        </w:tc>
        <w:tc>
          <w:tcPr>
            <w:tcW w:w="160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7"/>
              </w:rPr>
              <w:t>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Information</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84"/>
              </w:rPr>
              <w:t>4,</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w w:val="95"/>
              </w:rPr>
              <w:t>Technology Co.,</w:t>
            </w:r>
          </w:p>
        </w:tc>
        <w:tc>
          <w:tcPr>
            <w:tcW w:w="1760" w:type="dxa"/>
            <w:vAlign w:val="bottom"/>
            <w:gridSpan w:val="2"/>
          </w:tcPr>
          <w:p>
            <w:pPr>
              <w:jc w:val="center"/>
              <w:ind w:left="35"/>
              <w:spacing w:after="0"/>
              <w:rPr>
                <w:sz w:val="20"/>
                <w:szCs w:val="20"/>
                <w:color w:val="auto"/>
              </w:rPr>
            </w:pPr>
            <w:r>
              <w:rPr>
                <w:rFonts w:ascii="Arial" w:cs="Arial" w:eastAsia="Arial" w:hAnsi="Arial"/>
                <w:sz w:val="17"/>
                <w:szCs w:val="17"/>
                <w:color w:val="auto"/>
                <w:w w:val="95"/>
              </w:rPr>
              <w:t>2017</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w w:val="98"/>
              </w:rPr>
              <w:t>Ltd (“CLPS QC”</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or “WOFE”)</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ChinaLink</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2"/>
              </w:rPr>
              <w:t>Incorporated on August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89"/>
              </w:rPr>
              <w:t>Shanghai, China</w:t>
            </w:r>
          </w:p>
        </w:tc>
        <w:tc>
          <w:tcPr>
            <w:tcW w:w="1600" w:type="dxa"/>
            <w:vAlign w:val="bottom"/>
            <w:gridSpan w:val="2"/>
            <w:shd w:val="clear" w:color="auto" w:fill="CCEEFF"/>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Professional</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30, 2005</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Service Co., Ltd</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(“CLPS</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Shanghai”)</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rPr>
              <w:t>CLPS Dalian Co.,</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92"/>
              </w:rPr>
              <w:t>Incorporated on May</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7"/>
                <w:szCs w:val="17"/>
                <w:color w:val="auto"/>
                <w:w w:val="94"/>
              </w:rPr>
              <w:t>Dalian, China</w:t>
            </w:r>
          </w:p>
        </w:tc>
        <w:tc>
          <w:tcPr>
            <w:tcW w:w="160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Ltd (“CLPS</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90"/>
              </w:rPr>
              <w:t>25, 2011</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Dalian”)</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CLPS Ruicheng</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89"/>
              </w:rPr>
              <w:t>Incorporated on June</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89"/>
              </w:rPr>
              <w:t>Shanghai, China</w:t>
            </w:r>
          </w:p>
        </w:tc>
        <w:tc>
          <w:tcPr>
            <w:tcW w:w="1600" w:type="dxa"/>
            <w:vAlign w:val="bottom"/>
            <w:gridSpan w:val="2"/>
            <w:shd w:val="clear" w:color="auto" w:fill="CCEEFF"/>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8"/>
              </w:rPr>
              <w:t>Co., Ltd (“CLPS</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26, 2013</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RC”)</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rPr>
              <w:t>CLPS Beijing</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91"/>
              </w:rPr>
              <w:t>Incorporated on March</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7"/>
                <w:szCs w:val="17"/>
                <w:color w:val="auto"/>
                <w:w w:val="95"/>
              </w:rPr>
              <w:t>Beijing, China</w:t>
            </w:r>
          </w:p>
        </w:tc>
        <w:tc>
          <w:tcPr>
            <w:tcW w:w="100" w:type="dxa"/>
            <w:vAlign w:val="bottom"/>
          </w:tcPr>
          <w:p>
            <w:pPr>
              <w:spacing w:after="0"/>
              <w:rPr>
                <w:sz w:val="16"/>
                <w:szCs w:val="16"/>
                <w:color w:val="auto"/>
              </w:rPr>
            </w:pPr>
          </w:p>
        </w:tc>
        <w:tc>
          <w:tcPr>
            <w:tcW w:w="1500" w:type="dxa"/>
            <w:vAlign w:val="bottom"/>
          </w:tcPr>
          <w:p>
            <w:pPr>
              <w:jc w:val="center"/>
              <w:spacing w:after="0" w:line="185" w:lineRule="exact"/>
              <w:rPr>
                <w:sz w:val="20"/>
                <w:szCs w:val="20"/>
                <w:color w:val="auto"/>
              </w:rPr>
            </w:pPr>
            <w:r>
              <w:rPr>
                <w:rFonts w:ascii="Arial" w:cs="Arial" w:eastAsia="Arial" w:hAnsi="Arial"/>
                <w:sz w:val="17"/>
                <w:szCs w:val="17"/>
                <w:color w:val="auto"/>
                <w:w w:val="91"/>
              </w:rPr>
              <w:t>70% owned by</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Hengtong Co.,</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84"/>
              </w:rPr>
              <w:t>30,</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9"/>
              </w:rPr>
              <w:t>CLPS Shanghai and</w:t>
            </w: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Ltd (“CLPS</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89"/>
              </w:rPr>
              <w:t>2015</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30% owned by</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Beijing”)</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4"/>
              </w:rPr>
              <w:t>unrelated individual</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7"/>
              </w:rPr>
              <w:t>shareholders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CLPS</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Incorporated on August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Singapore</w:t>
            </w:r>
          </w:p>
        </w:tc>
        <w:tc>
          <w:tcPr>
            <w:tcW w:w="160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100%</w:t>
            </w: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TECHNOLOGY</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18, 2015</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(SINGAPORE)</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PTE.LTD</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(“CLPS SG”)</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rPr>
              <w:t>CLPS</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90"/>
              </w:rPr>
              <w:t>Incorporated on</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8"/>
                <w:szCs w:val="18"/>
                <w:color w:val="auto"/>
                <w:w w:val="94"/>
              </w:rPr>
              <w:t>Australia</w:t>
            </w:r>
          </w:p>
        </w:tc>
        <w:tc>
          <w:tcPr>
            <w:tcW w:w="160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w w:val="99"/>
              </w:rPr>
              <w:t>TECHNOLOGY</w:t>
            </w: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November 10, 2015</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(AUSTRALIA)</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PTY LTD</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(“CLPS AU”)</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7"/>
              </w:rPr>
              <w:t>CLPS Technology</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Incorporated on January</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3"/>
              </w:rPr>
              <w:t>Hong Kong,</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80% owned by</w:t>
            </w:r>
          </w:p>
        </w:tc>
        <w:tc>
          <w:tcPr>
            <w:tcW w:w="10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(Hong Kong)</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China</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CLPS Shanghai and</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 Limited</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2016</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 owned by</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(“CLPS Hong</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unrelated individual</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Kong”)</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shareholders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60" w:type="dxa"/>
            <w:vAlign w:val="bottom"/>
          </w:tcPr>
          <w:p>
            <w:pPr>
              <w:spacing w:after="0" w:line="185" w:lineRule="exact"/>
              <w:rPr>
                <w:sz w:val="20"/>
                <w:szCs w:val="20"/>
                <w:color w:val="auto"/>
              </w:rPr>
            </w:pPr>
            <w:r>
              <w:rPr>
                <w:rFonts w:ascii="Arial" w:cs="Arial" w:eastAsia="Arial" w:hAnsi="Arial"/>
                <w:sz w:val="17"/>
                <w:szCs w:val="17"/>
                <w:color w:val="auto"/>
                <w:w w:val="99"/>
              </w:rPr>
              <w:t>Judge (Shanghai)</w:t>
            </w:r>
          </w:p>
        </w:tc>
        <w:tc>
          <w:tcPr>
            <w:tcW w:w="80" w:type="dxa"/>
            <w:vAlign w:val="bottom"/>
          </w:tcPr>
          <w:p>
            <w:pPr>
              <w:spacing w:after="0"/>
              <w:rPr>
                <w:sz w:val="16"/>
                <w:szCs w:val="16"/>
                <w:color w:val="auto"/>
              </w:rPr>
            </w:pPr>
          </w:p>
        </w:tc>
        <w:tc>
          <w:tcPr>
            <w:tcW w:w="1680" w:type="dxa"/>
            <w:vAlign w:val="bottom"/>
          </w:tcPr>
          <w:p>
            <w:pPr>
              <w:jc w:val="center"/>
              <w:spacing w:after="0" w:line="185" w:lineRule="exact"/>
              <w:rPr>
                <w:sz w:val="20"/>
                <w:szCs w:val="20"/>
                <w:color w:val="auto"/>
              </w:rPr>
            </w:pPr>
            <w:r>
              <w:rPr>
                <w:rFonts w:ascii="Arial" w:cs="Arial" w:eastAsia="Arial" w:hAnsi="Arial"/>
                <w:sz w:val="17"/>
                <w:szCs w:val="17"/>
                <w:color w:val="auto"/>
                <w:w w:val="92"/>
              </w:rPr>
              <w:t>Acquired on November</w:t>
            </w:r>
          </w:p>
        </w:tc>
        <w:tc>
          <w:tcPr>
            <w:tcW w:w="12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Arial" w:cs="Arial" w:eastAsia="Arial" w:hAnsi="Arial"/>
                <w:sz w:val="17"/>
                <w:szCs w:val="17"/>
                <w:color w:val="auto"/>
                <w:w w:val="89"/>
              </w:rPr>
              <w:t>Shanghai, China</w:t>
            </w:r>
          </w:p>
        </w:tc>
        <w:tc>
          <w:tcPr>
            <w:tcW w:w="100" w:type="dxa"/>
            <w:vAlign w:val="bottom"/>
          </w:tcPr>
          <w:p>
            <w:pPr>
              <w:spacing w:after="0"/>
              <w:rPr>
                <w:sz w:val="16"/>
                <w:szCs w:val="16"/>
                <w:color w:val="auto"/>
              </w:rPr>
            </w:pPr>
          </w:p>
        </w:tc>
        <w:tc>
          <w:tcPr>
            <w:tcW w:w="1500" w:type="dxa"/>
            <w:vAlign w:val="bottom"/>
          </w:tcPr>
          <w:p>
            <w:pPr>
              <w:jc w:val="center"/>
              <w:spacing w:after="0" w:line="185" w:lineRule="exact"/>
              <w:rPr>
                <w:sz w:val="20"/>
                <w:szCs w:val="20"/>
                <w:color w:val="auto"/>
              </w:rPr>
            </w:pPr>
            <w:r>
              <w:rPr>
                <w:rFonts w:ascii="Arial" w:cs="Arial" w:eastAsia="Arial" w:hAnsi="Arial"/>
                <w:sz w:val="17"/>
                <w:szCs w:val="17"/>
                <w:color w:val="auto"/>
                <w:w w:val="91"/>
              </w:rPr>
              <w:t>60% owned by</w:t>
            </w:r>
          </w:p>
        </w:tc>
        <w:tc>
          <w:tcPr>
            <w:tcW w:w="104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w w:val="96"/>
              </w:rPr>
              <w:t>Co., Ltd (“Judge</w:t>
            </w:r>
          </w:p>
        </w:tc>
        <w:tc>
          <w:tcPr>
            <w:tcW w:w="1760" w:type="dxa"/>
            <w:vAlign w:val="bottom"/>
            <w:gridSpan w:val="2"/>
          </w:tcPr>
          <w:p>
            <w:pPr>
              <w:jc w:val="center"/>
              <w:spacing w:after="0"/>
              <w:rPr>
                <w:sz w:val="20"/>
                <w:szCs w:val="20"/>
                <w:color w:val="auto"/>
              </w:rPr>
            </w:pPr>
            <w:r>
              <w:rPr>
                <w:rFonts w:ascii="Arial" w:cs="Arial" w:eastAsia="Arial" w:hAnsi="Arial"/>
                <w:sz w:val="17"/>
                <w:szCs w:val="17"/>
                <w:color w:val="auto"/>
                <w:w w:val="91"/>
              </w:rPr>
              <w:t>9, 2016</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89"/>
              </w:rPr>
              <w:t>CLPS Shanghai and</w:t>
            </w: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ind w:left="160"/>
              <w:spacing w:after="0"/>
              <w:rPr>
                <w:sz w:val="20"/>
                <w:szCs w:val="20"/>
                <w:color w:val="auto"/>
              </w:rPr>
            </w:pPr>
            <w:r>
              <w:rPr>
                <w:rFonts w:ascii="Arial" w:cs="Arial" w:eastAsia="Arial" w:hAnsi="Arial"/>
                <w:sz w:val="17"/>
                <w:szCs w:val="17"/>
                <w:color w:val="auto"/>
              </w:rPr>
              <w:t>China”)</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40% owned by an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unrelated Company;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Judge (Shanghai)</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Acquired on November</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9"/>
              </w:rPr>
              <w:t>Shanghai, China</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70% owned by</w:t>
            </w: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9"/>
              </w:rPr>
              <w:t>Human Resource</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9, 2016</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Judge China and</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Co., Ltd (“Judge</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30% owned by an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HR”)</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unrelated company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9019"/>
          </w:cols>
          <w:pgMar w:left="1440" w:top="337" w:right="1440" w:bottom="1440" w:gutter="0" w:footer="0" w:header="0"/>
        </w:sect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DESCRIPTION OF BUSINESS </w:t>
      </w:r>
      <w:r>
        <w:rPr>
          <w:rFonts w:ascii="Arial" w:cs="Arial" w:eastAsia="Arial" w:hAnsi="Arial"/>
          <w:sz w:val="18"/>
          <w:szCs w:val="18"/>
          <w:color w:val="auto"/>
        </w:rPr>
        <w:t>(cont.)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w w:val="94"/>
              </w:rPr>
              <w:t>Date of</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6"/>
              </w:rPr>
              <w:t>Place of</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4"/>
              </w:rPr>
              <w:t>Principal</w:t>
            </w:r>
          </w:p>
        </w:tc>
        <w:tc>
          <w:tcPr>
            <w:tcW w:w="0" w:type="dxa"/>
            <w:vAlign w:val="bottom"/>
          </w:tcPr>
          <w:p>
            <w:pPr>
              <w:spacing w:after="0"/>
              <w:rPr>
                <w:sz w:val="1"/>
                <w:szCs w:val="1"/>
                <w:color w:val="auto"/>
              </w:rPr>
            </w:pPr>
          </w:p>
        </w:tc>
      </w:tr>
      <w:tr>
        <w:trPr>
          <w:trHeight w:val="193"/>
        </w:trPr>
        <w:tc>
          <w:tcPr>
            <w:tcW w:w="1340" w:type="dxa"/>
            <w:vAlign w:val="bottom"/>
            <w:gridSpan w:val="2"/>
          </w:tcPr>
          <w:p>
            <w:pPr>
              <w:spacing w:after="0"/>
              <w:rPr>
                <w:sz w:val="20"/>
                <w:szCs w:val="20"/>
                <w:color w:val="auto"/>
              </w:rPr>
            </w:pPr>
            <w:r>
              <w:rPr>
                <w:rFonts w:ascii="Arial" w:cs="Arial" w:eastAsia="Arial" w:hAnsi="Arial"/>
                <w:sz w:val="15"/>
                <w:szCs w:val="15"/>
                <w:b w:val="1"/>
                <w:bCs w:val="1"/>
                <w:color w:val="auto"/>
              </w:rPr>
              <w:t>Name of Entity</w:t>
            </w:r>
          </w:p>
        </w:tc>
        <w:tc>
          <w:tcPr>
            <w:tcW w:w="1780" w:type="dxa"/>
            <w:vAlign w:val="bottom"/>
            <w:gridSpan w:val="2"/>
          </w:tcPr>
          <w:p>
            <w:pPr>
              <w:jc w:val="center"/>
              <w:ind w:left="16"/>
              <w:spacing w:after="0"/>
              <w:rPr>
                <w:sz w:val="20"/>
                <w:szCs w:val="20"/>
                <w:color w:val="auto"/>
              </w:rPr>
            </w:pPr>
            <w:r>
              <w:rPr>
                <w:rFonts w:ascii="Arial" w:cs="Arial" w:eastAsia="Arial" w:hAnsi="Arial"/>
                <w:sz w:val="15"/>
                <w:szCs w:val="15"/>
                <w:b w:val="1"/>
                <w:bCs w:val="1"/>
                <w:color w:val="auto"/>
                <w:w w:val="93"/>
              </w:rPr>
              <w:t>Incorporation/acquisition</w:t>
            </w: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5"/>
              </w:rPr>
              <w:t>Incorporation</w:t>
            </w:r>
          </w:p>
        </w:tc>
        <w:tc>
          <w:tcPr>
            <w:tcW w:w="100" w:type="dxa"/>
            <w:vAlign w:val="bottom"/>
          </w:tcPr>
          <w:p>
            <w:pPr>
              <w:spacing w:after="0"/>
              <w:rPr>
                <w:sz w:val="16"/>
                <w:szCs w:val="16"/>
                <w:color w:val="auto"/>
              </w:rPr>
            </w:pPr>
          </w:p>
        </w:tc>
        <w:tc>
          <w:tcPr>
            <w:tcW w:w="2540" w:type="dxa"/>
            <w:vAlign w:val="bottom"/>
            <w:gridSpan w:val="2"/>
          </w:tcPr>
          <w:p>
            <w:pPr>
              <w:ind w:left="480"/>
              <w:spacing w:after="0"/>
              <w:rPr>
                <w:sz w:val="20"/>
                <w:szCs w:val="20"/>
                <w:color w:val="auto"/>
              </w:rPr>
            </w:pPr>
            <w:r>
              <w:rPr>
                <w:rFonts w:ascii="Arial" w:cs="Arial" w:eastAsia="Arial" w:hAnsi="Arial"/>
                <w:sz w:val="15"/>
                <w:szCs w:val="15"/>
                <w:b w:val="1"/>
                <w:bCs w:val="1"/>
                <w:color w:val="auto"/>
              </w:rPr>
              <w:t>% of Equity Ownership</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2"/>
              </w:rPr>
              <w:t>Activities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2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CLPS Shenzhen</w:t>
            </w:r>
          </w:p>
        </w:tc>
        <w:tc>
          <w:tcPr>
            <w:tcW w:w="1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7"/>
                <w:szCs w:val="17"/>
                <w:color w:val="auto"/>
                <w:w w:val="93"/>
              </w:rPr>
              <w:t>Incorporated on April 7,</w:t>
            </w: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7"/>
                <w:szCs w:val="17"/>
                <w:color w:val="auto"/>
                <w:w w:val="88"/>
              </w:rPr>
              <w:t>Shenzhen, China</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7"/>
                <w:szCs w:val="17"/>
                <w:color w:val="auto"/>
                <w:w w:val="93"/>
              </w:rPr>
              <w:t>70% owned by</w:t>
            </w:r>
          </w:p>
        </w:tc>
        <w:tc>
          <w:tcPr>
            <w:tcW w:w="106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7"/>
                <w:szCs w:val="17"/>
                <w:color w:val="auto"/>
                <w:w w:val="90"/>
              </w:rPr>
              <w:t>Consolidated</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line="16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Co., Ltd (“CLPS</w:t>
            </w:r>
          </w:p>
        </w:tc>
        <w:tc>
          <w:tcPr>
            <w:tcW w:w="178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CLPS Shanghai and</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Shenzhen”)</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 owned by</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CLPS Hong Kong</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tcPr>
          <w:p>
            <w:pPr>
              <w:spacing w:after="0" w:line="185" w:lineRule="exact"/>
              <w:rPr>
                <w:sz w:val="20"/>
                <w:szCs w:val="20"/>
                <w:color w:val="auto"/>
              </w:rPr>
            </w:pPr>
            <w:r>
              <w:rPr>
                <w:rFonts w:ascii="Arial" w:cs="Arial" w:eastAsia="Arial" w:hAnsi="Arial"/>
                <w:sz w:val="17"/>
                <w:szCs w:val="17"/>
                <w:color w:val="auto"/>
                <w:w w:val="94"/>
              </w:rPr>
              <w:t>CLPS Guangzhou</w:t>
            </w:r>
          </w:p>
        </w:tc>
        <w:tc>
          <w:tcPr>
            <w:tcW w:w="120" w:type="dxa"/>
            <w:vAlign w:val="bottom"/>
          </w:tcPr>
          <w:p>
            <w:pPr>
              <w:spacing w:after="0"/>
              <w:rPr>
                <w:sz w:val="16"/>
                <w:szCs w:val="16"/>
                <w:color w:val="auto"/>
              </w:rPr>
            </w:pPr>
          </w:p>
        </w:tc>
        <w:tc>
          <w:tcPr>
            <w:tcW w:w="1660" w:type="dxa"/>
            <w:vAlign w:val="bottom"/>
          </w:tcPr>
          <w:p>
            <w:pPr>
              <w:jc w:val="center"/>
              <w:spacing w:after="0" w:line="185" w:lineRule="exact"/>
              <w:rPr>
                <w:sz w:val="20"/>
                <w:szCs w:val="20"/>
                <w:color w:val="auto"/>
              </w:rPr>
            </w:pPr>
            <w:r>
              <w:rPr>
                <w:rFonts w:ascii="Arial" w:cs="Arial" w:eastAsia="Arial" w:hAnsi="Arial"/>
                <w:sz w:val="17"/>
                <w:szCs w:val="17"/>
                <w:color w:val="auto"/>
                <w:w w:val="90"/>
              </w:rPr>
              <w:t>Incorporated on</w:t>
            </w:r>
          </w:p>
        </w:tc>
        <w:tc>
          <w:tcPr>
            <w:tcW w:w="12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88"/>
              </w:rPr>
              <w:t>Guangzhou,</w:t>
            </w:r>
          </w:p>
        </w:tc>
        <w:tc>
          <w:tcPr>
            <w:tcW w:w="158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6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auto"/>
                <w:w w:val="98"/>
              </w:rPr>
              <w:t>Co., Ltd(“CLPS</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September 27, 2017</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China</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auto"/>
              </w:rPr>
              <w:t>Guangzhou”)*</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Tianjin Huanyu</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Incorporated on</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4"/>
              </w:rPr>
              <w:t>Tianjin, China</w:t>
            </w:r>
          </w:p>
        </w:tc>
        <w:tc>
          <w:tcPr>
            <w:tcW w:w="1580" w:type="dxa"/>
            <w:vAlign w:val="bottom"/>
            <w:gridSpan w:val="2"/>
            <w:shd w:val="clear" w:color="auto" w:fill="CCEEFF"/>
          </w:tcPr>
          <w:p>
            <w:pPr>
              <w:jc w:val="center"/>
              <w:spacing w:after="0" w:line="185" w:lineRule="exact"/>
              <w:rPr>
                <w:sz w:val="20"/>
                <w:szCs w:val="20"/>
                <w:color w:val="auto"/>
              </w:rPr>
            </w:pPr>
            <w:r>
              <w:rPr>
                <w:rFonts w:ascii="Arial" w:cs="Arial" w:eastAsia="Arial" w:hAnsi="Arial"/>
                <w:sz w:val="18"/>
                <w:szCs w:val="18"/>
                <w:color w:val="auto"/>
                <w:w w:val="88"/>
              </w:rPr>
              <w:t>30%</w:t>
            </w:r>
          </w:p>
        </w:tc>
        <w:tc>
          <w:tcPr>
            <w:tcW w:w="106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7"/>
              </w:rPr>
              <w:t>Equity</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6"/>
              </w:rPr>
              <w:t>Network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Qinshang</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September 27, 2017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investment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technology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Network</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Technology Co.,</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Ltd (“Huan</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Yu”)*</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tcPr>
          <w:p>
            <w:pPr>
              <w:spacing w:after="0" w:line="185" w:lineRule="exact"/>
              <w:rPr>
                <w:sz w:val="20"/>
                <w:szCs w:val="20"/>
                <w:color w:val="auto"/>
              </w:rPr>
            </w:pPr>
            <w:r>
              <w:rPr>
                <w:rFonts w:ascii="Arial" w:cs="Arial" w:eastAsia="Arial" w:hAnsi="Arial"/>
                <w:sz w:val="17"/>
                <w:szCs w:val="17"/>
                <w:color w:val="auto"/>
              </w:rPr>
              <w:t>CLIVST Ltd.</w:t>
            </w:r>
          </w:p>
        </w:tc>
        <w:tc>
          <w:tcPr>
            <w:tcW w:w="1780" w:type="dxa"/>
            <w:vAlign w:val="bottom"/>
            <w:gridSpan w:val="2"/>
          </w:tcPr>
          <w:p>
            <w:pPr>
              <w:jc w:val="center"/>
              <w:ind w:left="16"/>
              <w:spacing w:after="0" w:line="185" w:lineRule="exact"/>
              <w:rPr>
                <w:sz w:val="20"/>
                <w:szCs w:val="20"/>
                <w:color w:val="auto"/>
              </w:rPr>
            </w:pPr>
            <w:r>
              <w:rPr>
                <w:rFonts w:ascii="Arial" w:cs="Arial" w:eastAsia="Arial" w:hAnsi="Arial"/>
                <w:sz w:val="17"/>
                <w:szCs w:val="17"/>
                <w:color w:val="auto"/>
                <w:w w:val="92"/>
              </w:rPr>
              <w:t>Incorporated on July 25,</w:t>
            </w:r>
          </w:p>
        </w:tc>
        <w:tc>
          <w:tcPr>
            <w:tcW w:w="12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98"/>
              </w:rPr>
              <w:t>British Virgin</w:t>
            </w:r>
          </w:p>
        </w:tc>
        <w:tc>
          <w:tcPr>
            <w:tcW w:w="1580" w:type="dxa"/>
            <w:vAlign w:val="bottom"/>
            <w:gridSpan w:val="2"/>
          </w:tcPr>
          <w:p>
            <w:pPr>
              <w:jc w:val="center"/>
              <w:spacing w:after="0" w:line="185" w:lineRule="exact"/>
              <w:rPr>
                <w:sz w:val="20"/>
                <w:szCs w:val="20"/>
                <w:color w:val="auto"/>
              </w:rPr>
            </w:pPr>
            <w:r>
              <w:rPr>
                <w:rFonts w:ascii="Arial" w:cs="Arial" w:eastAsia="Arial" w:hAnsi="Arial"/>
                <w:sz w:val="18"/>
                <w:szCs w:val="18"/>
                <w:color w:val="auto"/>
                <w:w w:val="91"/>
              </w:rPr>
              <w:t>100%</w:t>
            </w:r>
          </w:p>
        </w:tc>
        <w:tc>
          <w:tcPr>
            <w:tcW w:w="106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7"/>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auto"/>
              </w:rPr>
              <w:t>(“CLIVST”)*</w:t>
            </w:r>
          </w:p>
        </w:tc>
        <w:tc>
          <w:tcPr>
            <w:tcW w:w="1780" w:type="dxa"/>
            <w:vAlign w:val="bottom"/>
            <w:gridSpan w:val="2"/>
          </w:tcPr>
          <w:p>
            <w:pPr>
              <w:jc w:val="center"/>
              <w:ind w:left="36"/>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2"/>
              </w:rPr>
              <w:t>Islands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7"/>
              </w:rPr>
              <w:t>FDT-CL Financial</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Incorporated on</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5"/>
              </w:rPr>
              <w:t>Hong Kong,</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3"/>
              </w:rPr>
              <w:t>52% owned by</w:t>
            </w:r>
          </w:p>
        </w:tc>
        <w:tc>
          <w:tcPr>
            <w:tcW w:w="106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Technology</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October 24, 2017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China</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CLIVST, 48%</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Services</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owned by an</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Limited (“FDT-</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unrelated individual</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CL”)*</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tcPr>
          <w:p>
            <w:pPr>
              <w:spacing w:after="0" w:line="185" w:lineRule="exact"/>
              <w:rPr>
                <w:sz w:val="20"/>
                <w:szCs w:val="20"/>
                <w:color w:val="auto"/>
              </w:rPr>
            </w:pPr>
            <w:r>
              <w:rPr>
                <w:rFonts w:ascii="Arial" w:cs="Arial" w:eastAsia="Arial" w:hAnsi="Arial"/>
                <w:sz w:val="17"/>
                <w:szCs w:val="17"/>
                <w:color w:val="auto"/>
              </w:rPr>
              <w:t>JQ Technology</w:t>
            </w:r>
          </w:p>
        </w:tc>
        <w:tc>
          <w:tcPr>
            <w:tcW w:w="120" w:type="dxa"/>
            <w:vAlign w:val="bottom"/>
          </w:tcPr>
          <w:p>
            <w:pPr>
              <w:spacing w:after="0"/>
              <w:rPr>
                <w:sz w:val="16"/>
                <w:szCs w:val="16"/>
                <w:color w:val="auto"/>
              </w:rPr>
            </w:pPr>
          </w:p>
        </w:tc>
        <w:tc>
          <w:tcPr>
            <w:tcW w:w="1660" w:type="dxa"/>
            <w:vAlign w:val="bottom"/>
          </w:tcPr>
          <w:p>
            <w:pPr>
              <w:jc w:val="center"/>
              <w:spacing w:after="0" w:line="185" w:lineRule="exact"/>
              <w:rPr>
                <w:sz w:val="20"/>
                <w:szCs w:val="20"/>
                <w:color w:val="auto"/>
              </w:rPr>
            </w:pPr>
            <w:r>
              <w:rPr>
                <w:rFonts w:ascii="Arial" w:cs="Arial" w:eastAsia="Arial" w:hAnsi="Arial"/>
                <w:sz w:val="17"/>
                <w:szCs w:val="17"/>
                <w:color w:val="auto"/>
                <w:w w:val="92"/>
              </w:rPr>
              <w:t>Acquired on October</w:t>
            </w:r>
          </w:p>
        </w:tc>
        <w:tc>
          <w:tcPr>
            <w:tcW w:w="12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Arial" w:cs="Arial" w:eastAsia="Arial" w:hAnsi="Arial"/>
                <w:sz w:val="17"/>
                <w:szCs w:val="17"/>
                <w:color w:val="auto"/>
                <w:w w:val="95"/>
              </w:rPr>
              <w:t>Hong Kong,</w:t>
            </w:r>
          </w:p>
        </w:tc>
        <w:tc>
          <w:tcPr>
            <w:tcW w:w="100" w:type="dxa"/>
            <w:vAlign w:val="bottom"/>
          </w:tcPr>
          <w:p>
            <w:pPr>
              <w:spacing w:after="0"/>
              <w:rPr>
                <w:sz w:val="16"/>
                <w:szCs w:val="16"/>
                <w:color w:val="auto"/>
              </w:rPr>
            </w:pPr>
          </w:p>
        </w:tc>
        <w:tc>
          <w:tcPr>
            <w:tcW w:w="1480" w:type="dxa"/>
            <w:vAlign w:val="bottom"/>
          </w:tcPr>
          <w:p>
            <w:pPr>
              <w:jc w:val="center"/>
              <w:spacing w:after="0" w:line="185" w:lineRule="exact"/>
              <w:rPr>
                <w:sz w:val="20"/>
                <w:szCs w:val="20"/>
                <w:color w:val="auto"/>
              </w:rPr>
            </w:pPr>
            <w:r>
              <w:rPr>
                <w:rFonts w:ascii="Arial" w:cs="Arial" w:eastAsia="Arial" w:hAnsi="Arial"/>
                <w:sz w:val="17"/>
                <w:szCs w:val="17"/>
                <w:color w:val="auto"/>
                <w:w w:val="93"/>
              </w:rPr>
              <w:t>55% owned by</w:t>
            </w:r>
          </w:p>
        </w:tc>
        <w:tc>
          <w:tcPr>
            <w:tcW w:w="1060" w:type="dxa"/>
            <w:vAlign w:val="bottom"/>
          </w:tcPr>
          <w:p>
            <w:pPr>
              <w:jc w:val="center"/>
              <w:spacing w:after="0" w:line="185" w:lineRule="exact"/>
              <w:rPr>
                <w:sz w:val="20"/>
                <w:szCs w:val="20"/>
                <w:color w:val="auto"/>
              </w:rPr>
            </w:pPr>
            <w:r>
              <w:rPr>
                <w:rFonts w:ascii="Arial" w:cs="Arial" w:eastAsia="Arial" w:hAnsi="Arial"/>
                <w:sz w:val="17"/>
                <w:szCs w:val="17"/>
                <w:color w:val="auto"/>
                <w:w w:val="90"/>
              </w:rPr>
              <w:t>Consolidated</w:t>
            </w:r>
          </w:p>
        </w:tc>
        <w:tc>
          <w:tcPr>
            <w:tcW w:w="12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auto"/>
              </w:rPr>
              <w:t>Co.,</w:t>
            </w:r>
          </w:p>
        </w:tc>
        <w:tc>
          <w:tcPr>
            <w:tcW w:w="1780" w:type="dxa"/>
            <w:vAlign w:val="bottom"/>
            <w:gridSpan w:val="2"/>
          </w:tcPr>
          <w:p>
            <w:pPr>
              <w:jc w:val="center"/>
              <w:ind w:left="16"/>
              <w:spacing w:after="0"/>
              <w:rPr>
                <w:sz w:val="20"/>
                <w:szCs w:val="20"/>
                <w:color w:val="auto"/>
              </w:rPr>
            </w:pPr>
            <w:r>
              <w:rPr>
                <w:rFonts w:ascii="Arial" w:cs="Arial" w:eastAsia="Arial" w:hAnsi="Arial"/>
                <w:sz w:val="17"/>
                <w:szCs w:val="17"/>
                <w:color w:val="auto"/>
                <w:w w:val="90"/>
              </w:rPr>
              <w:t>17, 2017</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China</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Qiner, 45% owned</w:t>
            </w: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7"/>
                <w:szCs w:val="17"/>
                <w:color w:val="auto"/>
              </w:rPr>
              <w:t>Limited(“JQ”)*</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8"/>
              </w:rPr>
              <w:t>by an unrelated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individuals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JIALIN</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Acquired on October</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Taiwan</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100% owned by JQ</w:t>
            </w: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Consolidated</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2"/>
              </w:rPr>
              <w:t>Software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Technology</w:t>
            </w:r>
          </w:p>
        </w:tc>
        <w:tc>
          <w:tcPr>
            <w:tcW w:w="178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90"/>
              </w:rPr>
              <w:t>17, 2017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subsidiary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Limited (“JL”)*</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____________</w:t>
      </w:r>
    </w:p>
    <w:p>
      <w:pPr>
        <w:spacing w:after="0" w:line="13" w:lineRule="exact"/>
        <w:rPr>
          <w:sz w:val="20"/>
          <w:szCs w:val="20"/>
          <w:color w:val="auto"/>
        </w:rPr>
      </w:pPr>
    </w:p>
    <w:p>
      <w:pPr>
        <w:ind w:left="900" w:right="699" w:hanging="438"/>
        <w:spacing w:after="0" w:line="288" w:lineRule="auto"/>
        <w:tabs>
          <w:tab w:leader="none" w:pos="8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Entities incorporated or acquired subsequent to June 30, 2017 are included in the Company’s unaudited condensed consolidated financial statement for the six months ended December 31, 2017.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62" w:lineRule="exact"/>
        <w:rPr>
          <w:sz w:val="20"/>
          <w:szCs w:val="20"/>
          <w:color w:val="auto"/>
        </w:rPr>
      </w:pPr>
    </w:p>
    <w:p>
      <w:pPr>
        <w:ind w:left="460" w:right="639" w:firstLine="432"/>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14"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accompanying consolidated financial statements include the financial statements of CLPS, Qinheng, Qiner, CLPS QC, CLPS Shanghai, CLPS Beijing, CLPS RC, CLPS Dalian, CLPS AU, CLPS SG, CLPS Hong Kong, CLPS Shenzhen, Judge China, Judge HR, CLIVST, CLPS Guangzhou, FDT-CL, JQ and JL. All inter-company balances and transactions have been eliminated upon consolidation.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 and Assumptions</w:t>
      </w:r>
    </w:p>
    <w:p>
      <w:pPr>
        <w:spacing w:after="0" w:line="14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19" w:firstLine="432"/>
        <w:spacing w:after="0" w:line="297" w:lineRule="auto"/>
        <w:rPr>
          <w:sz w:val="20"/>
          <w:szCs w:val="20"/>
          <w:color w:val="auto"/>
        </w:rPr>
      </w:pPr>
      <w:r>
        <w:rPr>
          <w:rFonts w:ascii="Arial" w:cs="Arial" w:eastAsia="Arial" w:hAnsi="Arial"/>
          <w:sz w:val="16"/>
          <w:szCs w:val="16"/>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77" w:lineRule="exact"/>
        <w:rPr>
          <w:sz w:val="20"/>
          <w:szCs w:val="20"/>
          <w:color w:val="auto"/>
        </w:rPr>
      </w:pPr>
    </w:p>
    <w:p>
      <w:pPr>
        <w:ind w:left="1320" w:right="499" w:hanging="425"/>
        <w:spacing w:after="0" w:line="277" w:lineRule="auto"/>
        <w:tabs>
          <w:tab w:leader="none" w:pos="13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102" w:lineRule="exact"/>
        <w:rPr>
          <w:rFonts w:ascii="Arial" w:cs="Arial" w:eastAsia="Arial" w:hAnsi="Arial"/>
          <w:sz w:val="18"/>
          <w:szCs w:val="18"/>
          <w:color w:val="auto"/>
        </w:rPr>
      </w:pPr>
    </w:p>
    <w:p>
      <w:pPr>
        <w:ind w:left="1320" w:right="639" w:hanging="425"/>
        <w:spacing w:after="0" w:line="259" w:lineRule="auto"/>
        <w:tabs>
          <w:tab w:leader="none" w:pos="13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9" w:lineRule="exact"/>
        <w:rPr>
          <w:rFonts w:ascii="Arial" w:cs="Arial" w:eastAsia="Arial" w:hAnsi="Arial"/>
          <w:sz w:val="18"/>
          <w:szCs w:val="18"/>
          <w:color w:val="auto"/>
        </w:rPr>
      </w:pPr>
    </w:p>
    <w:p>
      <w:pPr>
        <w:ind w:left="1300" w:hanging="405"/>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14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Prepayments, deposit and other assets</w:t>
      </w:r>
    </w:p>
    <w:p>
      <w:pPr>
        <w:spacing w:after="0" w:line="148" w:lineRule="exact"/>
        <w:rPr>
          <w:sz w:val="20"/>
          <w:szCs w:val="20"/>
          <w:color w:val="auto"/>
        </w:rPr>
      </w:pPr>
    </w:p>
    <w:p>
      <w:pPr>
        <w:jc w:val="both"/>
        <w:ind w:left="460" w:right="559" w:firstLine="432"/>
        <w:spacing w:after="0" w:line="259"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contract costs</w:t>
      </w:r>
    </w:p>
    <w:p>
      <w:pPr>
        <w:spacing w:after="0" w:line="162" w:lineRule="exact"/>
        <w:rPr>
          <w:sz w:val="20"/>
          <w:szCs w:val="20"/>
          <w:color w:val="auto"/>
        </w:rPr>
      </w:pPr>
    </w:p>
    <w:p>
      <w:pPr>
        <w:jc w:val="both"/>
        <w:ind w:left="460" w:right="499" w:firstLine="432"/>
        <w:spacing w:after="0" w:line="312" w:lineRule="auto"/>
        <w:rPr>
          <w:sz w:val="20"/>
          <w:szCs w:val="20"/>
          <w:color w:val="auto"/>
        </w:rPr>
      </w:pPr>
      <w:r>
        <w:rPr>
          <w:rFonts w:ascii="Arial" w:cs="Arial" w:eastAsia="Arial" w:hAnsi="Arial"/>
          <w:sz w:val="16"/>
          <w:szCs w:val="16"/>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 term investment</w:t>
      </w:r>
    </w:p>
    <w:p>
      <w:pPr>
        <w:spacing w:after="0" w:line="162"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w:t>
      </w:r>
    </w:p>
    <w:p>
      <w:pPr>
        <w:spacing w:after="0" w:line="148" w:lineRule="exact"/>
        <w:rPr>
          <w:sz w:val="20"/>
          <w:szCs w:val="20"/>
          <w:color w:val="auto"/>
        </w:rPr>
      </w:pPr>
    </w:p>
    <w:p>
      <w:pPr>
        <w:ind w:left="460" w:right="579" w:firstLine="432"/>
        <w:spacing w:after="0" w:line="276" w:lineRule="auto"/>
        <w:rPr>
          <w:sz w:val="20"/>
          <w:szCs w:val="20"/>
          <w:color w:val="auto"/>
        </w:rPr>
      </w:pPr>
      <w:r>
        <w:rPr>
          <w:rFonts w:ascii="Arial" w:cs="Arial" w:eastAsia="Arial" w:hAnsi="Arial"/>
          <w:sz w:val="17"/>
          <w:szCs w:val="17"/>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479" w:firstLine="432"/>
        <w:spacing w:after="0" w:line="302"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 net</w:t>
      </w:r>
    </w:p>
    <w:p>
      <w:pPr>
        <w:spacing w:after="0" w:line="162" w:lineRule="exact"/>
        <w:rPr>
          <w:sz w:val="20"/>
          <w:szCs w:val="20"/>
          <w:color w:val="auto"/>
        </w:rPr>
      </w:pPr>
    </w:p>
    <w:p>
      <w:pPr>
        <w:ind w:left="460" w:right="919" w:firstLine="432"/>
        <w:spacing w:after="0" w:line="264"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Useful life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32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88"/>
              </w:rPr>
              <w:t>the shorter of lease terms or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estimated useful lives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Machinery equipment</w:t>
            </w:r>
          </w:p>
        </w:tc>
        <w:tc>
          <w:tcPr>
            <w:tcW w:w="3280" w:type="dxa"/>
            <w:vAlign w:val="bottom"/>
          </w:tcPr>
          <w:p>
            <w:pPr>
              <w:jc w:val="center"/>
              <w:spacing w:after="0"/>
              <w:rPr>
                <w:sz w:val="20"/>
                <w:szCs w:val="20"/>
                <w:color w:val="auto"/>
              </w:rPr>
            </w:pPr>
            <w:r>
              <w:rPr>
                <w:rFonts w:ascii="Arial" w:cs="Arial" w:eastAsia="Arial" w:hAnsi="Arial"/>
                <w:sz w:val="18"/>
                <w:szCs w:val="18"/>
                <w:color w:val="auto"/>
                <w:w w:val="87"/>
              </w:rPr>
              <w:t>5–10 years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3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479" w:firstLine="432"/>
        <w:spacing w:after="0" w:line="302"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62" w:lineRule="exact"/>
        <w:rPr>
          <w:sz w:val="20"/>
          <w:szCs w:val="20"/>
          <w:color w:val="auto"/>
        </w:rPr>
      </w:pPr>
    </w:p>
    <w:p>
      <w:pPr>
        <w:jc w:val="both"/>
        <w:ind w:left="460" w:right="559" w:firstLine="432"/>
        <w:spacing w:after="0" w:line="264" w:lineRule="auto"/>
        <w:rPr>
          <w:sz w:val="20"/>
          <w:szCs w:val="20"/>
          <w:color w:val="auto"/>
        </w:rPr>
      </w:pPr>
      <w:r>
        <w:rPr>
          <w:rFonts w:ascii="Arial" w:cs="Arial" w:eastAsia="Arial" w:hAnsi="Arial"/>
          <w:sz w:val="18"/>
          <w:szCs w:val="18"/>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162"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Goodwill was allocated to the one reporting unit as of June 30, 2017 and December 31, 2017.</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goodwill</w:t>
      </w:r>
    </w:p>
    <w:p>
      <w:pPr>
        <w:spacing w:after="0" w:line="148"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Company provides a comprehensive range of IT services and solutions, which primarily are on a time-and-expense basis, or fixed-price basis.</w:t>
      </w:r>
    </w:p>
    <w:p>
      <w:pPr>
        <w:spacing w:after="0" w:line="103" w:lineRule="exact"/>
        <w:rPr>
          <w:sz w:val="20"/>
          <w:szCs w:val="20"/>
          <w:color w:val="auto"/>
        </w:rPr>
      </w:pPr>
    </w:p>
    <w:p>
      <w:pPr>
        <w:ind w:left="460" w:right="599" w:firstLine="432"/>
        <w:spacing w:after="0" w:line="264"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Time-and-expense basis contracts</w:t>
      </w:r>
    </w:p>
    <w:p>
      <w:pPr>
        <w:spacing w:after="0" w:line="144" w:lineRule="exact"/>
        <w:rPr>
          <w:sz w:val="20"/>
          <w:szCs w:val="20"/>
          <w:color w:val="auto"/>
        </w:rPr>
      </w:pPr>
    </w:p>
    <w:p>
      <w:pPr>
        <w:jc w:val="both"/>
        <w:ind w:left="460" w:right="859" w:firstLine="432"/>
        <w:spacing w:after="0" w:line="276" w:lineRule="auto"/>
        <w:rPr>
          <w:sz w:val="20"/>
          <w:szCs w:val="20"/>
          <w:color w:val="auto"/>
        </w:rPr>
      </w:pPr>
      <w:r>
        <w:rPr>
          <w:rFonts w:ascii="Arial" w:cs="Arial" w:eastAsia="Arial" w:hAnsi="Arial"/>
          <w:sz w:val="17"/>
          <w:szCs w:val="17"/>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Fixed-price basis contracts</w:t>
      </w:r>
    </w:p>
    <w:p>
      <w:pPr>
        <w:spacing w:after="0" w:line="158" w:lineRule="exact"/>
        <w:rPr>
          <w:sz w:val="20"/>
          <w:szCs w:val="20"/>
          <w:color w:val="auto"/>
        </w:rPr>
      </w:pPr>
    </w:p>
    <w:p>
      <w:pPr>
        <w:ind w:left="460" w:right="459" w:firstLine="432"/>
        <w:spacing w:after="0" w:line="255" w:lineRule="auto"/>
        <w:rPr>
          <w:sz w:val="20"/>
          <w:szCs w:val="20"/>
          <w:color w:val="auto"/>
        </w:rPr>
      </w:pPr>
      <w:r>
        <w:rPr>
          <w:rFonts w:ascii="Arial" w:cs="Arial" w:eastAsia="Arial" w:hAnsi="Arial"/>
          <w:sz w:val="18"/>
          <w:szCs w:val="18"/>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color w:val="auto"/>
        </w:rPr>
        <w:t>customized application is delivered. The type of service for PCS clause is generally not specified in the contract or stand-ready service on when-and-if-available basis.</w:t>
      </w:r>
    </w:p>
    <w:p>
      <w:pPr>
        <w:spacing w:after="0" w:line="89"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103" w:lineRule="exact"/>
        <w:rPr>
          <w:sz w:val="20"/>
          <w:szCs w:val="20"/>
          <w:color w:val="auto"/>
        </w:rPr>
      </w:pPr>
    </w:p>
    <w:p>
      <w:pPr>
        <w:ind w:left="1300" w:hanging="405"/>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157" w:lineRule="exact"/>
        <w:rPr>
          <w:rFonts w:ascii="Arial" w:cs="Arial" w:eastAsia="Arial" w:hAnsi="Arial"/>
          <w:sz w:val="18"/>
          <w:szCs w:val="18"/>
          <w:color w:val="auto"/>
        </w:rPr>
      </w:pPr>
    </w:p>
    <w:p>
      <w:pPr>
        <w:ind w:left="1300" w:hanging="405"/>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PCS</w:t>
      </w:r>
    </w:p>
    <w:p>
      <w:pPr>
        <w:spacing w:after="0" w:line="144" w:lineRule="exact"/>
        <w:rPr>
          <w:rFonts w:ascii="Arial" w:cs="Arial" w:eastAsia="Arial" w:hAnsi="Arial"/>
          <w:sz w:val="18"/>
          <w:szCs w:val="18"/>
          <w:color w:val="auto"/>
        </w:rPr>
      </w:pPr>
    </w:p>
    <w:p>
      <w:pPr>
        <w:ind w:left="1300" w:hanging="405"/>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10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92" w:lineRule="exact"/>
        <w:rPr>
          <w:sz w:val="20"/>
          <w:szCs w:val="20"/>
          <w:color w:val="auto"/>
        </w:rPr>
      </w:pPr>
    </w:p>
    <w:p>
      <w:pPr>
        <w:ind w:left="460" w:right="539" w:firstLine="432"/>
        <w:spacing w:after="0" w:line="276" w:lineRule="auto"/>
        <w:rPr>
          <w:sz w:val="20"/>
          <w:szCs w:val="20"/>
          <w:color w:val="auto"/>
        </w:rPr>
      </w:pPr>
      <w:r>
        <w:rPr>
          <w:rFonts w:ascii="Arial" w:cs="Arial" w:eastAsia="Arial" w:hAnsi="Arial"/>
          <w:sz w:val="17"/>
          <w:szCs w:val="17"/>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jc w:val="both"/>
        <w:ind w:left="460" w:right="519" w:firstLine="432"/>
        <w:spacing w:after="0" w:line="264"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00"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Differences between the timing of billings and the recognition of revenue based on various methods of accounting are recorded as deferred revenue.</w:t>
      </w:r>
    </w:p>
    <w:p>
      <w:pPr>
        <w:spacing w:after="0" w:line="103"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460" w:right="499" w:firstLine="432"/>
        <w:spacing w:after="0" w:line="297" w:lineRule="auto"/>
        <w:rPr>
          <w:sz w:val="20"/>
          <w:szCs w:val="20"/>
          <w:color w:val="auto"/>
        </w:rPr>
      </w:pPr>
      <w:r>
        <w:rPr>
          <w:rFonts w:ascii="Arial" w:cs="Arial" w:eastAsia="Arial" w:hAnsi="Arial"/>
          <w:sz w:val="16"/>
          <w:szCs w:val="16"/>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subsidies</w:t>
      </w:r>
    </w:p>
    <w:p>
      <w:pPr>
        <w:spacing w:after="0" w:line="14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expenditures</w:t>
      </w:r>
    </w:p>
    <w:p>
      <w:pPr>
        <w:spacing w:after="0" w:line="162" w:lineRule="exact"/>
        <w:rPr>
          <w:sz w:val="20"/>
          <w:szCs w:val="20"/>
          <w:color w:val="auto"/>
        </w:rPr>
      </w:pPr>
    </w:p>
    <w:p>
      <w:pPr>
        <w:ind w:left="460" w:right="979" w:firstLine="432"/>
        <w:spacing w:after="0" w:line="342" w:lineRule="auto"/>
        <w:rPr>
          <w:sz w:val="20"/>
          <w:szCs w:val="20"/>
          <w:color w:val="auto"/>
        </w:rPr>
      </w:pPr>
      <w:r>
        <w:rPr>
          <w:rFonts w:ascii="Arial" w:cs="Arial" w:eastAsia="Arial" w:hAnsi="Arial"/>
          <w:sz w:val="16"/>
          <w:szCs w:val="16"/>
          <w:color w:val="auto"/>
        </w:rPr>
        <w:t>Advertising expenditures are expensed as incurred and such expenses were minimal for the periods presented. Advertising expenditures have been included as part of selling and marketing expenses.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leases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defined contribution plan</w:t>
      </w:r>
    </w:p>
    <w:p>
      <w:pPr>
        <w:spacing w:after="0" w:line="14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719" w:firstLine="432"/>
        <w:spacing w:after="0" w:line="264" w:lineRule="auto"/>
        <w:rPr>
          <w:sz w:val="20"/>
          <w:szCs w:val="20"/>
          <w:color w:val="auto"/>
        </w:rPr>
      </w:pPr>
      <w:r>
        <w:rPr>
          <w:rFonts w:ascii="Arial" w:cs="Arial" w:eastAsia="Arial" w:hAnsi="Arial"/>
          <w:sz w:val="18"/>
          <w:szCs w:val="18"/>
          <w:color w:val="auto"/>
        </w:rPr>
        <w:t>The Company accounts for current income taxes in accordance with the laws of the relevant tax authorities. Deferred income taxes are recognized when temporary differences exist between the tax bases of assets and</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539"/>
        <w:spacing w:after="0" w:line="297" w:lineRule="auto"/>
        <w:rPr>
          <w:sz w:val="20"/>
          <w:szCs w:val="20"/>
          <w:color w:val="auto"/>
        </w:rPr>
      </w:pPr>
      <w:r>
        <w:rPr>
          <w:rFonts w:ascii="Arial" w:cs="Arial" w:eastAsia="Arial" w:hAnsi="Arial"/>
          <w:sz w:val="16"/>
          <w:szCs w:val="16"/>
          <w:color w:val="auto"/>
        </w:rPr>
        <w:t>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7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Company’s subsidiaries in China remain subject to examination by the tax authorities for five years from the date of filing.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Value added tax (“VAT”)</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income (loss)</w:t>
      </w:r>
    </w:p>
    <w:p>
      <w:pPr>
        <w:spacing w:after="0" w:line="162"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(loss) consists of a foreign currency translation adjustment resulting from the Company not using the U.S. dollar as its functional currencies.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Foreign currency risk</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2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7.2% in fiscal year 2016 and further depreciated by 2.0% in fiscal 2017. The RMB appreciated by 4.0% for the six months ended December 31, 2017 and depreciated by 4.5% for the six months ended December 31, 2016.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25"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Concentration of credit risk</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of June 30, 2017 and 2016, $4,199,905 and $4,890,214 of the Company’s cash and cash equivalents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was on deposit at financial institutions in the PRC where there currently is no rule or regulation requiring such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institutions to maintain insurance to cover bank deposits in the event of bank failure. As of June 30,</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2017, the Company had $130,614, $130,413 and $353,636 of cash and cash equivalents on deposit at financial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institutions in Singapore, Australia and Hong Kong, respectively. As of June 30, 2016, the Company had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$224,292, $136,914 and $25,776 of cash and cash equivalents on deposit at financial institutions in Singapore,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Australia and Hong Kong, respectively.</w:t>
      </w:r>
    </w:p>
    <w:p>
      <w:pPr>
        <w:spacing w:after="0" w:line="143" w:lineRule="exact"/>
        <w:rPr>
          <w:sz w:val="20"/>
          <w:szCs w:val="20"/>
          <w:color w:val="auto"/>
        </w:rPr>
      </w:pPr>
    </w:p>
    <w:p>
      <w:pPr>
        <w:ind w:left="460" w:right="459" w:firstLine="432"/>
        <w:spacing w:after="0" w:line="276" w:lineRule="auto"/>
        <w:rPr>
          <w:sz w:val="20"/>
          <w:szCs w:val="20"/>
          <w:color w:val="auto"/>
        </w:rPr>
      </w:pPr>
      <w:r>
        <w:rPr>
          <w:rFonts w:ascii="Arial" w:cs="Arial" w:eastAsia="Arial" w:hAnsi="Arial"/>
          <w:sz w:val="17"/>
          <w:szCs w:val="17"/>
          <w:color w:val="auto"/>
        </w:rPr>
        <w:t>As of December 31, 2017 and 2016, $4,384,139 and $5,967,797 of the Company’s cash and cash equivalents was on deposit at financial institutions in the PRC where there currently is no rule or regulation requiring such financial institutions to maintain insurance to cover bank deposits in the event of bank failure. As of December 31, 2017, the Company had $47,432, $44,794, $134,880 and $47,792 of cash and cash equivalents on deposit at financial institutions in Singapore, Australia, Hong Kong and Taiwan,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Significant customers</w:t>
      </w:r>
    </w:p>
    <w:p>
      <w:pPr>
        <w:spacing w:after="0" w:line="15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For the years ended June 30, 2017 and 2016, Citibank accounted for 38.6% and 59.2% of the Company’s total revenues, respectively. For the year ended June 30, 2017, Citibank accounted for 39.1% of the Company’s total accounts receivable balance. For the year ended June 30, 2016, Citibank and eBay accounted for 47.3% and 10.0% of the Company’s total accounts receivable balance.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619" w:firstLine="432"/>
        <w:spacing w:after="0" w:line="297" w:lineRule="auto"/>
        <w:rPr>
          <w:sz w:val="20"/>
          <w:szCs w:val="20"/>
          <w:color w:val="auto"/>
        </w:rPr>
      </w:pPr>
      <w:r>
        <w:rPr>
          <w:rFonts w:ascii="Arial" w:cs="Arial" w:eastAsia="Arial" w:hAnsi="Arial"/>
          <w:sz w:val="16"/>
          <w:szCs w:val="16"/>
          <w:color w:val="auto"/>
        </w:rPr>
        <w:t>For the six months ended December 31, 2017, Citibank accounted for 30.7% of the Company’s total revenues. For the six months ended December 31, 2016, Citibank and eBay accounted for 41% and 15.5% of the Company’s total revenues, respectively. For the six months ended December 31, 2017, Citibank accounted for 33.8% of the Company’s total accounts receivable balance. For the six months ended December 31, 2016, Citibank and eBay accounted for 41.6% and 14.0% of the Company’s total accounts receivable balance.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 of Cash Flows</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460" w:right="499" w:firstLine="432"/>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w:t>
      </w:r>
    </w:p>
    <w:p>
      <w:pPr>
        <w:spacing w:after="0" w:line="12" w:lineRule="exact"/>
        <w:rPr>
          <w:sz w:val="20"/>
          <w:szCs w:val="20"/>
          <w:color w:val="auto"/>
        </w:rPr>
      </w:pPr>
    </w:p>
    <w:p>
      <w:pPr>
        <w:ind w:left="460" w:right="519"/>
        <w:spacing w:after="0" w:line="267" w:lineRule="auto"/>
        <w:rPr>
          <w:sz w:val="20"/>
          <w:szCs w:val="20"/>
          <w:color w:val="auto"/>
        </w:rPr>
      </w:pPr>
      <w:r>
        <w:rPr>
          <w:rFonts w:ascii="Arial" w:cs="Arial" w:eastAsia="Arial" w:hAnsi="Arial"/>
          <w:sz w:val="17"/>
          <w:szCs w:val="17"/>
          <w:color w:val="auto"/>
        </w:rPr>
        <w:t>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fiscal-2020 using the retrospective transition method,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color w:val="auto"/>
        </w:rPr>
        <w:t>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97"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9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108"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0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9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111"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14"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99"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62" w:lineRule="exact"/>
        <w:rPr>
          <w:sz w:val="20"/>
          <w:szCs w:val="20"/>
          <w:color w:val="auto"/>
        </w:rPr>
      </w:pPr>
    </w:p>
    <w:p>
      <w:pPr>
        <w:ind w:left="460" w:right="479"/>
        <w:spacing w:after="0" w:line="285" w:lineRule="auto"/>
        <w:rPr>
          <w:sz w:val="20"/>
          <w:szCs w:val="20"/>
          <w:color w:val="auto"/>
        </w:rPr>
      </w:pPr>
      <w:r>
        <w:rPr>
          <w:rFonts w:ascii="Arial" w:cs="Arial" w:eastAsia="Arial" w:hAnsi="Arial"/>
          <w:sz w:val="16"/>
          <w:szCs w:val="16"/>
          <w:color w:val="auto"/>
        </w:rPr>
        <w:t>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9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0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February 2018, the FASB issued ASU No. 2018-03, Technical Corrections and Improvements to Financial Instruments — 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25" w:lineRule="exact"/>
        <w:rPr>
          <w:sz w:val="20"/>
          <w:szCs w:val="20"/>
          <w:color w:val="auto"/>
        </w:rPr>
      </w:pPr>
    </w:p>
    <w:p>
      <w:pPr>
        <w:ind w:left="460" w:right="799" w:firstLine="432"/>
        <w:spacing w:after="0" w:line="264" w:lineRule="auto"/>
        <w:rPr>
          <w:sz w:val="20"/>
          <w:szCs w:val="20"/>
          <w:color w:val="auto"/>
        </w:rPr>
      </w:pPr>
      <w:r>
        <w:rPr>
          <w:rFonts w:ascii="Arial" w:cs="Arial" w:eastAsia="Arial" w:hAnsi="Arial"/>
          <w:sz w:val="18"/>
          <w:szCs w:val="18"/>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BUSINESS ACQUISITION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144"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On November 9, 2016, CLPS Shanghai acquired 60% of Judge China and its 70% owned subsidiary Judge HR from Judge Company Asia Limited (“Judge Asia”) with the final purchase price of $480,061 (RMB 3.25 million). The Company funded the acquisition with cash and a payable to Judge Asia of $128,928 (RMB</w:t>
      </w:r>
    </w:p>
    <w:p>
      <w:pPr>
        <w:jc w:val="both"/>
        <w:ind w:left="460" w:right="539"/>
        <w:spacing w:after="0" w:line="255" w:lineRule="auto"/>
        <w:rPr>
          <w:sz w:val="20"/>
          <w:szCs w:val="20"/>
          <w:color w:val="auto"/>
        </w:rPr>
      </w:pPr>
      <w:r>
        <w:rPr>
          <w:rFonts w:ascii="Arial" w:cs="Arial" w:eastAsia="Arial" w:hAnsi="Arial"/>
          <w:sz w:val="18"/>
          <w:szCs w:val="18"/>
          <w:color w:val="auto"/>
        </w:rPr>
        <w:t>0.9 million), of which $103,255 was subsequently offset with the Company’s receivables from Judge Asia. The Company believes that the acquisition will allow it to better manage opportunities and capitalize on the growth potential in the human resource related industries.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BUSINESS ACQUISITION </w:t>
      </w:r>
      <w:r>
        <w:rPr>
          <w:rFonts w:ascii="Arial" w:cs="Arial" w:eastAsia="Arial" w:hAnsi="Arial"/>
          <w:sz w:val="18"/>
          <w:szCs w:val="18"/>
          <w:color w:val="auto"/>
        </w:rPr>
        <w:t>(cont.)</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Amounts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payables</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vMerge w:val="continue"/>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14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6" w:lineRule="auto"/>
        <w:rPr>
          <w:sz w:val="20"/>
          <w:szCs w:val="20"/>
          <w:color w:val="auto"/>
        </w:rPr>
      </w:pPr>
      <w:r>
        <w:rPr>
          <w:rFonts w:ascii="Arial" w:cs="Arial" w:eastAsia="Arial" w:hAnsi="Arial"/>
          <w:sz w:val="17"/>
          <w:szCs w:val="17"/>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JQ</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October 17, 2017, the Company acquired 55% of JQ equity interest, and its 100% owned subsidiary</w:t>
      </w:r>
    </w:p>
    <w:p>
      <w:pPr>
        <w:spacing w:after="0" w:line="46" w:lineRule="exact"/>
        <w:rPr>
          <w:sz w:val="20"/>
          <w:szCs w:val="20"/>
          <w:color w:val="auto"/>
        </w:rPr>
      </w:pPr>
    </w:p>
    <w:p>
      <w:pPr>
        <w:ind w:left="460" w:right="619"/>
        <w:spacing w:after="0" w:line="270" w:lineRule="auto"/>
        <w:rPr>
          <w:sz w:val="20"/>
          <w:szCs w:val="20"/>
          <w:color w:val="auto"/>
        </w:rPr>
      </w:pPr>
      <w:r>
        <w:rPr>
          <w:rFonts w:ascii="Arial" w:cs="Arial" w:eastAsia="Arial" w:hAnsi="Arial"/>
          <w:sz w:val="17"/>
          <w:szCs w:val="17"/>
          <w:color w:val="auto"/>
        </w:rPr>
        <w:t>—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 NET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6"/>
            <w:vMerge w:val="restart"/>
          </w:tcPr>
          <w:p>
            <w:pPr>
              <w:jc w:val="right"/>
              <w:ind w:right="780"/>
              <w:spacing w:after="0"/>
              <w:rPr>
                <w:sz w:val="20"/>
                <w:szCs w:val="20"/>
                <w:color w:val="auto"/>
              </w:rPr>
            </w:pPr>
            <w:r>
              <w:rPr>
                <w:rFonts w:ascii="Arial" w:cs="Arial" w:eastAsia="Arial" w:hAnsi="Arial"/>
                <w:sz w:val="16"/>
                <w:szCs w:val="16"/>
                <w:b w:val="1"/>
                <w:bCs w:val="1"/>
                <w:color w:val="auto"/>
              </w:rPr>
              <w:t>As of 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0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10,885,607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(72,128)</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99" w:firstLine="432"/>
        <w:spacing w:after="0" w:line="264" w:lineRule="auto"/>
        <w:rPr>
          <w:sz w:val="20"/>
          <w:szCs w:val="20"/>
          <w:color w:val="auto"/>
        </w:rPr>
      </w:pPr>
      <w:r>
        <w:rPr>
          <w:rFonts w:ascii="Arial" w:cs="Arial" w:eastAsia="Arial" w:hAnsi="Arial"/>
          <w:sz w:val="18"/>
          <w:szCs w:val="18"/>
          <w:color w:val="auto"/>
        </w:rPr>
        <w:t>Unbilled accounts receivable included in trade accounts receivable above amounted to $263,434 and Nil as of June 30, 2017 and 2016, respectively. Unbilled accounts receivable included in trade accounts receivable above amounted to $775,305 as of December 31, 2017.</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ACCOUNTS RECEIVABLE, NET </w:t>
      </w:r>
      <w:r>
        <w:rPr>
          <w:rFonts w:ascii="Arial" w:cs="Arial" w:eastAsia="Arial" w:hAnsi="Arial"/>
          <w:sz w:val="18"/>
          <w:szCs w:val="18"/>
          <w:color w:val="auto"/>
        </w:rPr>
        <w:t>(cont.)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Movement of the allowance for doubtful accounts is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off for doubtful accounts</w:t>
            </w: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PREPAYMENTS, DEPOSITS AND OTHER ASSETS, NET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Prepayments, deposits and other assets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25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38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216,752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Note receivable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109,956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(41,602)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(18,390)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(47,794)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1,073,899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Long term portion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(123,783)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(114,248)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(121,405)</w:t>
            </w:r>
          </w:p>
        </w:tc>
        <w:tc>
          <w:tcPr>
            <w:tcW w:w="0" w:type="dxa"/>
            <w:vAlign w:val="bottom"/>
          </w:tcPr>
          <w:p>
            <w:pPr>
              <w:spacing w:after="0"/>
              <w:rPr>
                <w:sz w:val="1"/>
                <w:szCs w:val="1"/>
                <w:color w:val="auto"/>
              </w:rPr>
            </w:pPr>
          </w:p>
        </w:tc>
      </w:tr>
      <w:tr>
        <w:trPr>
          <w:trHeight w:val="26"/>
        </w:trPr>
        <w:tc>
          <w:tcPr>
            <w:tcW w:w="4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Prepayments, deposits and other assets – current portion</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gridSpan w:val="5"/>
          </w:tcPr>
          <w:p>
            <w:pPr>
              <w:jc w:val="right"/>
              <w:ind w:right="500"/>
              <w:spacing w:after="0"/>
              <w:rPr>
                <w:sz w:val="20"/>
                <w:szCs w:val="20"/>
                <w:color w:val="auto"/>
              </w:rPr>
            </w:pPr>
            <w:r>
              <w:rPr>
                <w:rFonts w:ascii="Arial" w:cs="Arial" w:eastAsia="Arial" w:hAnsi="Arial"/>
                <w:sz w:val="18"/>
                <w:szCs w:val="18"/>
                <w:color w:val="auto"/>
                <w:w w:val="99"/>
              </w:rPr>
              <w:t>Movement of the allowance for doubtful accounts is as follows: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38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47,794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-3592830</wp:posOffset>
            </wp:positionV>
            <wp:extent cx="2504440" cy="462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04440" cy="462915"/>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LONG TERM INVESTMENT</w:t>
      </w:r>
    </w:p>
    <w:p>
      <w:pPr>
        <w:spacing w:after="0" w:line="162"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64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 Furniture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Automobiles</w:t>
            </w:r>
          </w:p>
        </w:tc>
        <w:tc>
          <w:tcPr>
            <w:tcW w:w="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122,128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Leasehold improvement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(315,630)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(209,929)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(407,888)</w:t>
            </w:r>
          </w:p>
        </w:tc>
        <w:tc>
          <w:tcPr>
            <w:tcW w:w="0" w:type="dxa"/>
            <w:vAlign w:val="bottom"/>
          </w:tcPr>
          <w:p>
            <w:pPr>
              <w:spacing w:after="0"/>
              <w:rPr>
                <w:sz w:val="1"/>
                <w:szCs w:val="1"/>
                <w:color w:val="auto"/>
              </w:rPr>
            </w:pPr>
          </w:p>
        </w:tc>
      </w:tr>
      <w:tr>
        <w:trPr>
          <w:trHeight w:val="26"/>
        </w:trPr>
        <w:tc>
          <w:tcPr>
            <w:tcW w:w="392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79" w:firstLine="432"/>
        <w:spacing w:after="0" w:line="264" w:lineRule="auto"/>
        <w:rPr>
          <w:sz w:val="20"/>
          <w:szCs w:val="20"/>
          <w:color w:val="auto"/>
        </w:rPr>
      </w:pPr>
      <w:r>
        <w:rPr>
          <w:rFonts w:ascii="Arial" w:cs="Arial" w:eastAsia="Arial" w:hAnsi="Arial"/>
          <w:sz w:val="18"/>
          <w:szCs w:val="18"/>
          <w:color w:val="auto"/>
        </w:rPr>
        <w:t>Depreciation expense was $109,356 and $54,105 for the years ended June 30, 2017 and 2016, respectively. Depreciation expense was $76,014 and $63,131 for the six months ended December 31, 2017 and 2016, respectively.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INTANGIBLE ASSETS, NET</w:t>
      </w:r>
    </w:p>
    <w:p>
      <w:pPr>
        <w:spacing w:after="0" w:line="162"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Intangible assets consisted of customer contacts acquired by Judge China. Judge China was acquired by the Company on November 9, 2016 (Note 3).</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4"/>
            <w:vMerge w:val="restart"/>
          </w:tcPr>
          <w:p>
            <w:pPr>
              <w:jc w:val="right"/>
              <w:ind w:right="385"/>
              <w:spacing w:after="0"/>
              <w:rPr>
                <w:sz w:val="20"/>
                <w:szCs w:val="20"/>
                <w:color w:val="auto"/>
              </w:rPr>
            </w:pPr>
            <w:r>
              <w:rPr>
                <w:rFonts w:ascii="Arial" w:cs="Arial" w:eastAsia="Arial" w:hAnsi="Arial"/>
                <w:sz w:val="16"/>
                <w:szCs w:val="16"/>
                <w:b w:val="1"/>
                <w:bCs w:val="1"/>
                <w:color w:val="auto"/>
              </w:rPr>
              <w:t>As of June 30,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960" w:type="dxa"/>
            <w:vAlign w:val="bottom"/>
            <w:gridSpan w:val="2"/>
          </w:tcPr>
          <w:p>
            <w:pPr>
              <w:jc w:val="right"/>
              <w:ind w:right="45"/>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126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(34,419)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(62,760)</w:t>
            </w:r>
          </w:p>
        </w:tc>
        <w:tc>
          <w:tcPr>
            <w:tcW w:w="0" w:type="dxa"/>
            <w:vAlign w:val="bottom"/>
          </w:tcPr>
          <w:p>
            <w:pPr>
              <w:spacing w:after="0"/>
              <w:rPr>
                <w:sz w:val="1"/>
                <w:szCs w:val="1"/>
                <w:color w:val="auto"/>
              </w:rPr>
            </w:pPr>
          </w:p>
        </w:tc>
      </w:tr>
      <w:tr>
        <w:trPr>
          <w:trHeight w:val="26"/>
        </w:trPr>
        <w:tc>
          <w:tcPr>
            <w:tcW w:w="3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-831215</wp:posOffset>
            </wp:positionV>
            <wp:extent cx="2504440" cy="308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04440" cy="308610"/>
                    </a:xfrm>
                    <a:prstGeom prst="rect">
                      <a:avLst/>
                    </a:prstGeom>
                    <a:noFill/>
                  </pic:spPr>
                </pic:pic>
              </a:graphicData>
            </a:graphic>
          </wp:anchor>
        </w:drawing>
      </w:r>
    </w:p>
    <w:p>
      <w:pPr>
        <w:spacing w:after="0" w:line="155" w:lineRule="exact"/>
        <w:rPr>
          <w:sz w:val="20"/>
          <w:szCs w:val="20"/>
          <w:color w:val="auto"/>
        </w:rPr>
      </w:pPr>
    </w:p>
    <w:p>
      <w:pPr>
        <w:jc w:val="both"/>
        <w:ind w:left="460" w:right="559" w:firstLine="432"/>
        <w:spacing w:after="0" w:line="264" w:lineRule="auto"/>
        <w:rPr>
          <w:sz w:val="20"/>
          <w:szCs w:val="20"/>
          <w:color w:val="auto"/>
        </w:rPr>
      </w:pPr>
      <w:r>
        <w:rPr>
          <w:rFonts w:ascii="Arial" w:cs="Arial" w:eastAsia="Arial" w:hAnsi="Arial"/>
          <w:sz w:val="18"/>
          <w:szCs w:val="18"/>
          <w:color w:val="auto"/>
        </w:rPr>
        <w:t>Amortization expense was $34,270 for the year ended June 30, 2017. Amortization expense was $26,351 and $8,647 for the six months ended December 31, 2017 and 2016, respectively. Estimated future amortization expense is as follows: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Twelve months ending December 31,</w:t>
            </w:r>
          </w:p>
        </w:tc>
        <w:tc>
          <w:tcPr>
            <w:tcW w:w="3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2019</w:t>
            </w: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Remaining</w:t>
            </w: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6"/>
        </w:trPr>
        <w:tc>
          <w:tcPr>
            <w:tcW w:w="3200" w:type="dxa"/>
            <w:vAlign w:val="bottom"/>
            <w:gridSpan w:val="2"/>
          </w:tcPr>
          <w:p>
            <w:pPr>
              <w:spacing w:after="0"/>
              <w:rPr>
                <w:sz w:val="2"/>
                <w:szCs w:val="2"/>
                <w:color w:val="auto"/>
              </w:rPr>
            </w:pPr>
          </w:p>
        </w:tc>
        <w:tc>
          <w:tcPr>
            <w:tcW w:w="38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right"/>
              <w:ind w:right="2705"/>
              <w:spacing w:after="0"/>
              <w:rPr>
                <w:sz w:val="20"/>
                <w:szCs w:val="20"/>
                <w:color w:val="auto"/>
              </w:rPr>
            </w:pPr>
            <w:r>
              <w:rPr>
                <w:rFonts w:ascii="Arial" w:cs="Arial" w:eastAsia="Arial" w:hAnsi="Arial"/>
                <w:sz w:val="18"/>
                <w:szCs w:val="18"/>
                <w:color w:val="auto"/>
              </w:rPr>
              <w:t>F-24</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GOODWILL</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changes in the carrying amount of goodwill were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For the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year ended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For six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ended December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31, 2017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Goodwill arising from acquisition of Judge China (Note 3)</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194,237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24"/>
        </w:trPr>
        <w:tc>
          <w:tcPr>
            <w:tcW w:w="4900" w:type="dxa"/>
            <w:vAlign w:val="bottom"/>
            <w:gridSpan w:val="2"/>
          </w:tcPr>
          <w:p>
            <w:pPr>
              <w:spacing w:after="0"/>
              <w:rPr>
                <w:sz w:val="20"/>
                <w:szCs w:val="20"/>
                <w:color w:val="auto"/>
              </w:rPr>
            </w:pPr>
            <w:r>
              <w:rPr>
                <w:rFonts w:ascii="Arial" w:cs="Arial" w:eastAsia="Arial" w:hAnsi="Arial"/>
                <w:sz w:val="18"/>
                <w:szCs w:val="18"/>
                <w:color w:val="auto"/>
              </w:rPr>
              <w:t>Balance at the end of the period</w:t>
            </w:r>
          </w:p>
        </w:tc>
        <w:tc>
          <w:tcPr>
            <w:tcW w:w="6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195,080</w:t>
            </w:r>
          </w:p>
        </w:tc>
        <w:tc>
          <w:tcPr>
            <w:tcW w:w="1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19" w:firstLine="432"/>
        <w:spacing w:after="0" w:line="264" w:lineRule="auto"/>
        <w:rPr>
          <w:sz w:val="20"/>
          <w:szCs w:val="20"/>
          <w:color w:val="auto"/>
        </w:rPr>
      </w:pPr>
      <w:r>
        <w:rPr>
          <w:rFonts w:ascii="Arial" w:cs="Arial" w:eastAsia="Arial" w:hAnsi="Arial"/>
          <w:sz w:val="18"/>
          <w:szCs w:val="18"/>
          <w:color w:val="auto"/>
        </w:rPr>
        <w:t>The Company performed its annual goodwill impairment review for the year ended June 30, 2017 and for the six months ended December 31, 2017, and determined there was no impairment as of June 30, 2017 and as of December 31, 2017.</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SHORT-TERM BANK LOANS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Outstanding balances of short-term bank loans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vMerge w:val="restart"/>
          </w:tcPr>
          <w:p>
            <w:pPr>
              <w:jc w:val="right"/>
              <w:ind w:right="376"/>
              <w:spacing w:after="0"/>
              <w:rPr>
                <w:sz w:val="20"/>
                <w:szCs w:val="20"/>
                <w:color w:val="auto"/>
              </w:rPr>
            </w:pPr>
            <w:r>
              <w:rPr>
                <w:rFonts w:ascii="Arial" w:cs="Arial" w:eastAsia="Arial" w:hAnsi="Arial"/>
                <w:sz w:val="16"/>
                <w:szCs w:val="16"/>
                <w:b w:val="1"/>
                <w:bCs w:val="1"/>
                <w:color w:val="auto"/>
                <w:w w:val="88"/>
              </w:rPr>
              <w:t>As of June 30,</w:t>
            </w:r>
          </w:p>
        </w:tc>
        <w:tc>
          <w:tcPr>
            <w:tcW w:w="540" w:type="dxa"/>
            <w:vAlign w:val="bottom"/>
          </w:tcPr>
          <w:p>
            <w:pPr>
              <w:spacing w:after="0"/>
              <w:rPr>
                <w:sz w:val="17"/>
                <w:szCs w:val="17"/>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440" w:type="dxa"/>
            <w:vAlign w:val="bottom"/>
          </w:tcPr>
          <w:p>
            <w:pPr>
              <w:jc w:val="right"/>
              <w:ind w:right="36"/>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9"/>
                <w:szCs w:val="19"/>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 from Bank of Communication, with an interest rate</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5.655% per annum due February 8, 2018</w:t>
            </w:r>
          </w:p>
        </w:tc>
        <w:tc>
          <w:tcPr>
            <w:tcW w:w="8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753,116</w:t>
            </w:r>
          </w:p>
        </w:tc>
        <w:tc>
          <w:tcPr>
            <w:tcW w:w="0" w:type="dxa"/>
            <w:vAlign w:val="bottom"/>
          </w:tcPr>
          <w:p>
            <w:pPr>
              <w:spacing w:after="0"/>
              <w:rPr>
                <w:sz w:val="1"/>
                <w:szCs w:val="1"/>
                <w:color w:val="auto"/>
              </w:rPr>
            </w:pPr>
          </w:p>
        </w:tc>
      </w:tr>
      <w:tr>
        <w:trPr>
          <w:trHeight w:val="41"/>
        </w:trPr>
        <w:tc>
          <w:tcPr>
            <w:tcW w:w="4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-608330</wp:posOffset>
            </wp:positionV>
            <wp:extent cx="2504440" cy="308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04440" cy="308610"/>
                    </a:xfrm>
                    <a:prstGeom prst="rect">
                      <a:avLst/>
                    </a:prstGeom>
                    <a:noFill/>
                  </pic:spPr>
                </pic:pic>
              </a:graphicData>
            </a:graphic>
          </wp:anchor>
        </w:drawing>
      </w:r>
    </w:p>
    <w:p>
      <w:pPr>
        <w:spacing w:after="0" w:line="155" w:lineRule="exact"/>
        <w:rPr>
          <w:sz w:val="20"/>
          <w:szCs w:val="20"/>
          <w:color w:val="auto"/>
        </w:rPr>
      </w:pPr>
    </w:p>
    <w:p>
      <w:pPr>
        <w:jc w:val="both"/>
        <w:ind w:left="460" w:right="499" w:firstLine="432"/>
        <w:spacing w:after="0" w:line="312" w:lineRule="auto"/>
        <w:rPr>
          <w:sz w:val="20"/>
          <w:szCs w:val="20"/>
          <w:color w:val="auto"/>
        </w:rPr>
      </w:pPr>
      <w:r>
        <w:rPr>
          <w:rFonts w:ascii="Arial" w:cs="Arial" w:eastAsia="Arial" w:hAnsi="Arial"/>
          <w:sz w:val="16"/>
          <w:szCs w:val="16"/>
          <w:color w:val="auto"/>
        </w:rPr>
        <w:t>On November 6, 2017, the Company entered into a revolving credit facility with Bank of Communication (“BC Credit Facility”) which permits the Company to borrow up to approximately $753,100 (RMB 5,000,000) during the period from October 9, 2017 to October 9, 2018. On February 8, 2018, the Company repaid the loan.</w:t>
      </w:r>
    </w:p>
    <w:p>
      <w:pPr>
        <w:spacing w:after="0" w:line="66"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On February 8, 2018, the Company borrowed $775,047 (RMB 4,900,000) from Bank of Communication at an interest rate of 5.655% per annum and due on July 20, 2018.</w:t>
      </w:r>
    </w:p>
    <w:p>
      <w:pPr>
        <w:spacing w:after="0" w:line="103"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 which permits the Company to borrow up to approximately $753,100 (RMB 5,000,000) during the period from May 17, 2017 to May 16, 2018. The CMB Credit Facility is guaranteed by the CEO and Chairman and President of the Company as joint guarantors. During the six months ended December 31, 2017, the Company borrowed $1,505,752 (RMB 10,000,000) from CMB Credit Facility which was fully repaid as of December 31, 2017.</w:t>
      </w:r>
    </w:p>
    <w:p>
      <w:pPr>
        <w:spacing w:after="0" w:line="126" w:lineRule="exact"/>
        <w:rPr>
          <w:sz w:val="20"/>
          <w:szCs w:val="20"/>
          <w:color w:val="auto"/>
        </w:rPr>
      </w:pPr>
    </w:p>
    <w:p>
      <w:pPr>
        <w:jc w:val="both"/>
        <w:ind w:left="460" w:right="679" w:firstLine="432"/>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with an interest rate at 5.655% per annum expiring June 30, 2018.</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February 2018, the Company borrowed $1,906,193 (RMB 12,000,000) from China Merchants Bank.</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loans are due in May and July 2018.</w:t>
      </w:r>
    </w:p>
    <w:p>
      <w:pPr>
        <w:spacing w:after="0" w:line="143" w:lineRule="exact"/>
        <w:rPr>
          <w:sz w:val="20"/>
          <w:szCs w:val="20"/>
          <w:color w:val="auto"/>
        </w:rPr>
      </w:pPr>
    </w:p>
    <w:p>
      <w:pPr>
        <w:ind w:left="460" w:right="1379" w:firstLine="432"/>
        <w:spacing w:after="0" w:line="277" w:lineRule="auto"/>
        <w:rPr>
          <w:sz w:val="20"/>
          <w:szCs w:val="20"/>
          <w:color w:val="auto"/>
        </w:rPr>
      </w:pPr>
      <w:r>
        <w:rPr>
          <w:rFonts w:ascii="Arial" w:cs="Arial" w:eastAsia="Arial" w:hAnsi="Arial"/>
          <w:sz w:val="18"/>
          <w:szCs w:val="18"/>
          <w:color w:val="auto"/>
        </w:rPr>
        <w:t>Interest expense was $14,681 and Nil for the six months ended December 31, 2017 and 2016, respectively.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SALARIES AND BENEFITS PAYABLE</w:t>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6"/>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354"/>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37"/>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33"/>
        </w:trPr>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5,392,434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4,578,928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7,190,519</w:t>
            </w:r>
          </w:p>
        </w:tc>
        <w:tc>
          <w:tcPr>
            <w:tcW w:w="0" w:type="dxa"/>
            <w:vAlign w:val="bottom"/>
          </w:tcPr>
          <w:p>
            <w:pPr>
              <w:spacing w:after="0"/>
              <w:rPr>
                <w:sz w:val="1"/>
                <w:szCs w:val="1"/>
                <w:color w:val="auto"/>
              </w:rPr>
            </w:pPr>
          </w:p>
        </w:tc>
      </w:tr>
      <w:tr>
        <w:trPr>
          <w:trHeight w:val="128"/>
        </w:trPr>
        <w:tc>
          <w:tcPr>
            <w:tcW w:w="3200" w:type="dxa"/>
            <w:vAlign w:val="bottom"/>
            <w:tcBorders>
              <w:bottom w:val="single" w:sz="8" w:color="CCEEFF"/>
            </w:tcBorders>
            <w:vMerge w:val="continue"/>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 Wages and benefits payable included $2,569,719 accrued employer portion of social benefit payable to local government for the six months ended December 31, 2017.</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RELATED PARTY TRANSACTIONS</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balances due to and due from related parties were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As of June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Non-controlling shareholder of CLPS Beijing</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14,751</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Affiliates of non-controlling interest shareholder of</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103,255</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Judge China*</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118,006</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60"/>
        </w:trPr>
        <w:tc>
          <w:tcPr>
            <w:tcW w:w="4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412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00" w:type="dxa"/>
            <w:vAlign w:val="bottom"/>
            <w:gridSpan w:val="5"/>
          </w:tcPr>
          <w:p>
            <w:pPr>
              <w:spacing w:after="0"/>
              <w:rPr>
                <w:sz w:val="20"/>
                <w:szCs w:val="20"/>
                <w:color w:val="auto"/>
              </w:rPr>
            </w:pPr>
            <w:r>
              <w:rPr>
                <w:rFonts w:ascii="Arial" w:cs="Arial" w:eastAsia="Arial" w:hAnsi="Arial"/>
                <w:sz w:val="16"/>
                <w:szCs w:val="16"/>
                <w:color w:val="auto"/>
              </w:rPr>
              <w:t>* The amount was subsequently offset with the acquisition payable (Note 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20" w:type="dxa"/>
            <w:vAlign w:val="bottom"/>
            <w:vMerge w:val="restart"/>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6"/>
              </w:rPr>
              <w:t>Shanghai Qisheng Co., Ltd (“Qisheng”), controlled by</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the Chairman of the Company</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7,080</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Mr. Raymond Ming Hui Lin, CEO of the Company</w:t>
            </w:r>
            <w:r>
              <w:rPr>
                <w:rFonts w:ascii="Arial" w:cs="Arial" w:eastAsia="Arial" w:hAnsi="Arial"/>
                <w:sz w:val="21"/>
                <w:szCs w:val="21"/>
                <w:color w:val="auto"/>
                <w:vertAlign w:val="superscript"/>
              </w:rPr>
              <w:t>(i)</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1,140,975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shareholder of JQ</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Non-controlling interest shareholder of CLPS Beijing</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1,729,791</w:t>
            </w: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1,148,197</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16510</wp:posOffset>
            </wp:positionV>
            <wp:extent cx="241808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18080" cy="26035"/>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900" w:right="879" w:hanging="438"/>
        <w:spacing w:after="0" w:line="288" w:lineRule="auto"/>
        <w:tabs>
          <w:tab w:leader="none" w:pos="891"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Due to related parties mainly represents the unpaid bonus, dividends, wages and other benefit to the Company’s executives.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TAXES</w:t>
      </w:r>
    </w:p>
    <w:p>
      <w:pPr>
        <w:spacing w:after="0" w:line="225" w:lineRule="exact"/>
        <w:rPr>
          <w:sz w:val="20"/>
          <w:szCs w:val="20"/>
          <w:color w:val="auto"/>
        </w:rPr>
      </w:pPr>
    </w:p>
    <w:p>
      <w:pPr>
        <w:ind w:left="900" w:hanging="438"/>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162"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03" w:lineRule="exact"/>
        <w:rPr>
          <w:sz w:val="20"/>
          <w:szCs w:val="20"/>
          <w:color w:val="auto"/>
        </w:rPr>
      </w:pPr>
    </w:p>
    <w:p>
      <w:pPr>
        <w:ind w:left="460" w:right="559" w:firstLine="432"/>
        <w:spacing w:after="0" w:line="312" w:lineRule="auto"/>
        <w:rPr>
          <w:sz w:val="20"/>
          <w:szCs w:val="20"/>
          <w:color w:val="auto"/>
        </w:rPr>
      </w:pPr>
      <w:r>
        <w:rPr>
          <w:rFonts w:ascii="Arial" w:cs="Arial" w:eastAsia="Arial" w:hAnsi="Arial"/>
          <w:sz w:val="16"/>
          <w:szCs w:val="16"/>
          <w:color w:val="auto"/>
        </w:rPr>
        <w:t>CLPS Hong Kong was established in Hong Kong and is subject to statutory income tax rate at 16.5%. CLPS SG are subject to Singapore income taxes at the rate of 17%. CLPS AU was established in Australia and subject to corporate income tax at 30%. JL are subject to Taiwan income taxes at the rate of 17%.</w:t>
      </w:r>
    </w:p>
    <w:p>
      <w:pPr>
        <w:spacing w:after="0" w:line="66" w:lineRule="exact"/>
        <w:rPr>
          <w:sz w:val="20"/>
          <w:szCs w:val="20"/>
          <w:color w:val="auto"/>
        </w:rPr>
      </w:pPr>
    </w:p>
    <w:p>
      <w:pPr>
        <w:jc w:val="both"/>
        <w:ind w:left="460" w:right="759" w:firstLine="432"/>
        <w:spacing w:after="0" w:line="259" w:lineRule="auto"/>
        <w:rPr>
          <w:sz w:val="20"/>
          <w:szCs w:val="20"/>
          <w:color w:val="auto"/>
        </w:rPr>
      </w:pPr>
      <w:r>
        <w:rPr>
          <w:rFonts w:ascii="Arial" w:cs="Arial" w:eastAsia="Arial" w:hAnsi="Arial"/>
          <w:sz w:val="18"/>
          <w:szCs w:val="18"/>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TAXES </w:t>
      </w:r>
      <w:r>
        <w:rPr>
          <w:rFonts w:ascii="Arial" w:cs="Arial" w:eastAsia="Arial" w:hAnsi="Arial"/>
          <w:sz w:val="18"/>
          <w:szCs w:val="18"/>
          <w:color w:val="auto"/>
        </w:rPr>
        <w:t>(cont.)</w:t>
      </w:r>
    </w:p>
    <w:p>
      <w:pPr>
        <w:spacing w:after="0" w:line="162"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2010 and reapproved in 2013 and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EIT is typically governed by the local tax authority in China. Each local tax authority at times may grant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tax holidays to local enterprises as a way to encourage entrepreneurship and stimulate local economy.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impact of the tax holidays noted above decreased income taxes by $317,488 and $290,159 for the fiscal year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2017 and 2016, respectively. The benefit of the tax holidays on net income per share (basic and diluted) was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$0.03 and $0.03 for the years ended June 30, 2017 and 2016, respectively. The impact of the tax holidays noted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above decreased income taxes by $166,596 and $155,809 for the six months ended December 31, 2017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2016, respectively. The benefit of the tax holidays on net income per share (basic and diluted) was $0.01 for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six months ended December 31, 2017 and 2016, respectively.</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Income (loss) before income taxes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For the years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December 31,</w:t>
            </w:r>
          </w:p>
        </w:tc>
      </w:tr>
      <w:tr>
        <w:trPr>
          <w:trHeight w:val="243"/>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34"/>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35"/>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(Unaudited)</w:t>
            </w:r>
          </w:p>
        </w:tc>
      </w:tr>
      <w:tr>
        <w:trPr>
          <w:trHeight w:val="243"/>
        </w:trPr>
        <w:tc>
          <w:tcPr>
            <w:tcW w:w="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40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2,297,424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1,705,753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1,122,323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Non-PRC</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(413,400)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(243,300)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(254,302)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(151,392)</w:t>
            </w:r>
          </w:p>
        </w:tc>
      </w:tr>
      <w:tr>
        <w:trPr>
          <w:trHeight w:val="26"/>
        </w:trPr>
        <w:tc>
          <w:tcPr>
            <w:tcW w:w="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2,054,124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1,451,451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970,931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-831215</wp:posOffset>
            </wp:positionV>
            <wp:extent cx="3284855" cy="308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84855" cy="308610"/>
                    </a:xfrm>
                    <a:prstGeom prst="rect">
                      <a:avLst/>
                    </a:prstGeom>
                    <a:noFill/>
                  </pic:spPr>
                </pic:pic>
              </a:graphicData>
            </a:graphic>
          </wp:anchor>
        </w:drawing>
      </w:r>
    </w:p>
    <w:p>
      <w:pPr>
        <w:spacing w:after="0" w:line="15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reconciles the statutory rate to the Company’s effective tax rate: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For the years ended</w:t>
            </w:r>
          </w:p>
        </w:tc>
        <w:tc>
          <w:tcPr>
            <w:tcW w:w="120" w:type="dxa"/>
            <w:vAlign w:val="bottom"/>
          </w:tcPr>
          <w:p>
            <w:pPr>
              <w:spacing w:after="0"/>
              <w:rPr>
                <w:sz w:val="17"/>
                <w:szCs w:val="17"/>
                <w:color w:val="auto"/>
              </w:rPr>
            </w:pPr>
          </w:p>
        </w:tc>
        <w:tc>
          <w:tcPr>
            <w:tcW w:w="26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For the six months ended December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Borders>
              <w:bottom w:val="single" w:sz="8" w:color="auto"/>
            </w:tcBorders>
            <w:gridSpan w:val="4"/>
          </w:tcPr>
          <w:p>
            <w:pPr>
              <w:jc w:val="center"/>
              <w:ind w:left="773"/>
              <w:spacing w:after="0"/>
              <w:rPr>
                <w:sz w:val="20"/>
                <w:szCs w:val="20"/>
                <w:color w:val="auto"/>
              </w:rPr>
            </w:pPr>
            <w:r>
              <w:rPr>
                <w:rFonts w:ascii="Arial" w:cs="Arial" w:eastAsia="Arial" w:hAnsi="Arial"/>
                <w:sz w:val="16"/>
                <w:szCs w:val="16"/>
                <w:b w:val="1"/>
                <w:bCs w:val="1"/>
                <w:color w:val="auto"/>
                <w:w w:val="87"/>
              </w:rPr>
              <w:t>June 30,</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31,</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200"/>
              <w:spacing w:after="0"/>
              <w:rPr>
                <w:sz w:val="20"/>
                <w:szCs w:val="20"/>
                <w:color w:val="auto"/>
              </w:rPr>
            </w:pPr>
            <w:r>
              <w:rPr>
                <w:rFonts w:ascii="Arial" w:cs="Arial" w:eastAsia="Arial" w:hAnsi="Arial"/>
                <w:sz w:val="16"/>
                <w:szCs w:val="16"/>
                <w:b w:val="1"/>
                <w:bCs w:val="1"/>
                <w:color w:val="auto"/>
              </w:rPr>
              <w:t>(Unaudited)</w:t>
            </w:r>
          </w:p>
        </w:tc>
        <w:tc>
          <w:tcPr>
            <w:tcW w:w="11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w w:val="99"/>
              </w:rPr>
              <w:t>Effect of income tax rate difference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in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other jurisdictions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PRC preferential tax rate</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tax holidays</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R&amp;D credits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difference and others*</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Pr>
          <w:p>
            <w:pPr>
              <w:ind w:left="160"/>
              <w:spacing w:after="0"/>
              <w:rPr>
                <w:sz w:val="20"/>
                <w:szCs w:val="20"/>
                <w:color w:val="auto"/>
              </w:rPr>
            </w:pPr>
            <w:r>
              <w:rPr>
                <w:rFonts w:ascii="Arial" w:cs="Arial" w:eastAsia="Arial" w:hAnsi="Arial"/>
                <w:sz w:val="18"/>
                <w:szCs w:val="18"/>
                <w:color w:val="auto"/>
              </w:rPr>
              <w:t>Effective tax rate</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16510</wp:posOffset>
            </wp:positionV>
            <wp:extent cx="322453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24530" cy="26035"/>
                    </a:xfrm>
                    <a:prstGeom prst="rect">
                      <a:avLst/>
                    </a:prstGeom>
                    <a:noFill/>
                  </pic:spPr>
                </pic:pic>
              </a:graphicData>
            </a:graphic>
          </wp:anchor>
        </w:drawing>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900" w:right="539" w:hanging="438"/>
        <w:spacing w:after="0" w:line="288" w:lineRule="auto"/>
        <w:tabs>
          <w:tab w:leader="none" w:pos="8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Permanent difference and other primarily represented tax effect on the intercompany transactions and non-deductible expenses.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TAXES </w:t>
      </w:r>
      <w:r>
        <w:rPr>
          <w:rFonts w:ascii="Arial" w:cs="Arial" w:eastAsia="Arial" w:hAnsi="Arial"/>
          <w:sz w:val="18"/>
          <w:szCs w:val="18"/>
          <w:color w:val="auto"/>
        </w:rPr>
        <w:t>(cont.)</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provision (benefit) for income tax consists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For the years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5"/>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8"/>
              </w:rPr>
              <w:t>(Unaudited)</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9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Deferred income tax (benefit) provision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(221,114)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(124,663)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w w:val="99"/>
              </w:rPr>
              <w:t>Total (benefit) provision for income</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(118,546)</w:t>
            </w: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8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expenses</w:t>
            </w:r>
          </w:p>
        </w:tc>
        <w:tc>
          <w:tcPr>
            <w:tcW w:w="340" w:type="dxa"/>
            <w:vAlign w:val="bottom"/>
            <w:tcBorders>
              <w:bottom w:val="single" w:sz="8" w:color="CCEEFF"/>
            </w:tcBorders>
            <w:gridSpan w:val="2"/>
            <w:vMerge w:val="continue"/>
            <w:shd w:val="clear" w:color="auto" w:fill="CCEEFF"/>
          </w:tcPr>
          <w:p>
            <w:pPr>
              <w:spacing w:after="0"/>
              <w:rPr>
                <w:sz w:val="22"/>
                <w:szCs w:val="22"/>
                <w:color w:val="auto"/>
              </w:rPr>
            </w:pPr>
          </w:p>
        </w:tc>
        <w:tc>
          <w:tcPr>
            <w:tcW w:w="920" w:type="dxa"/>
            <w:vAlign w:val="bottom"/>
            <w:tcBorders>
              <w:bottom w:val="single" w:sz="8" w:color="CCEEFF"/>
            </w:tcBorders>
            <w:gridSpan w:val="2"/>
            <w:vMerge w:val="continue"/>
            <w:shd w:val="clear" w:color="auto" w:fill="CCEEFF"/>
          </w:tcPr>
          <w:p>
            <w:pPr>
              <w:spacing w:after="0"/>
              <w:rPr>
                <w:sz w:val="22"/>
                <w:szCs w:val="22"/>
                <w:color w:val="auto"/>
              </w:rPr>
            </w:pPr>
          </w:p>
        </w:tc>
        <w:tc>
          <w:tcPr>
            <w:tcW w:w="440" w:type="dxa"/>
            <w:vAlign w:val="bottom"/>
            <w:tcBorders>
              <w:bottom w:val="single" w:sz="8" w:color="CCEEFF"/>
            </w:tcBorders>
            <w:gridSpan w:val="2"/>
            <w:vMerge w:val="continue"/>
            <w:shd w:val="clear" w:color="auto" w:fill="CCEEFF"/>
          </w:tcPr>
          <w:p>
            <w:pPr>
              <w:spacing w:after="0"/>
              <w:rPr>
                <w:sz w:val="22"/>
                <w:szCs w:val="22"/>
                <w:color w:val="auto"/>
              </w:rPr>
            </w:pPr>
          </w:p>
        </w:tc>
        <w:tc>
          <w:tcPr>
            <w:tcW w:w="76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vMerge w:val="continue"/>
            <w:shd w:val="clear" w:color="auto" w:fill="CCEEFF"/>
          </w:tcPr>
          <w:p>
            <w:pPr>
              <w:spacing w:after="0"/>
              <w:rPr>
                <w:sz w:val="22"/>
                <w:szCs w:val="22"/>
                <w:color w:val="auto"/>
              </w:rPr>
            </w:pP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240" w:type="dxa"/>
            <w:vAlign w:val="bottom"/>
            <w:tcBorders>
              <w:bottom w:val="single" w:sz="8" w:color="CCEEFF"/>
            </w:tcBorders>
            <w:gridSpan w:val="2"/>
            <w:vMerge w:val="continue"/>
            <w:shd w:val="clear" w:color="auto" w:fill="CCEEFF"/>
          </w:tcPr>
          <w:p>
            <w:pPr>
              <w:spacing w:after="0"/>
              <w:rPr>
                <w:sz w:val="22"/>
                <w:szCs w:val="22"/>
                <w:color w:val="auto"/>
              </w:rPr>
            </w:pPr>
          </w:p>
        </w:tc>
        <w:tc>
          <w:tcPr>
            <w:tcW w:w="10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59" w:firstLine="432"/>
        <w:spacing w:after="0" w:line="308" w:lineRule="auto"/>
        <w:rPr>
          <w:sz w:val="20"/>
          <w:szCs w:val="20"/>
          <w:color w:val="auto"/>
        </w:rPr>
      </w:pPr>
      <w:r>
        <w:rPr>
          <w:rFonts w:ascii="Arial" w:cs="Arial" w:eastAsia="Arial" w:hAnsi="Arial"/>
          <w:sz w:val="17"/>
          <w:szCs w:val="17"/>
          <w:color w:val="auto"/>
        </w:rPr>
        <w:t>As of December 31, 2017, the tax years ended December 31, 2011 through December 31, 2017 for the Company’s PRC entities remain open for statutory examination by PRC tax authorities.</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Deferred income taxes reflect the net tax effects of temporary differences between the carrying amount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assets and liabilities for financial reporting purposes and the amounts used for income tax purposes. As of June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30, 2017 and 2016, the Company had net operating loss carry forwards of approximately $1,234,500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$131,500, respectively, from the Company’s PRC subsidiaries, which will expire by December 31, 2021. As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June 30, 2017, the Company had net operating loss carry forwards of approximately $415,800, $40,600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$200,200 from its operations in Singapore, Australia and Hong Kong, respectively. As of December 31, 2017</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2016, the Company had net operating loss carry forwards of approximately $1,697,878 and $1,386,817,</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respectively, from the Company’s PRC subsidiaries, which will expire by December 31, 2021. As of December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 2017, the Company had net operating loss carry forwards of approximately $504,856, $107,095 and $42,225</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its operations in Singapore, Australia and Hong Kong, respectively. The net operating losses in Singapore,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Australia and Hong Kong will be carried forward indefinitely.</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significant components of the deferred tax assets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Net operating loss carry forwards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423,543</w:t>
            </w: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81,839</w:t>
            </w: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Unbilled accounts receivables</w:t>
            </w: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Deferred contract cost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(71,346)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(28,249)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assets, net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 and December 31, 2017.</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TAXES </w:t>
      </w:r>
      <w:r>
        <w:rPr>
          <w:rFonts w:ascii="Arial" w:cs="Arial" w:eastAsia="Arial" w:hAnsi="Arial"/>
          <w:sz w:val="18"/>
          <w:szCs w:val="18"/>
          <w:color w:val="auto"/>
        </w:rPr>
        <w:t>(cont.)</w:t>
      </w:r>
    </w:p>
    <w:p>
      <w:pPr>
        <w:spacing w:after="0" w:line="225" w:lineRule="exact"/>
        <w:rPr>
          <w:sz w:val="20"/>
          <w:szCs w:val="20"/>
          <w:color w:val="auto"/>
        </w:rPr>
      </w:pPr>
    </w:p>
    <w:p>
      <w:pPr>
        <w:ind w:left="880" w:hanging="418"/>
        <w:spacing w:after="0"/>
        <w:tabs>
          <w:tab w:leader="none" w:pos="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Taxes Payable</w:t>
      </w:r>
    </w:p>
    <w:p>
      <w:pPr>
        <w:spacing w:after="0" w:line="16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The Company’s taxes payable consists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4"/>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126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182,036</w:t>
            </w:r>
          </w:p>
        </w:tc>
        <w:tc>
          <w:tcPr>
            <w:tcW w:w="32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139,016</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Corporate income tax payable</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63,988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1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458,828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513,423</w:t>
            </w:r>
          </w:p>
        </w:tc>
        <w:tc>
          <w:tcPr>
            <w:tcW w:w="0" w:type="dxa"/>
            <w:vAlign w:val="bottom"/>
          </w:tcPr>
          <w:p>
            <w:pPr>
              <w:spacing w:after="0"/>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Total taxes payable</w:t>
            </w:r>
          </w:p>
        </w:tc>
        <w:tc>
          <w:tcPr>
            <w:tcW w:w="10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640,864</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428,675</w:t>
            </w:r>
          </w:p>
        </w:tc>
        <w:tc>
          <w:tcPr>
            <w:tcW w:w="1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Uncertain tax positions</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and also does not anticipate any significant increases or decreases in unrecognized tax benefits in the next 12 months from June 30, 2017. As of December 31, 2017 and 2016, the Company did not have any significant unrecognized uncertain tax positions. The Company did not incur any interest and penalties related to potential underpaid income tax expenses for the six months ended December 31, 2017 and 2016 and also does not anticipate any significant increases or decreases in unrecognized tax benefits in the next 12 months from December 31, 2017.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62" w:lineRule="exact"/>
        <w:rPr>
          <w:sz w:val="20"/>
          <w:szCs w:val="20"/>
          <w:color w:val="auto"/>
        </w:rPr>
      </w:pPr>
    </w:p>
    <w:p>
      <w:pPr>
        <w:ind w:left="460" w:right="1039" w:firstLine="432"/>
        <w:spacing w:after="0" w:line="342" w:lineRule="auto"/>
        <w:rPr>
          <w:sz w:val="20"/>
          <w:szCs w:val="20"/>
          <w:color w:val="auto"/>
        </w:rPr>
      </w:pPr>
      <w:r>
        <w:rPr>
          <w:rFonts w:ascii="Arial" w:cs="Arial" w:eastAsia="Arial" w:hAnsi="Arial"/>
          <w:sz w:val="16"/>
          <w:szCs w:val="16"/>
          <w:color w:val="auto"/>
        </w:rPr>
        <w:t>The Company’s subsidiaries lease administrative office space under various operating leases. Rent expense amounted to $565,328 and $431,043 for the years ended June 30, 2017 and 2016, respectively.</w:t>
      </w:r>
    </w:p>
    <w:p>
      <w:pPr>
        <w:spacing w:after="0" w:line="4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Rent expense amounted to $310,505 and $244,458 for the periods ended December 31, 2017 and 2016, respectively.</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Twelve months ending December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73"/>
              <w:spacing w:after="0"/>
              <w:rPr>
                <w:sz w:val="20"/>
                <w:szCs w:val="20"/>
                <w:color w:val="auto"/>
              </w:rPr>
            </w:pPr>
            <w:r>
              <w:rPr>
                <w:rFonts w:ascii="Arial" w:cs="Arial" w:eastAsia="Arial" w:hAnsi="Arial"/>
                <w:sz w:val="16"/>
                <w:szCs w:val="16"/>
                <w:b w:val="1"/>
                <w:bCs w:val="1"/>
                <w:color w:val="auto"/>
                <w:w w:val="99"/>
              </w:rPr>
              <w:t>expense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217,397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24"/>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SHAREHOLDERS’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and December 31 2017, 11,290,000 shares were issued at par value, the equivalent to share capital of $1,129 for each of the period ended 2017 and 2016. The shares are presented on a retroactive basis to reflect the nominal share issuance discussed below.</w:t>
      </w:r>
    </w:p>
    <w:p>
      <w:pPr>
        <w:spacing w:after="0" w:line="111"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On November 18, 2017, the Board of Directors (“Board”) approved the 2017 Stock Incentive Plan (“Plan”), subject to approval by the Company’s shareholders. The Plan is a stock-based compensation plan that provides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SHAREHOLDERS’ EQUITY </w:t>
      </w:r>
      <w:r>
        <w:rPr>
          <w:rFonts w:ascii="Arial" w:cs="Arial" w:eastAsia="Arial" w:hAnsi="Arial"/>
          <w:sz w:val="18"/>
          <w:szCs w:val="18"/>
          <w:color w:val="auto"/>
        </w:rPr>
        <w:t>(cont.)</w:t>
      </w:r>
    </w:p>
    <w:p>
      <w:pPr>
        <w:spacing w:after="0" w:line="162" w:lineRule="exact"/>
        <w:rPr>
          <w:sz w:val="20"/>
          <w:szCs w:val="20"/>
          <w:color w:val="auto"/>
        </w:rPr>
      </w:pPr>
    </w:p>
    <w:p>
      <w:pPr>
        <w:ind w:left="460" w:right="599"/>
        <w:spacing w:after="0" w:line="270" w:lineRule="auto"/>
        <w:rPr>
          <w:sz w:val="20"/>
          <w:szCs w:val="20"/>
          <w:color w:val="auto"/>
        </w:rPr>
      </w:pPr>
      <w:r>
        <w:rPr>
          <w:rFonts w:ascii="Arial" w:cs="Arial" w:eastAsia="Arial" w:hAnsi="Arial"/>
          <w:sz w:val="17"/>
          <w:szCs w:val="17"/>
          <w:color w:val="auto"/>
        </w:rPr>
        <w:t>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0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15"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paid-in capital</w:t>
      </w:r>
    </w:p>
    <w:p>
      <w:pPr>
        <w:spacing w:after="0" w:line="162"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As of June 30, 2017 and 2016 and December 31, 2017, additional paid-in capital in the consolidated balance sheet represented the combined contributed capital of the Company’s subsidiaries.</w:t>
      </w:r>
    </w:p>
    <w:p>
      <w:pPr>
        <w:spacing w:after="0" w:line="43" w:lineRule="exact"/>
        <w:rPr>
          <w:sz w:val="20"/>
          <w:szCs w:val="20"/>
          <w:color w:val="auto"/>
        </w:rPr>
      </w:pPr>
    </w:p>
    <w:p>
      <w:pPr>
        <w:ind w:left="460" w:right="619" w:firstLine="432"/>
        <w:spacing w:after="0" w:line="342" w:lineRule="auto"/>
        <w:rPr>
          <w:sz w:val="20"/>
          <w:szCs w:val="20"/>
          <w:color w:val="auto"/>
        </w:rPr>
      </w:pPr>
      <w:r>
        <w:rPr>
          <w:rFonts w:ascii="Arial" w:cs="Arial" w:eastAsia="Arial" w:hAnsi="Arial"/>
          <w:sz w:val="16"/>
          <w:szCs w:val="16"/>
          <w:color w:val="auto"/>
        </w:rPr>
        <w:t>For the year ended June 30, 2016, the Company’s controlling shareholders contributed additional capital in the aggregate of $3,377,813 to CLPS Shanghai, which was included in additional paid-in capital.</w:t>
      </w:r>
    </w:p>
    <w:p>
      <w:pPr>
        <w:spacing w:after="0" w:line="56" w:lineRule="exact"/>
        <w:rPr>
          <w:sz w:val="20"/>
          <w:szCs w:val="20"/>
          <w:color w:val="auto"/>
        </w:rPr>
      </w:pPr>
    </w:p>
    <w:p>
      <w:pPr>
        <w:ind w:left="460" w:right="599" w:firstLine="432"/>
        <w:spacing w:after="0" w:line="264" w:lineRule="auto"/>
        <w:rPr>
          <w:sz w:val="20"/>
          <w:szCs w:val="20"/>
          <w:color w:val="auto"/>
        </w:rPr>
      </w:pPr>
      <w:r>
        <w:rPr>
          <w:rFonts w:ascii="Arial" w:cs="Arial" w:eastAsia="Arial" w:hAnsi="Arial"/>
          <w:sz w:val="18"/>
          <w:szCs w:val="18"/>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14" w:lineRule="exact"/>
        <w:rPr>
          <w:sz w:val="20"/>
          <w:szCs w:val="20"/>
          <w:color w:val="auto"/>
        </w:rPr>
      </w:pPr>
    </w:p>
    <w:p>
      <w:pPr>
        <w:jc w:val="both"/>
        <w:ind w:left="460" w:right="599" w:firstLine="432"/>
        <w:spacing w:after="0" w:line="264"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00"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Statutory reserve</w:t>
      </w:r>
    </w:p>
    <w:p>
      <w:pPr>
        <w:spacing w:after="0" w:line="162" w:lineRule="exact"/>
        <w:rPr>
          <w:sz w:val="20"/>
          <w:szCs w:val="20"/>
          <w:color w:val="auto"/>
        </w:rPr>
      </w:pPr>
    </w:p>
    <w:p>
      <w:pPr>
        <w:ind w:left="460" w:right="559" w:firstLine="432"/>
        <w:spacing w:after="0" w:line="264"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SHAREHOLDERS’ EQUITY </w:t>
      </w:r>
      <w:r>
        <w:rPr>
          <w:rFonts w:ascii="Arial" w:cs="Arial" w:eastAsia="Arial" w:hAnsi="Arial"/>
          <w:sz w:val="18"/>
          <w:szCs w:val="18"/>
          <w:color w:val="auto"/>
        </w:rPr>
        <w:t>(cont.)</w:t>
      </w:r>
    </w:p>
    <w:p>
      <w:pPr>
        <w:spacing w:after="0" w:line="162" w:lineRule="exact"/>
        <w:rPr>
          <w:sz w:val="20"/>
          <w:szCs w:val="20"/>
          <w:color w:val="auto"/>
        </w:rPr>
      </w:pPr>
    </w:p>
    <w:p>
      <w:pPr>
        <w:ind w:left="460" w:right="699"/>
        <w:spacing w:after="0" w:line="291" w:lineRule="auto"/>
        <w:rPr>
          <w:sz w:val="20"/>
          <w:szCs w:val="20"/>
          <w:color w:val="auto"/>
        </w:rPr>
      </w:pPr>
      <w:r>
        <w:rPr>
          <w:rFonts w:ascii="Arial" w:cs="Arial" w:eastAsia="Arial" w:hAnsi="Arial"/>
          <w:sz w:val="16"/>
          <w:szCs w:val="16"/>
          <w:color w:val="auto"/>
        </w:rPr>
        <w:t>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 The Company allocated $224,882 to statutory reserves during the six months ended December 31, 2017 in accordance with PRC GAAP.</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NON-CONTROLLING INTERESTS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CLPS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CLPS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CLPS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CLPS</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Judge China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JQ</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Beijing</w:t>
            </w:r>
          </w:p>
        </w:tc>
        <w:tc>
          <w:tcPr>
            <w:tcW w:w="1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Shenzhen</w:t>
            </w:r>
          </w:p>
        </w:tc>
        <w:tc>
          <w:tcPr>
            <w:tcW w:w="1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Hong Kong</w:t>
            </w: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July 1, 2015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$ 1,857</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(41,141)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(41,141)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from</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non-controlling</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shareholders</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23"/>
                <w:szCs w:val="23"/>
                <w:color w:val="auto"/>
              </w:rPr>
            </w:pPr>
          </w:p>
        </w:tc>
        <w:tc>
          <w:tcPr>
            <w:tcW w:w="660" w:type="dxa"/>
            <w:vAlign w:val="bottom"/>
            <w:gridSpan w:val="2"/>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vMerge w:val="continue"/>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Repurchase of non-</w:t>
            </w: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controlling interest</w:t>
            </w:r>
            <w:r>
              <w:rPr>
                <w:rFonts w:ascii="Arial" w:cs="Arial" w:eastAsia="Arial" w:hAnsi="Arial"/>
                <w:sz w:val="21"/>
                <w:szCs w:val="21"/>
                <w:color w:val="auto"/>
                <w:vertAlign w:val="superscript"/>
              </w:rPr>
              <w:t>(ii)</w:t>
            </w:r>
          </w:p>
        </w:tc>
        <w:tc>
          <w:tcPr>
            <w:tcW w:w="78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w w:val="95"/>
              </w:rPr>
              <w:t>Foreign currency translation</w:t>
            </w:r>
          </w:p>
        </w:tc>
        <w:tc>
          <w:tcPr>
            <w:tcW w:w="7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780" w:type="dxa"/>
            <w:vAlign w:val="bottom"/>
            <w:tcBorders>
              <w:bottom w:val="single" w:sz="8" w:color="CCEEFF"/>
            </w:tcBorders>
            <w:gridSpan w:val="3"/>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40" w:type="dxa"/>
            <w:vAlign w:val="bottom"/>
            <w:gridSpan w:val="2"/>
          </w:tcPr>
          <w:p>
            <w:pPr>
              <w:spacing w:after="0"/>
              <w:rPr>
                <w:sz w:val="20"/>
                <w:szCs w:val="20"/>
                <w:color w:val="auto"/>
              </w:rPr>
            </w:pPr>
            <w:r>
              <w:rPr>
                <w:rFonts w:ascii="Arial" w:cs="Arial" w:eastAsia="Arial" w:hAnsi="Arial"/>
                <w:sz w:val="16"/>
                <w:szCs w:val="16"/>
                <w:color w:val="auto"/>
                <w:w w:val="94"/>
              </w:rPr>
              <w:t>Balance as of June 30, 2016</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157,775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173,912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Capital contribution from</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12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290,994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86"/>
              </w:rPr>
              <w:t>297,432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shareholders</w:t>
            </w:r>
            <w:r>
              <w:rPr>
                <w:rFonts w:ascii="Arial" w:cs="Arial" w:eastAsia="Arial" w:hAnsi="Arial"/>
                <w:sz w:val="21"/>
                <w:szCs w:val="21"/>
                <w:color w:val="auto"/>
                <w:vertAlign w:val="superscript"/>
              </w:rPr>
              <w:t>(iii)(iv)</w:t>
            </w:r>
          </w:p>
        </w:tc>
        <w:tc>
          <w:tcPr>
            <w:tcW w:w="120" w:type="dxa"/>
            <w:vAlign w:val="bottom"/>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w w:val="95"/>
              </w:rPr>
              <w:t>Foreign currency translation</w:t>
            </w: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940" w:type="dxa"/>
            <w:vAlign w:val="bottom"/>
            <w:gridSpan w:val="2"/>
          </w:tcPr>
          <w:p>
            <w:pPr>
              <w:spacing w:after="0"/>
              <w:rPr>
                <w:sz w:val="20"/>
                <w:szCs w:val="20"/>
                <w:color w:val="auto"/>
              </w:rPr>
            </w:pPr>
            <w:r>
              <w:rPr>
                <w:rFonts w:ascii="Arial" w:cs="Arial" w:eastAsia="Arial" w:hAnsi="Arial"/>
                <w:sz w:val="16"/>
                <w:szCs w:val="16"/>
                <w:color w:val="auto"/>
                <w:w w:val="94"/>
              </w:rPr>
              <w:t>Balance as of June 30, 2017</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(13,648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449,453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477,110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(107,489)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Capital contribution from</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non-controlling</w:t>
            </w:r>
          </w:p>
        </w:tc>
        <w:tc>
          <w:tcPr>
            <w:tcW w:w="12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shareholders</w:t>
            </w:r>
            <w:r>
              <w:rPr>
                <w:rFonts w:ascii="Arial" w:cs="Arial" w:eastAsia="Arial" w:hAnsi="Arial"/>
                <w:sz w:val="21"/>
                <w:szCs w:val="21"/>
                <w:color w:val="auto"/>
                <w:vertAlign w:val="superscript"/>
              </w:rPr>
              <w:t>(v)</w:t>
            </w:r>
          </w:p>
        </w:tc>
        <w:tc>
          <w:tcPr>
            <w:tcW w:w="120" w:type="dxa"/>
            <w:vAlign w:val="bottom"/>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w w:val="95"/>
              </w:rPr>
              <w:t>Foreign currency translation</w:t>
            </w: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vMerge w:val="restart"/>
          </w:tcPr>
          <w:p>
            <w:pPr>
              <w:spacing w:after="0"/>
              <w:rPr>
                <w:sz w:val="20"/>
                <w:szCs w:val="20"/>
                <w:color w:val="auto"/>
              </w:rPr>
            </w:pPr>
            <w:r>
              <w:rPr>
                <w:rFonts w:ascii="Arial" w:cs="Arial" w:eastAsia="Arial" w:hAnsi="Arial"/>
                <w:sz w:val="16"/>
                <w:szCs w:val="16"/>
                <w:color w:val="auto"/>
                <w:w w:val="94"/>
              </w:rPr>
              <w:t>Balance as of December 31,</w:t>
            </w: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(65,660)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(832)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22,674</w:t>
            </w:r>
          </w:p>
        </w:tc>
        <w:tc>
          <w:tcPr>
            <w:tcW w:w="80" w:type="dxa"/>
            <w:vAlign w:val="bottom"/>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519,459</w:t>
            </w:r>
          </w:p>
        </w:tc>
        <w:tc>
          <w:tcPr>
            <w:tcW w:w="30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16,374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86"/>
              </w:rPr>
              <w:t>492,015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6"/>
                <w:szCs w:val="16"/>
                <w:color w:val="auto"/>
              </w:rPr>
              <w:t>2017 (Unaudited)</w:t>
            </w: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17145</wp:posOffset>
            </wp:positionV>
            <wp:extent cx="37903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90315" cy="26035"/>
                    </a:xfrm>
                    <a:prstGeom prst="rect">
                      <a:avLst/>
                    </a:prstGeom>
                    <a:noFill/>
                  </pic:spPr>
                </pic:pic>
              </a:graphicData>
            </a:graphic>
          </wp:anchor>
        </w:drawing>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900" w:right="799" w:hanging="438"/>
        <w:spacing w:after="0" w:line="264" w:lineRule="auto"/>
        <w:tabs>
          <w:tab w:leader="none" w:pos="891"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the year ended June 30, 2016, the non-controlling shareholder of CLPS Beijing contributed $46,919 to CLPS Beijing.</w:t>
      </w:r>
    </w:p>
    <w:p>
      <w:pPr>
        <w:ind w:left="900" w:right="579" w:hanging="438"/>
        <w:spacing w:after="0" w:line="267" w:lineRule="auto"/>
        <w:tabs>
          <w:tab w:leader="none" w:pos="897" w:val="left"/>
        </w:tabs>
        <w:numPr>
          <w:ilvl w:val="0"/>
          <w:numId w:val="75"/>
        </w:numPr>
        <w:rPr>
          <w:rFonts w:ascii="Arial" w:cs="Arial" w:eastAsia="Arial" w:hAnsi="Arial"/>
          <w:sz w:val="15"/>
          <w:szCs w:val="15"/>
          <w:color w:val="auto"/>
        </w:rPr>
      </w:pPr>
      <w:r>
        <w:rPr>
          <w:rFonts w:ascii="Arial" w:cs="Arial" w:eastAsia="Arial" w:hAnsi="Arial"/>
          <w:sz w:val="15"/>
          <w:szCs w:val="15"/>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pacing w:after="0" w:line="1" w:lineRule="exact"/>
        <w:rPr>
          <w:rFonts w:ascii="Arial" w:cs="Arial" w:eastAsia="Arial" w:hAnsi="Arial"/>
          <w:sz w:val="15"/>
          <w:szCs w:val="15"/>
          <w:color w:val="auto"/>
        </w:rPr>
      </w:pPr>
    </w:p>
    <w:p>
      <w:pPr>
        <w:ind w:left="900" w:hanging="438"/>
        <w:spacing w:after="0"/>
        <w:tabs>
          <w:tab w:leader="none" w:pos="9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the year ended June 30, 2017, the non-controlling shareholder of CLPS Hong Kong contributed $6,438 as capital.</w:t>
      </w:r>
    </w:p>
    <w:p>
      <w:pPr>
        <w:spacing w:after="0" w:line="28" w:lineRule="exact"/>
        <w:rPr>
          <w:rFonts w:ascii="Arial" w:cs="Arial" w:eastAsia="Arial" w:hAnsi="Arial"/>
          <w:sz w:val="14"/>
          <w:szCs w:val="14"/>
          <w:color w:val="auto"/>
        </w:rPr>
      </w:pPr>
    </w:p>
    <w:p>
      <w:pPr>
        <w:ind w:left="900" w:right="579" w:hanging="438"/>
        <w:spacing w:after="0" w:line="246" w:lineRule="auto"/>
        <w:tabs>
          <w:tab w:leader="none" w:pos="8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November 9, 2016, CLPS Shanghai acquired 60% of Judge China and its 70% owned subsidiary Judge HR from Judge Asia. As a result, the fair value of non-controlling interests was $290,994 (Note 3).</w:t>
      </w:r>
    </w:p>
    <w:p>
      <w:pPr>
        <w:ind w:left="900" w:right="719" w:hanging="438"/>
        <w:spacing w:after="0" w:line="257" w:lineRule="auto"/>
        <w:tabs>
          <w:tab w:leader="none" w:pos="888"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October 17, 2017, the Company acquired 55% of JQ and its 100% owned subsidiary — JL. For the six months ended December 31, 2017, the non-controlling shareholder of JQ contributed $70 to JQ.</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SEGMENT INFORMATION AND REVENUE ANALYSIS</w:t>
      </w:r>
    </w:p>
    <w:p>
      <w:pPr>
        <w:spacing w:after="0" w:line="108"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SEGMENT INFORMATION AND REVENUE ANALYSIS </w:t>
      </w:r>
      <w:r>
        <w:rPr>
          <w:rFonts w:ascii="Arial" w:cs="Arial" w:eastAsia="Arial" w:hAnsi="Arial"/>
          <w:sz w:val="18"/>
          <w:szCs w:val="18"/>
          <w:color w:val="auto"/>
        </w:rPr>
        <w:t>(cont.)</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Company’s operations are primarily based in China, where the Company derives a substantial portion of their revenues. For the year ended June 30, 2017, revenues generated in mainland China, Hong Kong and Australia were $30,822,390, $362,892 and $176,694, respectively. For year ended June 30, 2016, all revenues were generated in mainland China. For the six months ended December 31, 2017, revenues generated in mainland China, Hong Kong, Australia and Taiwan were $21,407,903, $540,837, $138,960 and $112,295, respectively. For six months ended December 31, 2016, revenues generated in mainland China, Hong Kong and Australia were $14,060,682, $231,599 and 31,657 respectively.</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presents revenues by the service lines.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For the years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5"/>
          </w:tcPr>
          <w:p>
            <w:pPr>
              <w:jc w:val="right"/>
              <w:ind w:right="293"/>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69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w w:val="98"/>
              </w:rPr>
              <w:t>(Unaudited)</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64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6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29,146,470</w:t>
            </w:r>
          </w:p>
        </w:tc>
        <w:tc>
          <w:tcPr>
            <w:tcW w:w="400" w:type="dxa"/>
            <w:vAlign w:val="bottom"/>
            <w:tcBorders>
              <w:bottom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28,015,173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21,632,609</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13,282,841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1,846,423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524,220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760,599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280,498</w:t>
            </w:r>
          </w:p>
        </w:tc>
        <w:tc>
          <w:tcPr>
            <w:tcW w:w="0" w:type="dxa"/>
            <w:vAlign w:val="bottom"/>
          </w:tcPr>
          <w:p>
            <w:pPr>
              <w:spacing w:after="0"/>
              <w:rPr>
                <w:sz w:val="1"/>
                <w:szCs w:val="1"/>
                <w:color w:val="auto"/>
              </w:rPr>
            </w:pPr>
          </w:p>
        </w:tc>
      </w:tr>
      <w:tr>
        <w:trPr>
          <w:trHeight w:val="224"/>
        </w:trPr>
        <w:tc>
          <w:tcPr>
            <w:tcW w:w="2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31,361,976</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29,024,178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22,199,995</w:t>
            </w:r>
          </w:p>
        </w:tc>
        <w:tc>
          <w:tcPr>
            <w:tcW w:w="1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14,323,938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18 — SUBSEQUENT EVENTS</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On January 10, 2018, the Company contributed capital of $92,370 in Tianjin Huanyu Qinshang network technology Co., Ltd (“Huan Yu”).</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On February 6, 2018, the Company contributed capital of $1,592 in CLPS Shenzhen. On March 1, 2018, the Company injected additional capital of $7,866 in CLPS Shenzhen.</w:t>
      </w:r>
    </w:p>
    <w:p>
      <w:pPr>
        <w:spacing w:after="0" w:line="103" w:lineRule="exact"/>
        <w:rPr>
          <w:sz w:val="20"/>
          <w:szCs w:val="20"/>
          <w:color w:val="auto"/>
        </w:rPr>
      </w:pPr>
    </w:p>
    <w:p>
      <w:pPr>
        <w:jc w:val="both"/>
        <w:ind w:left="460" w:right="719" w:firstLine="432"/>
        <w:spacing w:after="0" w:line="312" w:lineRule="auto"/>
        <w:rPr>
          <w:sz w:val="20"/>
          <w:szCs w:val="20"/>
          <w:color w:val="auto"/>
        </w:rPr>
      </w:pPr>
      <w:r>
        <w:rPr>
          <w:rFonts w:ascii="Arial" w:cs="Arial" w:eastAsia="Arial" w:hAnsi="Arial"/>
          <w:sz w:val="16"/>
          <w:szCs w:val="16"/>
          <w:color w:val="auto"/>
        </w:rPr>
        <w:t>On January 18, 2018, the Company contributed capital of $7,791 in CLPS Guangzhou. On January 25, 2018, the Company contributed capital of $7,913 in CLPS Guangzhou. On February 27, 2018 and March 20, 2018, the Company contributed additional capital in CLPS Guangzhou of $7,915 and $15,798, respectively.</w:t>
      </w:r>
    </w:p>
    <w:p>
      <w:pPr>
        <w:spacing w:after="0" w:line="79" w:lineRule="exact"/>
        <w:rPr>
          <w:sz w:val="20"/>
          <w:szCs w:val="20"/>
          <w:color w:val="auto"/>
        </w:rPr>
      </w:pPr>
    </w:p>
    <w:p>
      <w:pPr>
        <w:jc w:val="both"/>
        <w:ind w:left="460" w:right="739" w:firstLine="432"/>
        <w:spacing w:after="0" w:line="264" w:lineRule="auto"/>
        <w:rPr>
          <w:sz w:val="20"/>
          <w:szCs w:val="20"/>
          <w:color w:val="auto"/>
        </w:rPr>
      </w:pPr>
      <w:r>
        <w:rPr>
          <w:rFonts w:ascii="Arial" w:cs="Arial" w:eastAsia="Arial" w:hAnsi="Arial"/>
          <w:sz w:val="18"/>
          <w:szCs w:val="18"/>
          <w:color w:val="auto"/>
        </w:rPr>
        <w:t>The accompanying consolidated financial statements were approved by management and available for issuance on March 27, 2018. The Company evaluated subsequent events through the date these consolidated financial statements were available for issuance.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2635885</wp:posOffset>
            </wp:positionH>
            <wp:positionV relativeFrom="page">
              <wp:posOffset>603250</wp:posOffset>
            </wp:positionV>
            <wp:extent cx="2289810" cy="1037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22898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CLPS Incorporation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Common Shares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Arial" w:cs="Arial" w:eastAsia="Arial" w:hAnsi="Arial"/>
          <w:sz w:val="25"/>
          <w:szCs w:val="25"/>
          <w:b w:val="1"/>
          <w:bCs w:val="1"/>
          <w:color w:val="auto"/>
        </w:rPr>
        <w:t>_______________</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___________________</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20"/>
        <w:spacing w:after="0"/>
        <w:rPr>
          <w:sz w:val="20"/>
          <w:szCs w:val="20"/>
          <w:color w:val="auto"/>
        </w:rPr>
      </w:pPr>
      <w:r>
        <w:rPr>
          <w:rFonts w:ascii="Arial" w:cs="Arial" w:eastAsia="Arial" w:hAnsi="Arial"/>
          <w:sz w:val="23"/>
          <w:szCs w:val="23"/>
          <w:b w:val="1"/>
          <w:bCs w:val="1"/>
          <w:color w:val="auto"/>
        </w:rPr>
        <w:t>Benchmark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Cuttone &amp; Co., LLC</w:t>
      </w:r>
    </w:p>
    <w:p>
      <w:pPr>
        <w:spacing w:after="0" w:line="68" w:lineRule="exact"/>
        <w:rPr>
          <w:sz w:val="20"/>
          <w:szCs w:val="20"/>
          <w:color w:val="auto"/>
        </w:rPr>
      </w:pPr>
    </w:p>
    <w:p>
      <w:pPr>
        <w:sectPr>
          <w:pgSz w:w="11900" w:h="16838" w:orient="portrait"/>
          <w:cols w:equalWidth="0" w:num="2">
            <w:col w:w="4760" w:space="720"/>
            <w:col w:w="3539"/>
          </w:cols>
          <w:pgMar w:left="1440" w:top="1440" w:right="1440" w:bottom="1440" w:gutter="0" w:footer="0" w:header="0"/>
          <w:type w:val="continuous"/>
        </w:sectPr>
      </w:pPr>
    </w:p>
    <w:p>
      <w:pPr>
        <w:ind w:left="1580"/>
        <w:spacing w:after="0"/>
        <w:rPr>
          <w:sz w:val="20"/>
          <w:szCs w:val="20"/>
          <w:color w:val="auto"/>
        </w:rPr>
      </w:pPr>
      <w:r>
        <w:rPr>
          <w:rFonts w:ascii="Arial" w:cs="Arial" w:eastAsia="Arial" w:hAnsi="Arial"/>
          <w:sz w:val="16"/>
          <w:szCs w:val="16"/>
          <w:i w:val="1"/>
          <w:iCs w:val="1"/>
          <w:color w:val="auto"/>
        </w:rPr>
        <w:t>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Co-Manager</w:t>
      </w:r>
    </w:p>
    <w:p>
      <w:pPr>
        <w:spacing w:after="0" w:line="200" w:lineRule="exact"/>
        <w:rPr>
          <w:sz w:val="20"/>
          <w:szCs w:val="20"/>
          <w:color w:val="auto"/>
        </w:rPr>
      </w:pPr>
    </w:p>
    <w:p>
      <w:pPr>
        <w:sectPr>
          <w:pgSz w:w="11900" w:h="16838" w:orient="portrait"/>
          <w:cols w:equalWidth="0" w:num="2">
            <w:col w:w="5400" w:space="720"/>
            <w:col w:w="2899"/>
          </w:cols>
          <w:pgMar w:left="1440" w:top="1440" w:right="1440" w:bottom="1440" w:gutter="0" w:footer="0" w:header="0"/>
          <w:type w:val="continuous"/>
        </w:sectPr>
      </w:pPr>
    </w:p>
    <w:p>
      <w:pPr>
        <w:spacing w:after="0" w:line="4" w:lineRule="exact"/>
        <w:rPr>
          <w:sz w:val="20"/>
          <w:szCs w:val="20"/>
          <w:color w:val="auto"/>
        </w:rPr>
      </w:pPr>
    </w:p>
    <w:p>
      <w:pPr>
        <w:ind w:left="460" w:right="519"/>
        <w:spacing w:after="0" w:line="281" w:lineRule="auto"/>
        <w:rPr>
          <w:sz w:val="20"/>
          <w:szCs w:val="20"/>
          <w:color w:val="auto"/>
        </w:rPr>
      </w:pPr>
      <w:r>
        <w:rPr>
          <w:rFonts w:ascii="Arial" w:cs="Arial" w:eastAsia="Arial" w:hAnsi="Arial"/>
          <w:sz w:val="17"/>
          <w:szCs w:val="17"/>
          <w:b w:val="1"/>
          <w:bCs w:val="1"/>
          <w:color w:val="auto"/>
        </w:rPr>
        <w:t>Until June 18,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64770</wp:posOffset>
            </wp:positionV>
            <wp:extent cx="514540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107950</wp:posOffset>
            </wp:positionV>
            <wp:extent cx="514540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382270</wp:posOffset>
            </wp:positionV>
            <wp:extent cx="514540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lvl w:ilvl="1">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Roman"/>
      <w:start w:val="2"/>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698"/>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emdash "/>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lowerRoman"/>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lowerLetter"/>
      <w:start w:val="3"/>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emdash "/>
      <w:numFmt w:val="bullet"/>
      <w:start w:val="1"/>
    </w:lvl>
  </w:abstractNum>
  <w:abstractNum w:abstractNumId="70">
    <w:nsid w:val="1EBA5D23"/>
    <w:multiLevelType w:val="hybridMultilevel"/>
    <w:lvl w:ilvl="0">
      <w:lvlJc w:val="left"/>
      <w:lvlText w:val="(%1)"/>
      <w:numFmt w:val="lowerRoman"/>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lowerLetter"/>
      <w:start w:val="2"/>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2019-12-08T17:34:25Z</dcterms:created>
  <dcterms:modified xsi:type="dcterms:W3CDTF">2019-12-08T17:34:25Z</dcterms:modified>
</cp:coreProperties>
</file>