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February 2019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CLPS INCORPORATION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2nd Floor, Building 18, Shanghai Pudong Software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 498 Guoshoujing Road, Pudong, Shanghai,</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201203, 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80"/>
        <w:spacing w:after="0" w:line="207" w:lineRule="exact"/>
        <w:tabs>
          <w:tab w:leader="none" w:pos="60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900"/>
        <w:spacing w:after="0" w:line="207" w:lineRule="exact"/>
        <w:tabs>
          <w:tab w:leader="none" w:pos="60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001-38505.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On February 22, 2019, CLPS Incorporation issued a press release announcing its financial results for the six months ended December 31, 2018, or the first half of the company’s fiscal year 2019. A copy of this press release is filed as Exhibit 99.1 to this report.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March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Raymond Ming Hui Lin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February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CLPS Incorporation Reports Financial Results for the First Half of Fiscal Year 2019</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SHANGHAI, Feb. 22, 2019 /PRNewswire/ -- CLPS Incorporation (the “Company” or “CLPS”) (Nasdaq: CLPS), a leading information technology (“IT”) consulting and solutions service provider focusing on the banking, insurance and financial sectors in China and globally, today announced its financial results for the six months ended December 31, 2018, or the first half of the Company’s fiscal year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Half of Fiscal 2019 Highlights (all results compared to the six months ended December 31, 2017)</w:t>
      </w:r>
    </w:p>
    <w:p>
      <w:pPr>
        <w:spacing w:after="0" w:line="22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increased by 38.7% to $30.8 million from $22.2 million.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Gross profit increased by 25.8% to $11.2 million from $8.9 million.</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loss attributable to CLPS Incorporation’s shareholders of $1.4 million, or $0.10 basic and diluted losses per share, from net income attributable to CLPS Incorporation’s shareholders of $1.3 million, or $0.12 basic and diluted earnings per share.</w:t>
      </w:r>
    </w:p>
    <w:p>
      <w:pPr>
        <w:jc w:val="both"/>
        <w:ind w:left="340" w:right="60" w:hanging="332"/>
        <w:spacing w:after="0" w:line="199" w:lineRule="auto"/>
        <w:tabs>
          <w:tab w:leader="none" w:pos="34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Non-GAAP net income attributable to CLPS Incorporation’s shareholders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increased by 100% to $2.6 million, or $0.19 basic earnings per share and $0.18 diluted earnings per share, from $1.3 million, or $0.12 basic and diluted earnings per share (See </w:t>
      </w:r>
      <w:r>
        <w:rPr>
          <w:rFonts w:ascii="Arial" w:cs="Arial" w:eastAsia="Arial" w:hAnsi="Arial"/>
          <w:sz w:val="18"/>
          <w:szCs w:val="18"/>
          <w:b w:val="1"/>
          <w:bCs w:val="1"/>
          <w:color w:val="auto"/>
        </w:rPr>
        <w:t>Use of Non-GAAP Financial Measures</w:t>
      </w:r>
      <w:r>
        <w:rPr>
          <w:rFonts w:ascii="Arial" w:cs="Arial" w:eastAsia="Arial" w:hAnsi="Arial"/>
          <w:sz w:val="18"/>
          <w:szCs w:val="18"/>
          <w:color w:val="auto"/>
        </w:rPr>
        <w:t xml:space="preserve"> below for a discussion of such measures as used in this press release).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Raymond Lin, Chief Executive Officer of CLPS, commented, “During the first six months of the 2019 fiscal year, we continued to grow our revenue at a double-digit pace thanks to growth in demand from existing and new clients. New clients in particular helped us with our geographic growth, including further expansion in Singapore. As previously announced, our customized IT solution service successfully passed client testing for its blockchain project in Shanghai, and we are on track to delivering per client requirements.”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also expanded our talent development capabilities as we launched CLPS Academy with the vision of establishing it as a Center of Excellence to fulfill the quality and professional IT training needs of our staff, business partners, and potential clients. Furthermore, we expect to open additional training centers overseas to meet employee demand globally. Our CLPS Research Institute remains dedicated to exploring the application of new and emerging technology such as big data, blockchain, distributed financial cloud applications, and robotic process automation, which we have been piloting internally. Our efforts were recently recognized by industry peers at the China Finance Summit in December, where we received the 2018 Fintech Brand Leadership Award.”</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look to the remainder of this fiscal year and beyond, we expect to continue to make longterm investments to support our continued growth. We remain focused on expanding horizontally and vertically, growing our global footprint and market share, and continuing to support our talent and technology development. We intend to continue to drive forward our dual-engine growth strategy and to create long-term sustainable value for our shareholders,” concluded Mr.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8097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21"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Non-GAAP net income attributable to CLPS Incorporation’s shareholders is a non-GAAP financial measure, which is defined as net income attributable to CLPS Incorporation’s shareholders excluding share-based compensation expenses. Please refer to the section titled “Unaudited Reconciliation of Non-GAAP to GAAP Results”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First Half of Fiscal Year 2019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half of fiscal 2019, revenues increased by $8.6 million, or 38.7%, to $30.8 million from $22.2 million in the prior year period. This increase in revenue was mainly due to an increase in revenue from IT consulting services.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IT consulting services increased by $8.2 million, or 38.0%, to $29.8 million and accounted for 96.8% of total revenue in the first half of fiscal 2019 from $21.6 million, or 97.4% of total revenue, in the same period of the previous year. The increase was primarily due to increased demand from existing and new clients. For the six months ended December 31, 2018 and 2017, 50.3% and 46.8% of IT consulting services revenue were from international banks, respectively.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customized IT solution services increased by $0.4 million, or 80.0%, to $0.9 million in the first half of fiscal 2019 from $0.5 million in the same period of the previous year. The increase was also primarily due to growth from existing and new clients. During the first half of fiscal 2019, revenue from other services increased by $0.05 million to $0.1 million from $0.05 million in the same period of the previous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increased by $2.3 million, or 25.8%, to $11.2 million in the first half of fiscal 2019 from $8.9 million in the prior year period. Gross margin decreased to 36.4% in the first half of fiscal 2019 compared to 39.9% in the prior year period. The decrease in gross margin was primarily due to the lower gross margins of new projects.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and marketing expenses decreased by $0.1 million, or 9.1%, to $1.0 million in the first half of fiscal 2019 from $1.1 million in the prior year period due to the decrease of salary expenses caused by the employees’ resignation.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decreased by $0.6 million, or 16.7%, to $3.0 million in the first half of fiscal 2019 from $3.6 million in the prior year period due to the decrease of salary expenses. Salary expenses of some R&amp;D employees who supported improvement of management system of the Company were recorded as general and administrative expenses.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General and administrative expenses increased by $6.1 million, or 196.8%, to $9.2 million in the first half of fiscal 2019 from $3.1 million in the prior year period. The increase was primarily due to an addition of $4.0 million non-cash share-based compensation expenses related to the grants under the 2017 Equity</w:t>
      </w:r>
    </w:p>
    <w:p>
      <w:pPr>
        <w:jc w:val="both"/>
        <w:spacing w:after="0" w:line="224" w:lineRule="auto"/>
        <w:rPr>
          <w:sz w:val="20"/>
          <w:szCs w:val="20"/>
          <w:color w:val="auto"/>
        </w:rPr>
      </w:pPr>
      <w:r>
        <w:rPr>
          <w:rFonts w:ascii="Arial" w:cs="Arial" w:eastAsia="Arial" w:hAnsi="Arial"/>
          <w:sz w:val="18"/>
          <w:szCs w:val="18"/>
          <w:color w:val="auto"/>
        </w:rPr>
        <w:t>Incentive Plan. After the deduction of non-cash share-based compensation expenses, non-GAAP general and administrative expenses</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increased by $2.1 million, or 67.7%, to $5.2 million in the first half of fiscal 2019 from $3.1 million in the same period of the previous year. The increase in non-GAAP administrative expenses was primarily due to routine expenses incurred after going public and due to a year-over-year increase in salary and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18097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8"/>
        <w:spacing w:after="0" w:line="207" w:lineRule="auto"/>
        <w:tabs>
          <w:tab w:leader="none" w:pos="237"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Non-GAAP general and administrative expenses is a non-GAAP financial measure, which is defined as general and administrative expenses excluding share-based compensation expenses. Please refer to the section titled “Unaudited Reconciliation of Non-GAAP to GAAP Results” for details.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income decreased by $3.1 million to a $2.0 million loss in the first half of fiscal 2019 from an income of $1.1 million in the same period of the previous year. Operating margin was (6.5%) in the first half of fiscal 2019 compared to 4.9% in the prior year period. After the deduction of non-cash share-based compensation expenses, non-GAAP operating income</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increased by $0.9 million, or 81.8%, to $2.0 million in the first half of fiscal 2019 from $1.1</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million in the same period of the previous year. Non-GAAP operating margin</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increased to 6.5% in the first half of fiscal 2019 from 4.9% in the prior year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Subsidies and other income increased to $0.6 million in the first half of fiscal 2019 from $0.4 million in the same period of the previous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 for income tax increased by $0.1 million to $0.2 million in the first half of fiscal 2019 from $0.1 million in the same period of the previous year, mainly due to the increase of current income tax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EPS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income decreased by $3.0 million to a loss of $1.7 million in the first half of fiscal 2019 from an income of $1.3 million in the prior year period. The decrease in net income was due to the increase in non-cash share-based compensation expenses. After the deduction of non-cash share-based compensation</w:t>
      </w:r>
    </w:p>
    <w:p>
      <w:pPr>
        <w:jc w:val="both"/>
        <w:spacing w:after="0" w:line="247" w:lineRule="auto"/>
        <w:rPr>
          <w:sz w:val="20"/>
          <w:szCs w:val="20"/>
          <w:color w:val="auto"/>
        </w:rPr>
      </w:pPr>
      <w:r>
        <w:rPr>
          <w:rFonts w:ascii="Arial" w:cs="Arial" w:eastAsia="Arial" w:hAnsi="Arial"/>
          <w:sz w:val="16"/>
          <w:szCs w:val="16"/>
          <w:color w:val="auto"/>
        </w:rPr>
        <w:t>expenses, non-GAAP net income</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increased by $1.0 million, or 76.9%, to $2.3 million in the first half of fiscal 2019 from $1.3 million in the same period of the previous year. After the deduction of non-controlling interests, net loss attributable to CLPS Incorporation’s shareholders in the first half of fiscal 2019 was $1.4 million, or $(0.10) per basic and diluted share. After excluding the impact of non-cash share-based compensation expenses, non-GAAP net income</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attributable to CLPS Incorporation’s shareholders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in the first half of fiscal 2019 was $2.6 million, or $0.19 per basic share and $0.18 per diluted share. This is compared to net income attributable to CLPS Incorporation’s shareholders of $1.3 million, or $0.12 per basic and diluted share, in the first half of fiscal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Company had cash and cash equivalents of $5.8 million compared to $9.7 million as of June 30,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operating activities was approximately $3.3 million for the six months ended December 31, 2018, including net deficit of $1.7 million, adjusted for non-cash items of $4.1 million and positive adjustments for changes in operating assets and liabilities of $0.9 million. Non-cash items include the share-based compensation reserves of $4.0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18097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8"/>
        <w:spacing w:after="0" w:line="226" w:lineRule="auto"/>
        <w:tabs>
          <w:tab w:leader="none" w:pos="212" w:val="left"/>
        </w:tabs>
        <w:numPr>
          <w:ilvl w:val="0"/>
          <w:numId w:val="3"/>
        </w:numPr>
        <w:rPr>
          <w:rFonts w:ascii="Arial" w:cs="Arial" w:eastAsia="Arial" w:hAnsi="Arial"/>
          <w:sz w:val="27"/>
          <w:szCs w:val="27"/>
          <w:color w:val="auto"/>
          <w:vertAlign w:val="superscript"/>
        </w:rPr>
      </w:pPr>
      <w:r>
        <w:rPr>
          <w:rFonts w:ascii="Arial" w:cs="Arial" w:eastAsia="Arial" w:hAnsi="Arial"/>
          <w:sz w:val="17"/>
          <w:szCs w:val="17"/>
          <w:color w:val="auto"/>
        </w:rPr>
        <w:t>Non-GAAP net income attributable to CLPS Incorporation’s shareholders is a non-GAAP financial measure, which is defined as net income attributable to CLPS Incorporation’s shareholders excluding share-based compensation expenses. Please refer to the section titled “Unaudited Reconciliation of Non-GAAP to GAAP Results” for details.</w:t>
      </w:r>
    </w:p>
    <w:p>
      <w:pPr>
        <w:spacing w:after="0" w:line="28" w:lineRule="exact"/>
        <w:rPr>
          <w:sz w:val="20"/>
          <w:szCs w:val="20"/>
          <w:color w:val="auto"/>
        </w:rPr>
      </w:pPr>
    </w:p>
    <w:p>
      <w:pPr>
        <w:ind w:right="20" w:firstLine="8"/>
        <w:spacing w:after="0" w:line="194" w:lineRule="auto"/>
        <w:tabs>
          <w:tab w:leader="none" w:pos="239"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Non-GAAP operating income is a non-GAAP financial measure, which is defined as operating income excluding share-based compensation expenses. Please refer to the section titled “Unaudited Reconciliation of Non-GAAP to GAAP Results” for details.</w:t>
      </w:r>
    </w:p>
    <w:p>
      <w:pPr>
        <w:spacing w:after="0" w:line="26" w:lineRule="exact"/>
        <w:rPr>
          <w:rFonts w:ascii="Arial" w:cs="Arial" w:eastAsia="Arial" w:hAnsi="Arial"/>
          <w:sz w:val="30"/>
          <w:szCs w:val="30"/>
          <w:color w:val="auto"/>
          <w:vertAlign w:val="superscript"/>
        </w:rPr>
      </w:pPr>
    </w:p>
    <w:p>
      <w:pPr>
        <w:ind w:firstLine="8"/>
        <w:spacing w:after="0" w:line="194" w:lineRule="auto"/>
        <w:tabs>
          <w:tab w:leader="none" w:pos="237"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Non-GAAP operating margin is a non-GAAP financial measure, which is defined as non-GAAP operating income as a percentage of revenues. Please refer to the section titled “Unaudited Reconciliation of Non-GAAP to GAAP Results” for details.</w:t>
      </w:r>
    </w:p>
    <w:p>
      <w:pPr>
        <w:spacing w:after="0" w:line="26" w:lineRule="exact"/>
        <w:rPr>
          <w:rFonts w:ascii="Arial" w:cs="Arial" w:eastAsia="Arial" w:hAnsi="Arial"/>
          <w:sz w:val="30"/>
          <w:szCs w:val="30"/>
          <w:color w:val="auto"/>
          <w:vertAlign w:val="superscript"/>
        </w:rPr>
      </w:pPr>
    </w:p>
    <w:p>
      <w:pPr>
        <w:ind w:firstLine="8"/>
        <w:spacing w:after="0" w:line="198" w:lineRule="auto"/>
        <w:tabs>
          <w:tab w:leader="none" w:pos="229"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Non-GAAP net income is a non-GAAP financial measure, which is defined as net income excluding share-based compensation expenses. Please refer to the section titled “Unaudited Reconciliation of Non-GAAP to GAAP Results” for details.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For the six months ended December 31, 2018, net cash used in investing activities was approximately $7.2 million, primarily due to the purchase of short-term investments.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was approximately $606 for the six months ended December 31, 2018. During this period, the Company borrowed bank loans of approximately $2.6 million, repaid loans of approximately $3.3 million, received $1.5 million from over-allotment, paid for purchase of non-controlling interests in subsidiary of $0.6 million and paid $0.2 millionto related 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year 2019, we expect, absent material acquisitions or non-recurring transactions, a total sales growth in the range of approximately 30% to 35%, and a non-GAAP net income growth in the range of approximately 30% to 35%, as compared with the 2018 financial results. The foregoing guidance include estimated 2019 financial results of the InfoGain acquisition, an entity in which we acquired an 80% equity stake in August 2018. In addition, this guidance necessarily assumes no significant adverse price changes during fiscal year 2019.</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forecast reflects our current and preliminary views, which are subject to change and are subject to risks and uncertainties, including, but not limited to, potential accounting adjustments attributable to InfoGain acquisition as well as various risks and uncertainties facing our business and operations as identified in our public filings.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hold a conference call at 8:30 am ET on Feb. 22, 2019, to discuss first half of fiscal year 2019 results. Listeners may access the call by dialing: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U.S. Toll-Free:</w:t>
            </w:r>
          </w:p>
        </w:tc>
        <w:tc>
          <w:tcPr>
            <w:tcW w:w="1800" w:type="dxa"/>
            <w:vAlign w:val="bottom"/>
          </w:tcPr>
          <w:p>
            <w:pPr>
              <w:ind w:left="540"/>
              <w:spacing w:after="0"/>
              <w:rPr>
                <w:sz w:val="20"/>
                <w:szCs w:val="20"/>
                <w:color w:val="auto"/>
              </w:rPr>
            </w:pPr>
            <w:r>
              <w:rPr>
                <w:rFonts w:ascii="Arial" w:cs="Arial" w:eastAsia="Arial" w:hAnsi="Arial"/>
                <w:sz w:val="18"/>
                <w:szCs w:val="18"/>
                <w:color w:val="auto"/>
                <w:w w:val="89"/>
              </w:rPr>
              <w:t>+1-888-220-8474</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U.S. Local/International:</w:t>
            </w:r>
          </w:p>
        </w:tc>
        <w:tc>
          <w:tcPr>
            <w:tcW w:w="1800" w:type="dxa"/>
            <w:vAlign w:val="bottom"/>
          </w:tcPr>
          <w:p>
            <w:pPr>
              <w:ind w:left="540"/>
              <w:spacing w:after="0"/>
              <w:rPr>
                <w:sz w:val="20"/>
                <w:szCs w:val="20"/>
                <w:color w:val="auto"/>
              </w:rPr>
            </w:pPr>
            <w:r>
              <w:rPr>
                <w:rFonts w:ascii="Arial" w:cs="Arial" w:eastAsia="Arial" w:hAnsi="Arial"/>
                <w:sz w:val="18"/>
                <w:szCs w:val="18"/>
                <w:color w:val="auto"/>
                <w:w w:val="89"/>
              </w:rPr>
              <w:t>+1-323-794-2590</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China National:</w:t>
            </w:r>
          </w:p>
        </w:tc>
        <w:tc>
          <w:tcPr>
            <w:tcW w:w="1800" w:type="dxa"/>
            <w:vAlign w:val="bottom"/>
          </w:tcPr>
          <w:p>
            <w:pPr>
              <w:ind w:left="540"/>
              <w:spacing w:after="0"/>
              <w:rPr>
                <w:sz w:val="20"/>
                <w:szCs w:val="20"/>
                <w:color w:val="auto"/>
              </w:rPr>
            </w:pPr>
            <w:r>
              <w:rPr>
                <w:rFonts w:ascii="Arial" w:cs="Arial" w:eastAsia="Arial" w:hAnsi="Arial"/>
                <w:sz w:val="18"/>
                <w:szCs w:val="18"/>
                <w:color w:val="auto"/>
              </w:rPr>
              <w:t>400-120-9101</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Hong Kong:</w:t>
            </w:r>
          </w:p>
        </w:tc>
        <w:tc>
          <w:tcPr>
            <w:tcW w:w="1800" w:type="dxa"/>
            <w:vAlign w:val="bottom"/>
          </w:tcPr>
          <w:p>
            <w:pPr>
              <w:ind w:left="540"/>
              <w:spacing w:after="0"/>
              <w:rPr>
                <w:sz w:val="20"/>
                <w:szCs w:val="20"/>
                <w:color w:val="auto"/>
              </w:rPr>
            </w:pPr>
            <w:r>
              <w:rPr>
                <w:rFonts w:ascii="Arial" w:cs="Arial" w:eastAsia="Arial" w:hAnsi="Arial"/>
                <w:sz w:val="18"/>
                <w:szCs w:val="18"/>
                <w:color w:val="auto"/>
              </w:rPr>
              <w:t>800-961-105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webcast will also be available through the Company’s investor relations website at http://ir.clpsglobal.com/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be available through March 1, 2019, by dialing: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U.S. Toll-Free:</w:t>
            </w:r>
          </w:p>
        </w:tc>
        <w:tc>
          <w:tcPr>
            <w:tcW w:w="1840" w:type="dxa"/>
            <w:vAlign w:val="bottom"/>
          </w:tcPr>
          <w:p>
            <w:pPr>
              <w:ind w:left="540"/>
              <w:spacing w:after="0"/>
              <w:rPr>
                <w:sz w:val="20"/>
                <w:szCs w:val="20"/>
                <w:color w:val="auto"/>
              </w:rPr>
            </w:pPr>
            <w:r>
              <w:rPr>
                <w:rFonts w:ascii="Arial" w:cs="Arial" w:eastAsia="Arial" w:hAnsi="Arial"/>
                <w:sz w:val="18"/>
                <w:szCs w:val="18"/>
                <w:color w:val="auto"/>
                <w:w w:val="92"/>
              </w:rPr>
              <w:t>+1-844-512-2921</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U.S. Local/International:</w:t>
            </w:r>
          </w:p>
        </w:tc>
        <w:tc>
          <w:tcPr>
            <w:tcW w:w="1840" w:type="dxa"/>
            <w:vAlign w:val="bottom"/>
          </w:tcPr>
          <w:p>
            <w:pPr>
              <w:ind w:left="540"/>
              <w:spacing w:after="0"/>
              <w:rPr>
                <w:sz w:val="20"/>
                <w:szCs w:val="20"/>
                <w:color w:val="auto"/>
              </w:rPr>
            </w:pPr>
            <w:r>
              <w:rPr>
                <w:rFonts w:ascii="Arial" w:cs="Arial" w:eastAsia="Arial" w:hAnsi="Arial"/>
                <w:sz w:val="18"/>
                <w:szCs w:val="18"/>
                <w:color w:val="auto"/>
                <w:w w:val="89"/>
              </w:rPr>
              <w:t>+ 1-412-317-6671</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Passcode:</w:t>
            </w:r>
          </w:p>
        </w:tc>
        <w:tc>
          <w:tcPr>
            <w:tcW w:w="1840" w:type="dxa"/>
            <w:vAlign w:val="bottom"/>
          </w:tcPr>
          <w:p>
            <w:pPr>
              <w:ind w:left="540"/>
              <w:spacing w:after="0"/>
              <w:rPr>
                <w:sz w:val="20"/>
                <w:szCs w:val="20"/>
                <w:color w:val="auto"/>
              </w:rPr>
            </w:pPr>
            <w:r>
              <w:rPr>
                <w:rFonts w:ascii="Arial" w:cs="Arial" w:eastAsia="Arial" w:hAnsi="Arial"/>
                <w:sz w:val="18"/>
                <w:szCs w:val="18"/>
                <w:color w:val="auto"/>
              </w:rPr>
              <w:t>2787866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balance sheet amounts with the exception of equity as of December 31, 2018 were translated at 6.8755 RMB to 1.00 USD as compared to 6.5063 RMB to 1.00 USD as of December 31, 2017. The equity accounts were stated at their historical rate. The average translation rates applied to the income statements accounts for the periods ended December 31, 2018 and 2017 were 6.8585 RMB to 1.00 USD and 6.6412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About CLPS Incorporation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Headquartered in Shanghai, China, CLPS Incorporation (the “Company”) (Nasdaq: CLPS) is a global leading information technology (“IT”), consulting and solutions service provider focusing on the banking, insurance and financial sectors. The Company serves as an IT solutions provider to a growing network of clients in the global financial industry, including large financial institutions in the US, Europe, Australia and Hong Kong and their PRC-based IT centers. The Company maintains ten delivery and/or research &amp; development centers to serve different customers in various geographic locations. Mainland China centers are located in Shanghai, Beijing, Dalian, Tianjin, Chengdu, Guangzhou and Shenzhen. The remaining three global centers are located in Hong Kong, Singapore and Australia. For further information regarding the Company, please visit: http://ir.clpsglobal.com/.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and involve known and unknown risks, uncertainties and other factors, which may be beyond the Company’s control, and which may cause the actual results, performance, capital, ownership or achievements of the Company to be materially different from future results, performance or achievements expressed or implied by such forward-looking statements. All such statements attributable to us are expressly qualified in their entirety by this cautionary notice, including, without limitation, those risks and uncertainties related to the Company’s financial and operational performance in the first half of 2019, its expectations of the Company’s future performance, its preliminary outlook and guidance offered in this presentation, as well as the risks and uncertainties described in the Company’s most recently filed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unaudited condensed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operating income, non-GAAP operating margin, non-GAAP net income attributable to CLPS Incorporation’s shareholders, and basic and diluted non-GAAP net income per share, which are non-GAAP financial measures. Non-GAAP operating income is operating income excluding share-based compensation expenses. Non-GAAP operating margin is non-GAAP operating income as a percentage of revenues. Non-GAAP net income attributable to CLPS Incorporation’s shareholders is net income attributable to CLPS Incorporation’s shareholders excluding share-based compensation expenses. Basic and diluted non-GAAP net income per share is non-GAAP net income attributable to common shareholders divided by weighted average number of shares used in the calculation of basic and diluted net income per share. The Company believes that separate analysis and exclusion of the non-cash impact of share-based compensation expenses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effect of non-cash share-based compensation expenses,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spacing w:after="0" w:line="302" w:lineRule="auto"/>
        <w:rPr>
          <w:sz w:val="20"/>
          <w:szCs w:val="20"/>
          <w:color w:val="auto"/>
        </w:rPr>
      </w:pPr>
      <w:r>
        <w:rPr>
          <w:rFonts w:ascii="Arial" w:cs="Arial" w:eastAsia="Arial" w:hAnsi="Arial"/>
          <w:sz w:val="16"/>
          <w:szCs w:val="16"/>
          <w:color w:val="auto"/>
        </w:rPr>
        <w:t>The presentation of these non-GAAP financial measures is not intended to be considered in isolation from, or as a substitute for, the financial information prepared and presented in accordance with U.S. GAAP. The Company encourages investors to carefully consider its results under GAAP, as well as its supplemental non-GAAP information and the reconciliation between these presentations, to more fully understand its business. For more information on these non-GAAP financial measures, please see the table captioned “Unaudited Reconciliations of Non-GAAP to GAAP Results” near the end of this release.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Tian van Acken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+86-158-0198-4357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ir@clpsglobal.com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Rose Zu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+646-405-4868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ir@clpsglobal.com</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As of</w:t>
            </w: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(Audited)</w:t>
            </w:r>
          </w:p>
        </w:tc>
        <w:tc>
          <w:tcPr>
            <w:tcW w:w="0" w:type="dxa"/>
            <w:vAlign w:val="bottom"/>
          </w:tcPr>
          <w:p>
            <w:pPr>
              <w:spacing w:after="0"/>
              <w:rPr>
                <w:sz w:val="1"/>
                <w:szCs w:val="1"/>
                <w:color w:val="auto"/>
              </w:rPr>
            </w:pPr>
          </w:p>
        </w:tc>
      </w:tr>
      <w:tr>
        <w:trPr>
          <w:trHeight w:val="202"/>
        </w:trPr>
        <w:tc>
          <w:tcPr>
            <w:tcW w:w="86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5,791,926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9,742,886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5,672,315</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16,542,912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16,267,835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Amount due from underwriter on the over-allotment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1,472,592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1,769,813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1,231,217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Prepaid income tax</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206,361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related parties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186,798</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131,321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29,963,764</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29,052,212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453,703</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333,897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508,054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260,059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436,418</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173,560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Escrow receivable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535,416</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119,372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 – equity method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148,675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142,590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Long-term investment – cost method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151,124</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151,124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464,395</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512,097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600" w:type="dxa"/>
            <w:vAlign w:val="bottom"/>
            <w:vMerge w:val="continue"/>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32,861,549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30,944,911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Short-term bank loans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1,890,772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2,553,989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529,539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1,454,770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Tax payables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919,607</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904,850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113,147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1,000,038</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200,836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benefits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8,140,318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7,341,688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208,342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12,593,421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12,789,555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160"/>
              <w:spacing w:after="0" w:line="201" w:lineRule="exact"/>
              <w:rPr>
                <w:sz w:val="20"/>
                <w:szCs w:val="20"/>
                <w:color w:val="auto"/>
              </w:rPr>
            </w:pPr>
            <w:r>
              <w:rPr>
                <w:rFonts w:ascii="Arial" w:cs="Arial" w:eastAsia="Arial" w:hAnsi="Arial"/>
                <w:sz w:val="18"/>
                <w:szCs w:val="18"/>
                <w:color w:val="auto"/>
                <w:w w:val="90"/>
              </w:rPr>
              <w:t>Common share, $0.0001 par value; 100,000,000 shares authorized; 13,813,821 shares issued and outstanding as of</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rPr>
              <w:t>December 31, 2018 and 13,590,000 shares issued and outstanding as of June 30, 2018*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1,381</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21,299,235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17,285,543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Statutory reserves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1,576,327</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1,118,467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(2,415,109)</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(524,618)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(752,634)</w:t>
            </w:r>
          </w:p>
        </w:tc>
        <w:tc>
          <w:tcPr>
            <w:tcW w:w="14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(401,677)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19,709,200</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17,479,074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Non-controlling Interests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558,928</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676,282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20,268,128</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18,155,356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32,861,549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30,944,911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The shares and per share data are presented on a retroactive basis to reflect the nominal share issuance.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INCOME AND COMPREHENSIVE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5"/>
              </w:rPr>
              <w:t>For the 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(Unaudited)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30,795,748</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22,199,995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Less: Cost of revenues</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(19,625,663)</w:t>
            </w: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(13,341,978)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11,170,085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8,858,017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Selling and marketing</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972,876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1,132,931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3,039,361</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General and administrative (note 1)</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9,161,267</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3,064,232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13,173,504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7,760,151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line="203" w:lineRule="exact"/>
              <w:rPr>
                <w:sz w:val="20"/>
                <w:szCs w:val="20"/>
                <w:color w:val="auto"/>
              </w:rPr>
            </w:pPr>
            <w:r>
              <w:rPr>
                <w:rFonts w:ascii="Arial" w:cs="Arial" w:eastAsia="Arial" w:hAnsi="Arial"/>
                <w:sz w:val="18"/>
                <w:szCs w:val="18"/>
                <w:color w:val="auto"/>
              </w:rPr>
              <w:t>(Loss) income from operations</w:t>
            </w: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(2,003,419)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1,097,866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w:t>
            </w:r>
          </w:p>
        </w:tc>
        <w:tc>
          <w:tcPr>
            <w:tcW w:w="1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623,156</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 expense</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(61,717)</w:t>
            </w: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(13,213)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(Loss) income before income tax</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(1,441,980)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1,451,451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242,898</w:t>
            </w:r>
          </w:p>
        </w:tc>
        <w:tc>
          <w:tcPr>
            <w:tcW w:w="10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126,060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(loss) income</w:t>
            </w:r>
          </w:p>
        </w:tc>
        <w:tc>
          <w:tcPr>
            <w:tcW w:w="1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(1,684,878)</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1,325,391</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3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(252,247)</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CLPS Incorporation’s shareholders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b w:val="1"/>
                <w:bCs w:val="1"/>
                <w:color w:val="auto"/>
              </w:rPr>
              <w:t>(1,432,631</w:t>
            </w:r>
            <w:r>
              <w:rPr>
                <w:rFonts w:ascii="Arial" w:cs="Arial" w:eastAsia="Arial" w:hAnsi="Arial"/>
                <w:sz w:val="29"/>
                <w:szCs w:val="29"/>
                <w:b w:val="1"/>
                <w:bCs w:val="1"/>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1,331,329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(370,384)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Less: foreign currency translation (loss) gain attributable to non-controlling interests</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(19,427)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Other comprehensive (loss) income attributable to CLPS Incorporation’s shareholders</w:t>
            </w:r>
          </w:p>
        </w:tc>
        <w:tc>
          <w:tcPr>
            <w:tcW w:w="13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vMerge w:val="continue"/>
            <w:shd w:val="clear" w:color="auto" w:fill="CCEEFF"/>
          </w:tcPr>
          <w:p>
            <w:pPr>
              <w:spacing w:after="0"/>
              <w:rPr>
                <w:sz w:val="21"/>
                <w:szCs w:val="21"/>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(350,957</w:t>
            </w:r>
          </w:p>
        </w:tc>
        <w:tc>
          <w:tcPr>
            <w:tcW w:w="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 CLPS Incorporation shareholders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(1,783,588)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1,541,780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(271,674)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13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(2,055,262</w:t>
            </w:r>
          </w:p>
        </w:tc>
        <w:tc>
          <w:tcPr>
            <w:tcW w:w="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1,556,615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 (losses) earnings per common share*</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(0.10</w:t>
            </w:r>
            <w:r>
              <w:rPr>
                <w:rFonts w:ascii="Arial" w:cs="Arial" w:eastAsia="Arial" w:hAnsi="Arial"/>
                <w:sz w:val="29"/>
                <w:szCs w:val="29"/>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basic</w:t>
            </w:r>
          </w:p>
        </w:tc>
        <w:tc>
          <w:tcPr>
            <w:tcW w:w="13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13,799,224</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11,290,000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Diluted (losses) earnings per common share</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(0.10</w:t>
            </w:r>
            <w:r>
              <w:rPr>
                <w:rFonts w:ascii="Arial" w:cs="Arial" w:eastAsia="Arial" w:hAnsi="Arial"/>
                <w:sz w:val="29"/>
                <w:szCs w:val="29"/>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diluted (note 2)</w:t>
            </w:r>
          </w:p>
        </w:tc>
        <w:tc>
          <w:tcPr>
            <w:tcW w:w="13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13,799,224</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13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Note:</w:t>
            </w: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50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spacing w:after="0"/>
              <w:rPr>
                <w:sz w:val="20"/>
                <w:szCs w:val="20"/>
                <w:color w:val="auto"/>
              </w:rPr>
            </w:pPr>
            <w:r>
              <w:rPr>
                <w:rFonts w:ascii="Arial" w:cs="Arial" w:eastAsia="Arial" w:hAnsi="Arial"/>
                <w:sz w:val="18"/>
                <w:szCs w:val="18"/>
                <w:color w:val="auto"/>
              </w:rPr>
              <w:t>(1) Includes share-based compensation expenses as follows:</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4,013,714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13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4,013,714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205740" cy="334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740" cy="334645"/>
                    </a:xfrm>
                    <a:prstGeom prst="rect">
                      <a:avLst/>
                    </a:prstGeom>
                    <a:noFill/>
                  </pic:spPr>
                </pic:pic>
              </a:graphicData>
            </a:graphic>
          </wp:anchor>
        </w:drawing>
      </w:r>
    </w:p>
    <w:p>
      <w:pPr>
        <w:spacing w:after="0" w:line="182" w:lineRule="exact"/>
        <w:rPr>
          <w:sz w:val="20"/>
          <w:szCs w:val="20"/>
          <w:color w:val="auto"/>
        </w:rPr>
      </w:pPr>
    </w:p>
    <w:p>
      <w:pPr>
        <w:jc w:val="both"/>
        <w:ind w:left="340" w:hanging="339"/>
        <w:spacing w:after="0" w:line="277" w:lineRule="auto"/>
        <w:tabs>
          <w:tab w:leader="none" w:pos="320" w:val="left"/>
        </w:tabs>
        <w:rPr>
          <w:sz w:val="20"/>
          <w:szCs w:val="20"/>
          <w:color w:val="auto"/>
        </w:rPr>
      </w:pPr>
      <w:r>
        <w:rPr>
          <w:rFonts w:ascii="Arial" w:cs="Arial" w:eastAsia="Arial" w:hAnsi="Arial"/>
          <w:sz w:val="18"/>
          <w:szCs w:val="18"/>
          <w:color w:val="auto"/>
        </w:rPr>
        <w:t>(2)</w:t>
        <w:tab/>
        <w:t>All dilutive potential ordinary shares had anti-dilutive impact and were excluded in computation of diluted earnings per share in the period when loss was reported.</w:t>
      </w:r>
    </w:p>
    <w:p>
      <w:pPr>
        <w:spacing w:after="0" w:line="17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871"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NON-GAAP TO GAAP RESULTS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w w:val="98"/>
              </w:rPr>
              <w:t>For the 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7"/>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9,161,267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3,064,232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Less: share-based compensation expense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4,013,714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general and administrative expense</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5,147,553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3,064,232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(2,003,419)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1,097,866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Add: share-based compensation expense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4,013,714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operating income</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2,010,295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1,097,866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Add: share-based compensation expense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operating margin</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(1,684,878)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1,325,391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Add: share-based compensation expense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4,013,714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net income</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2,328,836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1,325,391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CLPS Incorporation’s shareholders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(1,432,631)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1,331,329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Add: share-based compensation expense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4,013,714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net income attributable to CLPS Incorporation’s shareholders</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2,581,083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1,331,329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number of share outstanding used in computing GAAP and non-GAAP basic earnings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13,799,224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GAAP Basic (losses) earnings per common share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(0.10)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b w:val="1"/>
                <w:bCs w:val="1"/>
                <w:color w:val="auto"/>
              </w:rPr>
              <w:t>Non-GAAP basic earnings per common share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0.19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Weighted average number of share outstanding used in computing GAAP diluted earnings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13,799,224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11,290,000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Add: effect of dilutive securities (note 1)</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158,574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Weighted average number of share outstanding used in computing non-GAAP diluted earnings</w:t>
            </w:r>
          </w:p>
        </w:tc>
        <w:tc>
          <w:tcPr>
            <w:tcW w:w="5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13,957,798</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11,290,000</w:t>
            </w: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GAAP diluted (losses) earnings per common share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(0.10)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b w:val="1"/>
                <w:bCs w:val="1"/>
                <w:color w:val="auto"/>
              </w:rPr>
              <w:t>Non-GAAP diluted earnings per common share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0.18</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25"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dilutive potential ordinary shares had anti-dilutive impact and were excluded in computation of GAAP diluted earnings per share in the period when loss was reported.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2019-12-21T02:14:51Z</dcterms:created>
  <dcterms:modified xsi:type="dcterms:W3CDTF">2019-12-21T02:14:51Z</dcterms:modified>
</cp:coreProperties>
</file>