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678-6k_clpsinc.htm"/>
      <w:bookmarkStart w:id="1" w:name="ksea03046786k_clpsinc"/>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w:t>
      </w:r>
      <w:r>
        <w:rPr>
          <w:rFonts w:ascii="Times New Roman;Times;Serif" w:hAnsi="Times New Roman;Times;Serif"/>
          <w:b w:val="false"/>
          <w:i w:val="false"/>
          <w:caps w:val="false"/>
          <w:smallCaps w:val="false"/>
          <w:sz w:val="20"/>
        </w:rPr>
        <w:t>TO </w:t>
      </w:r>
      <w:r>
        <w:rPr>
          <w:rFonts w:ascii="Times New Roman;Times;Serif" w:hAnsi="Times New Roman;Times;Serif"/>
          <w:b/>
          <w:i w:val="false"/>
          <w:caps w:val="false"/>
          <w:smallCaps w:val="false"/>
          <w:sz w:val="20"/>
        </w:rPr>
        <w:t>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001-38505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Unit 1000, 10th Floor, Millennium City III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 Kwun Tong Road, Kwun Tong, Kowloon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(852) 37073600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CLPS Inc. (the “Company”) issued a press release announcing that it received a written notice from The Nasdaq Stock Market LLC (“Nasdaq”) dated September 3, 2026, indicating that the Company’s closing bid price for its common shares has been at $1.00 per share or greater for the last 10 consecutive business days, which is in compliance with Nasdaq Listing Rule 5450(a)(1). A copy of this press release is filed as Exhibit 99.1 to this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395"/>
        <w:gridCol w:w="60"/>
        <w:gridCol w:w="111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both"/>
              <w:rPr/>
            </w:pPr>
            <w:hyperlink w:anchor="ea030467801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36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590"/>
        <w:gridCol w:w="2240"/>
      </w:tblGrid>
      <w:tr>
        <w:trPr/>
        <w:tc>
          <w:tcPr>
            <w:tcW w:w="75" w:type="dxa"/>
            <w:tcBorders/>
            <w:vAlign w:val="center"/>
          </w:tcPr>
          <w:p>
            <w:pPr>
              <w:pStyle w:val="TableContents"/>
              <w:bidi w:val="0"/>
              <w:spacing w:before="0" w:after="283"/>
              <w:jc w:val="left"/>
              <w:rPr/>
            </w:pPr>
            <w:r>
              <w:rPr/>
              <w:t> </w:t>
            </w:r>
          </w:p>
        </w:tc>
        <w:tc>
          <w:tcPr>
            <w:tcW w:w="28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CLPS Incorporation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Raymond Ming Hui Lin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Ming Hui Lin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467801ex99-1.htm"/>
      <w:bookmarkStart w:id="3" w:name="ksea030467801ex991"/>
      <w:bookmarkEnd w:id="2"/>
      <w:bookmarkEnd w:id="3"/>
      <w:r>
        <w:rPr>
          <w:rFonts w:ascii="Times New Roman;Times;Serif" w:hAnsi="Times New Roman;Times;Serif"/>
          <w:b/>
          <w:i w:val="false"/>
          <w:caps w:val="false"/>
          <w:smallCaps w:val="false"/>
          <w:sz w:val="20"/>
        </w:rPr>
        <w:t>Exhibit 99.1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CLPS Incorporation Regains Compliance with Nasdaq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Sep. 4, 2026 / PRNewswire / — CLPS Incorporation (the “Company” or “CLPS”) (Nasdaq: CLPS) today announced that it has received a written notice (“Notification”) from the Nasdaq Stock Market LLC (“Nasdaq”) informing that the Company has regained compliance with the Nasdaq’s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Notification, the minimum bid price of the Company’s common share was $1.00 per share or greater for the last 10 consecutive trading days from August 20 through September 2, 2026. As a result, CLPS has regained full compliance with Nasdaq’s Listing Rule 5450(a)(1), and the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CLPS Incorporation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 (NASDAQ: CLPS), established in 2005 and headquartered in Hong Kong, is at the forefront of driving digital transformation and optimizing operational efficiency across industries through innovations in artificial intelligence, cloud computing, and big data. Our diverse business lines span sectors including fintech, payment and credit services, e-commerce, education and study abroad programs, and global tourism integrated with transportation services. Operating across 10 countries worldwide, with strategic regional hubs in Shanghai (mainland China), Singapore (Southeast Asia), and California (North America), and supported by subsidiaries in Japan and the UAE, we provide a robust global service network that empowers legacy industries evolve into data-driven, intelligent ecosystems. For further information regarding the Company, please visit: </w:t>
      </w:r>
      <w:r>
        <w:rPr>
          <w:rFonts w:ascii="Times New Roman;Times;Serif" w:hAnsi="Times New Roman;Times;Serif"/>
          <w:b/>
          <w:i w:val="false"/>
          <w:caps w:val="false"/>
          <w:smallCaps w:val="false"/>
          <w:sz w:val="20"/>
        </w:rPr>
        <w:t>https://ir.clpsglobal.com/</w:t>
      </w:r>
      <w:r>
        <w:rPr>
          <w:rFonts w:ascii="Times New Roman;Times;Serif" w:hAnsi="Times New Roman;Times;Serif"/>
          <w:b w:val="false"/>
          <w:i w:val="false"/>
          <w:caps w:val="false"/>
          <w:smallCaps w:val="false"/>
          <w:sz w:val="20"/>
        </w:rPr>
        <w:t>, or follow CLPS on </w:t>
      </w:r>
      <w:r>
        <w:rPr>
          <w:rFonts w:ascii="Times New Roman;Times;Serif" w:hAnsi="Times New Roman;Times;Serif"/>
          <w:b/>
          <w:i w:val="false"/>
          <w:caps w:val="false"/>
          <w:smallCaps w:val="false"/>
          <w:sz w:val="20"/>
        </w:rPr>
        <w:t>Facebook</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Instagram</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Known and unknown risks, uncertainties and other factors, which may be beyond the Company’s control, may cause the actual results and performance of the Company to be materially different from such forward-looking statements. All such statements attributable to us are expressly qualified in their entirety by this cautionary notice, including, without limitation, those risks and uncertainties related to the Company’s expectations of the Company’s future growth, deployment in the AI technology sector, performance and results of operations, the Company’s ability to capitalize on various commercial, M&amp;A, technology and other related opportunities and initiatives,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CLPS Incorporation</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 Galicha</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Office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+86-182-2192-5378</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ir@clpsglobal.com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721</Words>
  <Characters>4187</Characters>
  <CharactersWithSpaces>4917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