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31, 2021</w:t>
      </w:r>
    </w:p>
    <w:p>
      <w:pPr>
        <w:spacing w:after="0" w:line="27" w:lineRule="exact"/>
        <w:rPr>
          <w:sz w:val="24"/>
          <w:szCs w:val="24"/>
          <w:color w:val="auto"/>
        </w:rPr>
      </w:pPr>
    </w:p>
    <w:p>
      <w:pPr>
        <w:ind w:left="940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F-3</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CLPS Incorporation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Unit 1102, 11th Floor, Millennium City III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370 Kwun Tong Road, Kwun Tong, Kowloon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Corporation Service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927-9800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Mitchell Nussbaum, Esq.</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Andrei Sirabionian,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Zhang,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407-4000</w:t>
      </w: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the effective date of this registration statement.</w:t>
      </w:r>
    </w:p>
    <w:p>
      <w:pPr>
        <w:spacing w:after="0" w:line="2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2"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8"/>
        <w:spacing w:after="0" w:line="277" w:lineRule="auto"/>
        <w:tabs>
          <w:tab w:leader="none" w:pos="16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61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4740" w:type="dxa"/>
            <w:vAlign w:val="bottom"/>
            <w:gridSpan w:val="7"/>
          </w:tcPr>
          <w:p>
            <w:pPr>
              <w:jc w:val="right"/>
              <w:ind w:right="1065"/>
              <w:spacing w:after="0"/>
              <w:rPr>
                <w:sz w:val="20"/>
                <w:szCs w:val="20"/>
                <w:color w:val="auto"/>
              </w:rPr>
            </w:pPr>
            <w:r>
              <w:rPr>
                <w:rFonts w:ascii="Arial" w:cs="Arial" w:eastAsia="Arial" w:hAnsi="Arial"/>
                <w:sz w:val="18"/>
                <w:szCs w:val="18"/>
                <w:b w:val="1"/>
                <w:bCs w:val="1"/>
                <w:color w:val="auto"/>
              </w:rPr>
              <w:t>CALCULATION OF REGISTRATION FEE</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4"/>
                <w:szCs w:val="24"/>
                <w:color w:val="auto"/>
              </w:rPr>
            </w:pPr>
          </w:p>
        </w:tc>
        <w:tc>
          <w:tcPr>
            <w:tcW w:w="1240" w:type="dxa"/>
            <w:vAlign w:val="bottom"/>
            <w:gridSpan w:val="2"/>
          </w:tcPr>
          <w:p>
            <w:pPr>
              <w:jc w:val="center"/>
              <w:ind w:right="305"/>
              <w:spacing w:after="0"/>
              <w:rPr>
                <w:sz w:val="20"/>
                <w:szCs w:val="20"/>
                <w:color w:val="auto"/>
              </w:rPr>
            </w:pPr>
            <w:r>
              <w:rPr>
                <w:rFonts w:ascii="Arial" w:cs="Arial" w:eastAsia="Arial" w:hAnsi="Arial"/>
                <w:sz w:val="18"/>
                <w:szCs w:val="18"/>
                <w:b w:val="1"/>
                <w:bCs w:val="1"/>
                <w:color w:val="auto"/>
                <w:w w:val="84"/>
              </w:rPr>
              <w:t>Proposed</w:t>
            </w:r>
          </w:p>
        </w:tc>
        <w:tc>
          <w:tcPr>
            <w:tcW w:w="8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5"/>
              <w:spacing w:after="0" w:line="181" w:lineRule="exact"/>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15"/>
                <w:szCs w:val="15"/>
                <w:color w:val="auto"/>
              </w:rPr>
            </w:pPr>
          </w:p>
        </w:tc>
        <w:tc>
          <w:tcPr>
            <w:tcW w:w="12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85"/>
              <w:spacing w:after="0" w:line="181" w:lineRule="exact"/>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being</w:t>
            </w:r>
          </w:p>
        </w:tc>
        <w:tc>
          <w:tcPr>
            <w:tcW w:w="1360" w:type="dxa"/>
            <w:vAlign w:val="bottom"/>
            <w:gridSpan w:val="3"/>
          </w:tcPr>
          <w:p>
            <w:pPr>
              <w:jc w:val="center"/>
              <w:ind w:right="185"/>
              <w:spacing w:after="0"/>
              <w:rPr>
                <w:sz w:val="20"/>
                <w:szCs w:val="20"/>
                <w:color w:val="auto"/>
              </w:rPr>
            </w:pPr>
            <w:r>
              <w:rPr>
                <w:rFonts w:ascii="Arial" w:cs="Arial" w:eastAsia="Arial" w:hAnsi="Arial"/>
                <w:sz w:val="18"/>
                <w:szCs w:val="18"/>
                <w:b w:val="1"/>
                <w:bCs w:val="1"/>
                <w:color w:val="auto"/>
                <w:w w:val="92"/>
              </w:rPr>
              <w:t>Offering Price</w:t>
            </w:r>
          </w:p>
        </w:tc>
        <w:tc>
          <w:tcPr>
            <w:tcW w:w="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c>
          <w:tcPr>
            <w:tcW w:w="1340" w:type="dxa"/>
            <w:vAlign w:val="bottom"/>
            <w:gridSpan w:val="3"/>
          </w:tcPr>
          <w:p>
            <w:pPr>
              <w:jc w:val="center"/>
              <w:ind w:right="145"/>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0"/>
                <w:szCs w:val="20"/>
                <w:color w:val="auto"/>
              </w:rPr>
            </w:pPr>
            <w:r>
              <w:rPr>
                <w:rFonts w:ascii="Arial" w:cs="Arial" w:eastAsia="Arial" w:hAnsi="Arial"/>
                <w:sz w:val="18"/>
                <w:szCs w:val="18"/>
                <w:b w:val="1"/>
                <w:bCs w:val="1"/>
                <w:color w:val="auto"/>
                <w:w w:val="91"/>
              </w:rPr>
              <w:t>Title of each Class of Security being Registered</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3"/>
              </w:rPr>
              <w:t>Registered</w:t>
            </w:r>
            <w:r>
              <w:rPr>
                <w:rFonts w:ascii="Arial" w:cs="Arial" w:eastAsia="Arial" w:hAnsi="Arial"/>
                <w:sz w:val="29"/>
                <w:szCs w:val="29"/>
                <w:b w:val="1"/>
                <w:bCs w:val="1"/>
                <w:color w:val="auto"/>
                <w:w w:val="83"/>
                <w:vertAlign w:val="superscript"/>
              </w:rPr>
              <w:t>(1)</w:t>
            </w:r>
          </w:p>
        </w:tc>
        <w:tc>
          <w:tcPr>
            <w:tcW w:w="220" w:type="dxa"/>
            <w:vAlign w:val="bottom"/>
          </w:tcPr>
          <w:p>
            <w:pPr>
              <w:spacing w:after="0"/>
              <w:rPr>
                <w:sz w:val="23"/>
                <w:szCs w:val="23"/>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Per Security</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Offering Price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ind w:right="265"/>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27"/>
        </w:trPr>
        <w:tc>
          <w:tcPr>
            <w:tcW w:w="376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87"/>
              </w:rPr>
              <w:t>(3)</w:t>
            </w:r>
          </w:p>
        </w:tc>
        <w:tc>
          <w:tcPr>
            <w:tcW w:w="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6"/>
              </w:rPr>
              <w:t>(4)</w:t>
            </w:r>
          </w:p>
        </w:tc>
        <w:tc>
          <w:tcPr>
            <w:tcW w:w="0" w:type="dxa"/>
            <w:vAlign w:val="bottom"/>
          </w:tcPr>
          <w:p>
            <w:pPr>
              <w:spacing w:after="0" w:line="20" w:lineRule="exact"/>
              <w:rPr>
                <w:sz w:val="1"/>
                <w:szCs w:val="1"/>
                <w:color w:val="auto"/>
              </w:rPr>
            </w:pPr>
          </w:p>
        </w:tc>
      </w:tr>
      <w:tr>
        <w:trPr>
          <w:trHeight w:val="270"/>
        </w:trPr>
        <w:tc>
          <w:tcPr>
            <w:tcW w:w="37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w w:val="95"/>
              </w:rPr>
              <w:t xml:space="preserve">Common Share, $0.0001 par value per share </w:t>
            </w:r>
            <w:r>
              <w:rPr>
                <w:rFonts w:ascii="Arial" w:cs="Arial" w:eastAsia="Arial" w:hAnsi="Arial"/>
                <w:sz w:val="29"/>
                <w:szCs w:val="29"/>
                <w:color w:val="auto"/>
                <w:w w:val="95"/>
                <w:vertAlign w:val="superscript"/>
              </w:rPr>
              <w:t>(2)</w:t>
            </w: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2,666,666</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  15,999,996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1,745.60</w:t>
            </w:r>
          </w:p>
        </w:tc>
        <w:tc>
          <w:tcPr>
            <w:tcW w:w="22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57" w:lineRule="exact"/>
        <w:rPr>
          <w:sz w:val="20"/>
          <w:szCs w:val="20"/>
          <w:color w:val="auto"/>
        </w:rPr>
      </w:pPr>
    </w:p>
    <w:p>
      <w:pPr>
        <w:ind w:left="34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416 of the Securities Act of 1933, as amended (the “Securities Act”), the securities being registered hereunder also include such presently indeterminate number of shares of the registrant’s Common Share as a result of stock splits, stock dividends or similar transactions.</w:t>
      </w:r>
    </w:p>
    <w:p>
      <w:pPr>
        <w:spacing w:after="0" w:line="150"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registering for resale by the Selling Shareholders named herein 2,666,666 common shares issuable upon the exercise of certain warrants issued on March 3, 2021 to the Selling Shareholders, each of whom is an accredited investor, in a private placement pursuant to a Securities Purchase Agreement dated as of February 28, 2021 by and among the registrant and the purchasers named therein.</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457(g) under the Securities Act and is based on the exercise price of the warrants pursuant to which such shares are issuable.</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Paid herewith.</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FF0000"/>
        </w:rPr>
        <w:t>The information in this prospectus is not complete and may be changed. The selling shareholders may not sell these securities publicly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FF0000"/>
        </w:rPr>
        <w:t>PRELIMINARY 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291465</wp:posOffset>
            </wp:positionV>
            <wp:extent cx="1543050"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0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2,666,666 Common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Shareholders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prospectus relates to the resale of up to 2,666,666 shares of US$0.0001 par value each (the “common shares”), of CLPS Incorporation, an exempted company incorporated in the Cayman Islands (the “Company”), that may be sold from time to time by the selling shareholders named in this prospectus (the “Selling Shareholder”).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common shares offered under this prospectus consist of an aggregate of 2,666,666 common shares issuable upon the exercise of outstanding warrants that were issued to the Selling Shareholders in March 2021 in a private placement (the “Warrants”).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not receive any proceeds from the sale of any of the common shares by the Selling Shareholder. However, if the holders of Warrants exercise their Warrants for cash, we would receive an aggregate of $15,999,996 upon such exercise.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shares are traded on the Nasdaq Global Market under the symbol “CLPS.” On March 30, 2021, the closing price of our common shares on the Nasdaq Global Market was $4.97.</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You should carefully consider the risk factors beginning on page 7 of this prospectus before purchasing common shares.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3920"/>
              <w:spacing w:after="0"/>
              <w:rPr>
                <w:sz w:val="20"/>
                <w:szCs w:val="20"/>
                <w:color w:val="auto"/>
              </w:rPr>
            </w:pPr>
            <w:r>
              <w:rPr>
                <w:rFonts w:ascii="Arial" w:cs="Arial" w:eastAsia="Arial" w:hAnsi="Arial"/>
                <w:sz w:val="18"/>
                <w:szCs w:val="18"/>
                <w:color w:val="auto"/>
              </w:rPr>
              <w:t>The date of this prospectus is</w:t>
            </w:r>
          </w:p>
        </w:tc>
        <w:tc>
          <w:tcPr>
            <w:tcW w:w="4820" w:type="dxa"/>
            <w:vAlign w:val="bottom"/>
          </w:tcPr>
          <w:p>
            <w:pPr>
              <w:jc w:val="right"/>
              <w:ind w:right="3870"/>
              <w:spacing w:after="0"/>
              <w:rPr>
                <w:sz w:val="20"/>
                <w:szCs w:val="20"/>
                <w:color w:val="auto"/>
              </w:rPr>
            </w:pPr>
            <w:r>
              <w:rPr>
                <w:rFonts w:ascii="Arial" w:cs="Arial" w:eastAsia="Arial" w:hAnsi="Arial"/>
                <w:sz w:val="18"/>
                <w:szCs w:val="18"/>
                <w:color w:val="auto"/>
              </w:rPr>
              <w:t>, 2021</w:t>
            </w:r>
          </w:p>
        </w:tc>
      </w:tr>
      <w:tr>
        <w:trPr>
          <w:trHeight w:val="547"/>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340" w:type="dxa"/>
            <w:vAlign w:val="bottom"/>
            <w:gridSpan w:val="5"/>
          </w:tcPr>
          <w:p>
            <w:pPr>
              <w:ind w:left="38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6380" w:type="dxa"/>
            <w:vAlign w:val="bottom"/>
            <w:tcBorders>
              <w:bottom w:val="single" w:sz="8" w:color="CCEEFF"/>
            </w:tcBorders>
            <w:gridSpan w:val="10"/>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ind w:left="2080"/>
              <w:spacing w:after="0" w:line="176" w:lineRule="exact"/>
              <w:rPr>
                <w:sz w:val="20"/>
                <w:szCs w:val="20"/>
                <w:color w:val="auto"/>
              </w:rPr>
            </w:pPr>
            <w:r>
              <w:rPr>
                <w:rFonts w:ascii="Arial" w:cs="Arial" w:eastAsia="Arial" w:hAnsi="Arial"/>
                <w:sz w:val="18"/>
                <w:szCs w:val="18"/>
                <w:color w:val="auto"/>
              </w:rPr>
              <w:t>ii</w:t>
            </w:r>
          </w:p>
        </w:tc>
      </w:tr>
      <w:tr>
        <w:trPr>
          <w:trHeight w:val="175"/>
        </w:trPr>
        <w:tc>
          <w:tcPr>
            <w:tcW w:w="8620" w:type="dxa"/>
            <w:vAlign w:val="bottom"/>
            <w:gridSpan w:val="2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2620" w:type="dxa"/>
            <w:vAlign w:val="bottom"/>
          </w:tcPr>
          <w:p>
            <w:pPr>
              <w:jc w:val="center"/>
              <w:ind w:left="153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OUR COMPANY</w:t>
              </w:r>
            </w:hyperlink>
          </w:p>
        </w:tc>
        <w:tc>
          <w:tcPr>
            <w:tcW w:w="7300" w:type="dxa"/>
            <w:vAlign w:val="bottom"/>
            <w:tcBorders>
              <w:bottom w:val="single" w:sz="8" w:color="CCEEFF"/>
            </w:tcBorders>
            <w:gridSpan w:val="16"/>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2</w:t>
            </w:r>
          </w:p>
        </w:tc>
      </w:tr>
      <w:tr>
        <w:trPr>
          <w:trHeight w:val="176"/>
        </w:trPr>
        <w:tc>
          <w:tcPr>
            <w:tcW w:w="8620" w:type="dxa"/>
            <w:vAlign w:val="bottom"/>
            <w:gridSpan w:val="21"/>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2620" w:type="dxa"/>
            <w:vAlign w:val="bottom"/>
          </w:tcPr>
          <w:p>
            <w:pPr>
              <w:jc w:val="center"/>
              <w:ind w:left="1530"/>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RISK FACTORS</w:t>
              </w:r>
            </w:hyperlink>
          </w:p>
        </w:tc>
        <w:tc>
          <w:tcPr>
            <w:tcW w:w="7360" w:type="dxa"/>
            <w:vAlign w:val="bottom"/>
            <w:tcBorders>
              <w:bottom w:val="single" w:sz="8" w:color="CCEEFF"/>
            </w:tcBorders>
            <w:gridSpan w:val="1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7</w:t>
            </w:r>
          </w:p>
        </w:tc>
      </w:tr>
      <w:tr>
        <w:trPr>
          <w:trHeight w:val="175"/>
        </w:trPr>
        <w:tc>
          <w:tcPr>
            <w:tcW w:w="8620" w:type="dxa"/>
            <w:vAlign w:val="bottom"/>
            <w:gridSpan w:val="21"/>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CAUTIONARY STATEMENT REGARDING FORWARD-LOOKING STATEMENTS</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1"/>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ENFORCEABILITY OF CIVIL LIABILITIES</w:t>
              </w:r>
            </w:hyperlink>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34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5200" w:type="dxa"/>
            <w:vAlign w:val="bottom"/>
            <w:tcBorders>
              <w:top w:val="single" w:sz="8" w:color="CCEEFF"/>
            </w:tcBorders>
            <w:gridSpan w:val="7"/>
          </w:tcPr>
          <w:p>
            <w:pPr>
              <w:spacing w:after="0"/>
              <w:rPr>
                <w:sz w:val="15"/>
                <w:szCs w:val="15"/>
                <w:color w:val="auto"/>
              </w:rPr>
            </w:pPr>
          </w:p>
        </w:tc>
        <w:tc>
          <w:tcPr>
            <w:tcW w:w="2620" w:type="dxa"/>
            <w:vAlign w:val="bottom"/>
            <w:tcBorders>
              <w:top w:val="single" w:sz="8" w:color="CCEEFF"/>
            </w:tcBorders>
          </w:tcPr>
          <w:p>
            <w:pPr>
              <w:jc w:val="center"/>
              <w:ind w:left="1530"/>
              <w:spacing w:after="0" w:line="176" w:lineRule="exact"/>
              <w:rPr>
                <w:sz w:val="20"/>
                <w:szCs w:val="20"/>
                <w:color w:val="auto"/>
              </w:rPr>
            </w:pPr>
            <w:r>
              <w:rPr>
                <w:rFonts w:ascii="Arial" w:cs="Arial" w:eastAsia="Arial" w:hAnsi="Arial"/>
                <w:sz w:val="18"/>
                <w:szCs w:val="18"/>
                <w:color w:val="auto"/>
                <w:w w:val="79"/>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DESCRIPTION OF SECURITIES</w:t>
              </w:r>
            </w:hyperlink>
          </w:p>
        </w:tc>
        <w:tc>
          <w:tcPr>
            <w:tcW w:w="6100" w:type="dxa"/>
            <w:vAlign w:val="bottom"/>
            <w:tcBorders>
              <w:bottom w:val="single" w:sz="8" w:color="CCEEFF"/>
            </w:tcBorders>
            <w:gridSpan w:val="9"/>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11</w:t>
            </w:r>
          </w:p>
        </w:tc>
      </w:tr>
      <w:tr>
        <w:trPr>
          <w:trHeight w:val="176"/>
        </w:trPr>
        <w:tc>
          <w:tcPr>
            <w:tcW w:w="8620" w:type="dxa"/>
            <w:vAlign w:val="bottom"/>
            <w:gridSpan w:val="21"/>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CERTAIN CAYMAN ISLANDS COMPANY CONSIDERATIONS</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SELLING SHAREHOLDERS</w:t>
              </w:r>
            </w:hyperlink>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16</w:t>
            </w:r>
          </w:p>
        </w:tc>
      </w:tr>
      <w:tr>
        <w:trPr>
          <w:trHeight w:val="175"/>
        </w:trPr>
        <w:tc>
          <w:tcPr>
            <w:tcW w:w="222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CAPITALIZATION</w:t>
              </w:r>
            </w:hyperlink>
          </w:p>
        </w:tc>
        <w:tc>
          <w:tcPr>
            <w:tcW w:w="6400" w:type="dxa"/>
            <w:vAlign w:val="bottom"/>
            <w:tcBorders>
              <w:top w:val="single" w:sz="8" w:color="CCEEFF"/>
            </w:tcBorders>
            <w:gridSpan w:val="11"/>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PLAN OF DISTRIBUTION</w:t>
              </w:r>
            </w:hyperlink>
          </w:p>
        </w:tc>
        <w:tc>
          <w:tcPr>
            <w:tcW w:w="6560" w:type="dxa"/>
            <w:vAlign w:val="bottom"/>
            <w:tcBorders>
              <w:bottom w:val="single" w:sz="8" w:color="CCEEFF"/>
            </w:tcBorders>
            <w:gridSpan w:val="1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20</w:t>
            </w:r>
          </w:p>
        </w:tc>
      </w:tr>
      <w:tr>
        <w:trPr>
          <w:trHeight w:val="176"/>
        </w:trPr>
        <w:tc>
          <w:tcPr>
            <w:tcW w:w="8620" w:type="dxa"/>
            <w:vAlign w:val="bottom"/>
            <w:gridSpan w:val="21"/>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MARCH 2021 PRIVATE PLACEMENT TRANSACTION</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CERTAIN INCOME TAX CONSIDERATIONS</w:t>
              </w:r>
            </w:hyperlink>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22</w:t>
            </w:r>
          </w:p>
        </w:tc>
      </w:tr>
      <w:tr>
        <w:trPr>
          <w:trHeight w:val="176"/>
        </w:trPr>
        <w:tc>
          <w:tcPr>
            <w:tcW w:w="35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ENFORCEMENT OF CIVIL LIABILITIES</w:t>
              </w:r>
            </w:hyperlink>
          </w:p>
        </w:tc>
        <w:tc>
          <w:tcPr>
            <w:tcW w:w="5120" w:type="dxa"/>
            <w:vAlign w:val="bottom"/>
            <w:tcBorders>
              <w:top w:val="single" w:sz="8" w:color="CCEEFF"/>
            </w:tcBorders>
            <w:gridSpan w:val="6"/>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EXPENSES</w:t>
              </w:r>
            </w:hyperlink>
          </w:p>
        </w:tc>
        <w:tc>
          <w:tcPr>
            <w:tcW w:w="7720" w:type="dxa"/>
            <w:vAlign w:val="bottom"/>
            <w:tcBorders>
              <w:bottom w:val="single" w:sz="8" w:color="CCEEFF"/>
            </w:tcBorders>
            <w:gridSpan w:val="19"/>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22</w:t>
            </w:r>
          </w:p>
        </w:tc>
      </w:tr>
      <w:tr>
        <w:trPr>
          <w:trHeight w:val="175"/>
        </w:trPr>
        <w:tc>
          <w:tcPr>
            <w:tcW w:w="8620" w:type="dxa"/>
            <w:vAlign w:val="bottom"/>
            <w:gridSpan w:val="21"/>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EXPERTS</w:t>
              </w:r>
            </w:hyperlink>
          </w:p>
        </w:tc>
        <w:tc>
          <w:tcPr>
            <w:tcW w:w="7840" w:type="dxa"/>
            <w:vAlign w:val="bottom"/>
            <w:tcBorders>
              <w:bottom w:val="single" w:sz="8" w:color="CCEEFF"/>
            </w:tcBorders>
            <w:gridSpan w:val="20"/>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8620" w:type="dxa"/>
            <w:vAlign w:val="bottom"/>
            <w:gridSpan w:val="21"/>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WHERE YOU CAN FIND ADDITIONAL INFORMATION ABOUT US</w:t>
              </w:r>
            </w:hyperlink>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1"/>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DOCUMENTS BY REFERENCE</w:t>
              </w:r>
            </w:hyperlink>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permitted under the rules of the U.S. Securities and Exchange Commission, or the SEC, this prospectus incorporates important information about us that is contained in documents that we have previously filed with the SEC but that are not included in or delivered with this prospectus. You may obtain copies of these documents, without charge, from the website maintained by the SEC at www.sec.gov, as well as other sources. You may also obtain copies of the incorporated documents, without charge, upon written or oral request to CLPS Incorporation, c/o Unit 1102, 11th Floor, Millennium City III 370 Kwun Tong Road, Kwun Tong, Kowloon, Hong Kong SAR. Our telephone number is (852) 37073600. See “Where You Can Find Additional Information.”</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should rely only on the information contained and incorporated by reference into this prospectus and in any free writing prospectus that we authorize to be distributed to you. We have not, and the Selling Shareholders have not, authorized anyone to provide you with additional or different information or to make representations other than those contained in this prospectus. If anyone provides you with different or inconsistent information, you should not rely on it. This document may only be used where it is legal to sell these securities. You should assume that the information contained in this prospectus is accurate only as of the date of this prospectus.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obtained certain statistical data, market data and other industry data and forecasts used or incorporated by reference into this prospectus from publicly available information. While we believe that the statistical data, industry data, forecasts and market research are reliable, we have not independently verified the data, and we do not make any representation as to the accuracy of the information.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2472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247269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summary, because it is a summary, may not contain all the information that may be important to you. This prospectus incorporates important business and financial information about our company that is not included in, or delivered with this prospectus. Before making an investment, you should read the entire prospectus carefully. You should also carefully read the risks of investing discussed under “Risk Factors” and the financial statements included in our other filings with the Securities and Exchange Commission, or SEC, including in our Annual Report on Form 20-F for the year ended June 30, 2020, which we filed with the SEC on October 22, 2020. This information is incorporated by reference into this prospectus, and you can obtain it from the SEC as described below under the headings “Where You Can Find Additional Information About Us” and “Incorporation of Certain Documents by Reference.”</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us at the following address: c/o Unit 1102, 11th Floor, Millennium City III, 370 Kwun Tong Road, Kwun Tong, Kowloon, Hong Kong SAR, Attention: Secretary. For purposes of this prospectus, references to the terms “CLPS,” the “Company,” “we,” “us,” and “our” refer to CLPS Incorporation, collectively with its subsidiaries,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7547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7547610"/>
                    </a:xfrm>
                    <a:prstGeom prst="rect">
                      <a:avLst/>
                    </a:prstGeom>
                    <a:noFill/>
                  </pic:spPr>
                </pic:pic>
              </a:graphicData>
            </a:graphic>
          </wp:anchor>
        </w:drawing>
        <w:t>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10 years, we have served as an IT solutions provider to a growing network of clients in the global financial industry, including large financial institutions in the US, Europe, Australia, Southeast Asia, and Hong Kong and their PRC-based IT centers.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CLPS Incorporation was incorporated under the laws of the Cayman Islands on May 11, 2017. 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to provide digital transformation services with focus on financial and technology in the banking, wealth management, e-commerce, and automotive industries, among others, through the utilization of innovative technology to achieve our client’s goals. We maintain 18 delivery and/or R&amp;D centers, of which ten are located in Mainland China (Shanghai, Beijing, Dalian, Tianjin, Baoding Chengdu, Guangzhou, Shenzhen, Hangzhou, and Suzhou) and eight are located globally (Hong Kong SAR, USA, UK,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19, 2021 we relocated our principal executive office to Unit 1102, 11th Floor, Millennium City III, 370 Kwun Tong Road, Kwun Tong, Kowloon, Hong Kong SAR from Unit 702,7th Floor, Millennium City II, 378 Kwun Tong Road, Kwun Tong, Kowloon, Hong Kong SAR. Our telephone number is +852 3707-3600. Our website is as follows www.clpsglobal.com.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Providing professional IT consulting and solutions for the banking industry is one of the traditional competitive advantages of CLPS. With more than 15 years of experience in helping leading global banks to implement banking systems, CLPS is committed to innovating and optimizing traditional banking system by utilizing cutting-edge financial technology to enable institutions to embrace banking.</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CLPS has formed strategic partnerships with several global financial MNCs to provide banking IT services, help leading global banks to implement banking system and to enable them to test and enhance multiple functions such as loans, saving, deposit, general ledger, account management, anti-money-laundering, risk control and credit card system. Whether traditional or online banking, CLPS has a wide array of business modules at its disposal.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Card Area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 We offer more than 10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 Our highly experienced team possesses the requisite expertise in providing service in the credit card area. The IT consulting professional teams provide service in the credit card area from Shanghai, Dalian and Hong Kong. We offer this experience and expertise in various currencies, across different geographical regions, including, but not limited to China, Singapore, UK, the Philippines, Indonesia, and Latin America. In addition, we have developed a series of credit card solutions in order to meet the needs of our clients better.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242" w:right="45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998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998970"/>
                    </a:xfrm>
                    <a:prstGeom prst="rect">
                      <a:avLst/>
                    </a:prstGeom>
                    <a:noFill/>
                  </pic:spPr>
                </pic:pic>
              </a:graphicData>
            </a:graphic>
          </wp:anchor>
        </w:drawing>
        <w:t>Core Banking Area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10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integrated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this registration statement, “wealth management” refers to the segments of financial industry except commercial banking, including but not limited to investment banking, funds, insurance, securities, futures, clearing, consumer financing, online financing, and supply chain financing. CLPS has an in-depth industry knowledge and solutions in the field of wealth management and constantly develops and innovates according to the needs of clients.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past years, we have successfully developed and managed a variety of IT systems for Chinese and global clients, including the development of asset management system, core insurance system, pension system for well-known international investment bank, large international insurance group, and leading asset management corporation. We also provided development, operation, and maintenance for data analysis and business management systems of China’s national financial information platform, China’s national clearing house, stock exchanges, and several large securities firms in China. In addition, we have developed mobile terminal for multiple comprehensive financial service providers and consumer finance platforms both in China and globally.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By constantly improving our capabilities, we have gradually extended our main service offerings from banking and financial institutions to e-Commerce industry. We have rapidly developed and accumulated certain skills in online platforms, cross-border e-commerce, logistics, and back-end technology such as big data analysis, and intelligent decision-making among others. In the past years, we have successfully provided IT system development delivery for domestic and international clients, including a global online trading project for a top US e-Commerce company. We have also developed the global terminal, payment, and risk control system for a well-known online ticketing website. In addition, CLPS has developed the website and product market data analysis for a leading and international travel e-commerce platform, and the e-Commerce platform for a large investment holding group in China.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the extensive experience of CLPS in the IT services application in the financial and e-commerce industries, and our innovative implementation of cutting-edge technology such as big data, artificial intelligence and robotic process automation (RPA), we have also extended our business to automotive industry.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is a high demand for intelligent technology application in the automobile industry in recent years. Aside from providing internal management system development for several international automobile enterprises, we also become deeply involved in the development of autonomous driving, automatic control, and other AI-driven technology projects with several major clients. This includes the development of a new-energy vehicle intelligent platform for a large automotive group company in China and a car’s multimedia software for a Chinese automotive information system company. Moreover, we also provide development of internet auto finance platform for several Chinese enterprises.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246"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587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Consulting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from consulting services are recognized from time-and-expense basis contracts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provide consulting services to our clients in the banking, wealth management, e-commerce, and automotive industries, among others.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integrating based on customers’ specific needs which require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CLPS provides customized solution services to our clients in the banking, wealth management, e-commerce, and automotive industries, among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CLPS Virtual Banking Platform (CLB)</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CLB is a unique and successful training platform for IT talents owned by CLPS. For more than ten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Recruitment and Headhunting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per client’s request, we are capable of providing the most suitable person for a position. The Company maintains more than 100 talent acquisition staff with rich industry background and knowledge. Our recruitment centers are well equipped with advanced technology, such as cloud platforms, big data, and robotic process automation (RPA), to accelerate the talent acquisition process. As a result, CLPS obtains qualified talent, reduce talent acquisition costs, meet the growing demands of talent from its existing and potential clients, and achieve meaningful growth.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Fee-For-Service Training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fee-for-service training, we incur charges for clients based on their training needs. Generally, it includes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However, the training content and approach can be customized based on the client’s training needs.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more detailed description of our products see our Annual Report for the year ended June 30,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246"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4530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4530090"/>
                    </a:xfrm>
                    <a:prstGeom prst="rect">
                      <a:avLst/>
                    </a:prstGeom>
                    <a:noFill/>
                  </pic:spPr>
                </pic:pic>
              </a:graphicData>
            </a:graphic>
          </wp:anchor>
        </w:drawing>
        <w:t>Competition</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 have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 us with a competitive advantage in serving our clients.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that resource management and planning are critically important to supporting our growth, and we are committed to effectively recruiting, training, developing and retaining our human capital. Our total number of employees has grown from 2,085 employees in fiscal year ending June 30, 2019 to 2,746 employees as of June 30, 2020. Approximately 66.5%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 None of our employees are represented by a labor union or collective bargaining agreements. We consider our employee relations to be good. We believe that attracting and retaining highly experienced associates and sales and marketing personnel are a key to our success. In addition, we believe that we maintain a good working relationship with our employees, and we have not experienced any significant labor disputes or any difficulty in recruiting staff for our operations.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242" w:right="459" w:bottom="1440" w:gutter="0" w:footer="0" w:header="0"/>
        </w:sectPr>
      </w:pPr>
    </w:p>
    <w:bookmarkStart w:id="10" w:name="page11"/>
    <w:bookmarkEnd w:id="10"/>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outstanding</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Common Shares offered by the Selling Shareholders</w:t>
      </w:r>
    </w:p>
    <w:p>
      <w:pPr>
        <w:spacing w:after="0" w:line="162"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Common Shares to be outstanding immediately after the offering, assuming full exercise for cash of the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Symbol</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-331470</wp:posOffset>
            </wp:positionV>
            <wp:extent cx="7127875" cy="395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39560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19,168,609 common shares (as of March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2,666,666 common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21,835,275 common shares(1)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not receive any of the proceeds from the sale of the shares by the Selling Shareholders. See “Use of Proceeds” on page 11 of this prospectus. However, if all of the Warrants are exercised for cash, we would receive an aggregate of $15,999,996.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and Trust Company, LLC</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Investment in our securities involves a high degree of risk. See Risk Factors” on page 7 of this registration statement and under similar sections in the documents we incorporate by reference into this prospectus for a discussion of factors you should consider carefully before making an investment decision.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“CLPS”</w:t>
      </w:r>
    </w:p>
    <w:p>
      <w:pPr>
        <w:spacing w:after="0" w:line="200" w:lineRule="exact"/>
        <w:rPr>
          <w:sz w:val="20"/>
          <w:szCs w:val="20"/>
          <w:color w:val="auto"/>
        </w:rPr>
      </w:pPr>
    </w:p>
    <w:p>
      <w:pPr>
        <w:sectPr>
          <w:pgSz w:w="11900" w:h="16838" w:orient="portrait"/>
          <w:cols w:equalWidth="0" w:num="2">
            <w:col w:w="2960" w:space="360"/>
            <w:col w:w="7680"/>
          </w:cols>
          <w:pgMar w:left="440" w:top="1242" w:right="459" w:bottom="1440" w:gutter="0" w:footer="0" w:header="0"/>
        </w:sectPr>
      </w:pPr>
    </w:p>
    <w:p>
      <w:pPr>
        <w:spacing w:after="0" w:line="201"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common shares to be outstanding after this offering is based on 19,168,609 common shares outstanding as of March 25, 2021.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8"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242" w:right="45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Investing in our securities involves risk. Before making an investment decision, you should carefully consider the risks described under “Item 1A. Risk Factors” in our most recent Annual Report on Form 20-F together with all of the other information appearing in or incorporated by reference into this prospectus, in light of your particular investment objectives and financial circumstances. Our business, financial condition or results of operations could be materially adversely affected by any of these risks. The trading price of our securities could decline due to any of these risks, and you may lose all or part of your investment.</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financial condition and results of operations may be materially adversely affected by global health epidemics, including the recent COVID-19 outbreak.</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2019, the 2019 novel coronavirus (COVID-19) surfaced in Wuhan, China. The World Health Organization declared a global emergency on January 30, 2020 with respect to the outbreak and then characterized it as a global pandemic on March 11, 2020. The outbreak has spread throughout Europe and the Middle East, and there have been many cases of COVID-19 in Canada and the United States, causing companies and various international jurisdictions to impose restrictions, such as quarantines, closures, cancellations and travel restrictions. While these effects are expected to be temporary, the duration of the business disruptions internationally and related financial impact cannot be reasonably estimated at this time. Similarly, we cannot estimate whether or to what extent this outbreak and potential financial impact may extend to countries outside of those currently impacted. At this point, the extent to which the coronavirus may impact our results is uncertain; however, it is possible that our consolidated results in 2021 may be negatively impacted by this event. The impacts of the outbreak are unknown and rapidly evolving.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by the Selling Shareholders of the Warrant Shares could adversely affect the trading price of our common shares.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registering for resale of 2,666,666 common shares to be issued upon exercise of the Warrants pursuant to this registration statement, which is approximately 13.9% of our issued and outstanding common shares. Consequently, the resale of all or a substantial portion of the common shares in the public market, or the perception that these sales might occur, could cause the market price of our common shares to decrease and may make it difficult for us to sell our equity securities in the future at a time and upon terms we deem appropriate.</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issue additional common shares or other equity securities without shareholder approval, which would dilute our existing shareholders’ ownership interests and may depress the market price of our common shares.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issue additional common shares or other equity securities of equal or senior rank in the future without shareholder approval in connection with, among other things, business acquisitions, the repayment of outstanding indebtedness, and the conversion of convertible financial instruments (if 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issuance of additional common shares or other equity securities of equal or senior rank in these situations would have the following effects:</w:t>
      </w:r>
    </w:p>
    <w:p>
      <w:pPr>
        <w:spacing w:after="0" w:line="24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existing shareholders’ proportionate ownership interest in us will decrease;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of cash available for dividends payable on our common shares will decrease on a pro rata basis;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will be diminished;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shares may decline, and we could be forced to delist our shares from Nasdaq.</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color w:val="auto"/>
        </w:rPr>
        <w:t>In addition, we may be obligated to issue 2,666,666 common shares upon the exercise of the currently outstanding warrants which will expire in September 2026 at an exercise price of $6.00 per share.</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issuance of additional common shares upon the exercise of such warrants would cause the proportionate ownership interest in us of our existing shareholders, to decrease; the relative voting strength of each previously outstanding common shares held by our existing shareholders to decrease; and, depending on our share price when and if these warrants or notes are exercised, may result in dilution to our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shares, whether by us or our shareholders, could cause our stock price to decline.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our existing shareholders sell, or indicate an intent to sell, substantial amounts of our common shares in the public market, the trading price of our common shares could decline significantly. Similarly, the perception in the public market that our shareholders might sell shares of our common shares could also depress the market price of our common shares. A decline in the price of our common shares might impede our ability to raise capital through the issuance of additional common shares or other equity securities. In addition, the issuance and sale by us of additional common shares or securities convertible into or exercisable for common shares, or the perception that we will issue such securities, could reduce the trading price for our common shares as well as make future sales of equity securities by us less attractive or not feasible. The sale of common shares issued upon the exercise of our outstanding options and warrants could further dilute the holdings of our then existing shareholders.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Resales of our common shares in the public market by the Selling Shareholders as a result of this offering may cause the market price of our common shares to fall.</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a substantial number of our common shares in the public market could occur at any time. The issuance of new common shares could result in resales of our common shares by our current shareholders concerned about the potential ownership dilution of their holdings. In turn, these resales could have the effect of depressing the market price for our common shares.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the market price for our common shares and trading volume could decline.</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for our shares may be volatile.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72" w:lineRule="exact"/>
        <w:rPr>
          <w:sz w:val="20"/>
          <w:szCs w:val="20"/>
          <w:color w:val="auto"/>
        </w:rPr>
      </w:pPr>
    </w:p>
    <w:p>
      <w:pPr>
        <w:ind w:left="5580" w:right="5580" w:hanging="4924"/>
        <w:spacing w:after="0" w:line="572" w:lineRule="auto"/>
        <w:tabs>
          <w:tab w:leader="none" w:pos="981"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regulatory developments affecting us, our users, or our industry;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of studies and reports relating to our service offerings or those of our competitors;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common shares;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public market for the warrants.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established public trading market for the warrants being offered in this offering, and we do not expect a market to develop. In addition, we do not intend to apply for listing of the warrants on any securities exchange or automated quotation system. Without an active market, investors in this offering may be unable to readily sell the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exercise price of the warrants may exceed the market price of our common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warrant has an exercise price of $6.00 per share of our common shares. If the market price of our common shares does not exceed the exercise price of the warrants during the period in which the warrants are exercisable, the warrants may not have any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warrants may be dilutive to holders of our common shares.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ownership interest of the existing holders of our common shares will be diluted to the extent the warrants are exercised. The common shares underlying the warrants represented approximately 13.9% of our common shares outstanding as of March 25, 2021 (assuming the 2,666,666 common shares issuable upon exercise of the warrants).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prospectus, including the documents we have filed with the SEC that are incorporated herein by reference, contains forward-looking statements within the meaning of Section 27A of the Securities Act of 1933, as amended (the “Securities Act”) and Section 21E of the Exchange Act.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“Risk Factors” incorporated by reference in this prospectus and those discussed in Item 7, “Management’s Discussion and Analysis of Financial Condition and Results of Operation,” in our Annual Report on Form 20-F for the fiscal year ended June 30, 2020 and in our future filings made with the SEC. Readers are cautioned not to place undue reliance on any forward-looking statements contained in this prospectus or the documents we have filed with the SEC that are incorporated herein by reference,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 20-F. All subsequent written and oral forward-looking statements attributable to us or persons acting on our behalf are expressly qualified in their entirety by the cautionary statements contained or incorporated by reference in this prospectus, any prospectus supplement or any related issuer free writing prospectus.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 Cayman Islands company and our principal executive offices are located outside the United States. Our directors and officers reside outside the United States. All of our operations are conducted outside the United States, and all of our assets are located outside the United States. A substantial number of our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 the following: (1) the Cayman Islands has a less developed body of securities laws as compared to the United States and these securities laws provide significantly less protection to investors; and (2) Cayman Islands companies may not have standing to sue before the federal courts of the United States. Our constitutional documents do not contain provisions requiring that disputes, including those arising under the securities laws of the United States, between us, our officers, directors and shareholders, be arbitrated.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appointed Corporation Service Company, 251 Little Falls Drive, Wilmington, DE 19808, as our agent upon whom process may be served in any action brought against us under the securities laws of the United States.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receive any proceeds from the sale of common shares by the Selling Shareholders. However, if the holders of Warrants exercise their Warrants for cash, we would receive an aggregate of $15,999,996 upon such exercise.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summary description sets forth some of the general terms and provisions of our common shares. Because this is a summary description, it does not contain all of the information that may be important to you. For a more detailed description of our common shares, you should refer to our Memorandum and Articles of Association in effect at the time of any offering. Copies of our articles of incorporation, as amended, and our bylaws are included as exhibits to the registration statement of which this prospectus forms a part.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25, 2021, our authorized share capital consists of 100,000,000 common shares of $0.0001 par value per share, of which 19,168,609 shares are issued and outstanding.</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authorized and unissued common shares are available for issuance without further action by our shareholders, unless such action is required by applicable law or the rules of the Nasdaq Global Market, or any stock exchange on which our securities may be listed at such time. Unless approval of our shareholders is so required, our board of directors will not seek shareholders’ approval for the issuance and sale of our common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All of our outstanding common shares are fully paid and non-assessable. Certificates representing the common shares are issued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holders of our common shares are entitled to such dividends as may be declared by our board of directors. Our articles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association provide that our board of directors may declare and pay dividends if justified by our financial position and permitted by law.</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In respect of all matters subject to a shareholders’ vote, each common share is entitled to one vote. Voting at any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 transfer all or any of his or her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 time make calls upon shareholders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amounts unpaid on their common shares in a notice served to such shareholders at least 14 clear days prior to the specified time of payment. The common shares that have been called upon and remain unpaid are subject to forfeiture.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Redemption of Common Shares. </w:t>
      </w:r>
      <w:r>
        <w:rPr>
          <w:rFonts w:ascii="Arial" w:cs="Arial" w:eastAsia="Arial" w:hAnsi="Arial"/>
          <w:sz w:val="16"/>
          <w:szCs w:val="16"/>
          <w:color w:val="auto"/>
        </w:rPr>
        <w:t>The Companies Act (Revised) of the Cayman Islands and our memorandum of association permit us to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own shares. In accordance 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Act have been satisfied, including out of capital, as may be determined by our board of directors.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common shares have no general right under our articles of association to inspect or obtain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copies of our list of shareholders or our corporate records. However, we will provide our shareholders with annual audited financial statements. See “Where You Can Find Additional Information.”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common shares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our board of directors shall determine, to the extent of available authorized but unissued shares. Our memorandum and articles of association also authorizes our board of directors to establish from time to time one or more series of preference shares and to determine, with respect to any series of preference shares, the terms and rights of that series, including:</w:t>
      </w:r>
    </w:p>
    <w:p>
      <w:pPr>
        <w:spacing w:after="0" w:line="18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shares are listed on Nasdaq Global Market under the symbol “CLPS.”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shares is Continental Stock Transfer &amp; Trust Company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CERTAIN CAYMAN ISLANDS COMPANY CONSIDERATIONS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corporate affairs are governed by our memorandum of association (the “Memorandum”) and articles of incorporation (the “Articles”) and the Companies Act (Revised) of the Cayman Islands (“CICL”) provisions. There have been few court cases interpreting the CICL in the Cayman Islands, and we cannot predict whether Cayman Islands courts would reach the same conclusions as Delaware or other courts in the United States. Accordingly, you may have more difficulty in protecting your interests under Cayman Islands law in the face of actions by our management, directors or controlling shareholders than would shareholders of a corporation incorporated in a U.S. jurisdiction that has developed a substantial body of case law. Furthermore, the Cayman Islands do not have an equivalent to the Chapter 11 process in the United States, and in the event of any bankruptcy, insolvency, liquidation, dissolution, reorganization or similar proceeding involving the Company, the bankruptcy laws of the United States or of another country having jurisdiction over the Company may not apply. The following table provides a comparison between certain statutory provisions of the CICL and the Delaware General Corporation Law relating to shareholders’ rights.</w:t>
      </w:r>
    </w:p>
    <w:p>
      <w:pPr>
        <w:spacing w:after="0" w:line="177" w:lineRule="exact"/>
        <w:rPr>
          <w:sz w:val="20"/>
          <w:szCs w:val="20"/>
          <w:color w:val="auto"/>
        </w:rPr>
      </w:pPr>
    </w:p>
    <w:p>
      <w:pPr>
        <w:ind w:left="2140"/>
        <w:spacing w:after="0"/>
        <w:tabs>
          <w:tab w:leader="none" w:pos="8100" w:val="left"/>
        </w:tabs>
        <w:rPr>
          <w:sz w:val="20"/>
          <w:szCs w:val="20"/>
          <w:color w:val="auto"/>
        </w:rPr>
      </w:pPr>
      <w:r>
        <w:rPr>
          <w:rFonts w:ascii="Arial" w:cs="Arial" w:eastAsia="Arial" w:hAnsi="Arial"/>
          <w:sz w:val="18"/>
          <w:szCs w:val="18"/>
          <w:b w:val="1"/>
          <w:bCs w:val="1"/>
          <w:color w:val="auto"/>
        </w:rPr>
        <w:t>Cayman Islands</w:t>
      </w:r>
      <w:r>
        <w:rPr>
          <w:sz w:val="20"/>
          <w:szCs w:val="20"/>
          <w:color w:val="auto"/>
        </w:rPr>
        <w:tab/>
      </w: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Meetings</w:t>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Held at a time and place as designated in the articles of association.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 be held at such time or place as designated in the certificate of incorporation or the bylaws, or if not so designated, as determined by the board of directors.</w:t>
      </w:r>
    </w:p>
    <w:p>
      <w:pPr>
        <w:spacing w:after="0" w:line="184" w:lineRule="exact"/>
        <w:rPr>
          <w:sz w:val="20"/>
          <w:szCs w:val="20"/>
          <w:color w:val="auto"/>
        </w:rPr>
      </w:pPr>
    </w:p>
    <w:p>
      <w:pPr>
        <w:sectPr>
          <w:pgSz w:w="11900" w:h="16838" w:orient="portrait"/>
          <w:cols w:equalWidth="0" w:num="2">
            <w:col w:w="5020" w:space="720"/>
            <w:col w:w="5500"/>
          </w:cols>
          <w:pgMar w:left="320" w:top="904" w:right="33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Special meetings of the shareholders may be called by the board of directors or by such person or persons as may be authorized by the articles of association.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May be held in or outside of the 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Special meetings of the shareholders may be called by the board of directors or by such person or persons as may be authorized by the certificate of incorporation or by the bylaws.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May be held in or outside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520" w:space="220"/>
            <w:col w:w="5500"/>
          </w:cols>
          <w:pgMar w:left="320" w:top="904" w:right="339" w:bottom="1440" w:gutter="0" w:footer="0" w:header="0"/>
          <w:type w:val="continuous"/>
        </w:sectPr>
      </w:pPr>
    </w:p>
    <w:p>
      <w:pPr>
        <w:spacing w:after="0" w:line="25" w:lineRule="exact"/>
        <w:rPr>
          <w:sz w:val="20"/>
          <w:szCs w:val="20"/>
          <w:color w:val="auto"/>
        </w:rPr>
      </w:pPr>
    </w:p>
    <w:p>
      <w:pPr>
        <w:jc w:val="both"/>
        <w:ind w:left="660" w:right="160"/>
        <w:spacing w:after="0" w:line="301" w:lineRule="auto"/>
        <w:rPr>
          <w:sz w:val="20"/>
          <w:szCs w:val="20"/>
          <w:color w:val="auto"/>
        </w:rPr>
      </w:pPr>
      <w:r>
        <w:rPr>
          <w:rFonts w:ascii="Arial" w:cs="Arial" w:eastAsia="Arial" w:hAnsi="Arial"/>
          <w:sz w:val="16"/>
          <w:szCs w:val="16"/>
          <w:color w:val="auto"/>
        </w:rPr>
        <w:t>Whenever shareholders are required to take any action at a meeting, a written notice of the meeting shall be given which shall state the place, date and hour of the meeting and, if a resolution is proposed as a Special Resolution, the text of that resolution.</w:t>
      </w:r>
    </w:p>
    <w:p>
      <w:pPr>
        <w:spacing w:after="0" w:line="157" w:lineRule="exact"/>
        <w:rPr>
          <w:sz w:val="20"/>
          <w:szCs w:val="20"/>
          <w:color w:val="auto"/>
        </w:rPr>
      </w:pPr>
    </w:p>
    <w:p>
      <w:pPr>
        <w:jc w:val="both"/>
        <w:ind w:left="660" w:right="160"/>
        <w:spacing w:after="0" w:line="301" w:lineRule="auto"/>
        <w:rPr>
          <w:sz w:val="20"/>
          <w:szCs w:val="20"/>
          <w:color w:val="auto"/>
        </w:rPr>
      </w:pPr>
      <w:r>
        <w:rPr>
          <w:rFonts w:ascii="Arial" w:cs="Arial" w:eastAsia="Arial" w:hAnsi="Arial"/>
          <w:sz w:val="16"/>
          <w:szCs w:val="16"/>
          <w:color w:val="auto"/>
        </w:rPr>
        <w:t>A copy of the notice of any meeting shall be given personally or sent by mail or electronically not less than the period designated in the articles of association. Our Articles provides that at least 10 clear days’ notice of a general meeting must be given to Members.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Whenever shareholders are required to take any action at a meeting, a written notice of the meeting shall be given which shall state the place, if any, date and hour of the meeting, and the means of remote communication, if any.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Written notice shall be given not less than 10 nor more than 60 days before the meeting.</w:t>
      </w:r>
    </w:p>
    <w:p>
      <w:pPr>
        <w:spacing w:after="0" w:line="598" w:lineRule="exact"/>
        <w:rPr>
          <w:sz w:val="20"/>
          <w:szCs w:val="20"/>
          <w:color w:val="auto"/>
        </w:rPr>
      </w:pPr>
    </w:p>
    <w:p>
      <w:pPr>
        <w:sectPr>
          <w:pgSz w:w="11900" w:h="16838" w:orient="portrait"/>
          <w:cols w:equalWidth="0" w:num="2">
            <w:col w:w="5680" w:space="720"/>
            <w:col w:w="4840"/>
          </w:cols>
          <w:pgMar w:left="320" w:top="90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Shareholders’ Voting Rights</w:t>
      </w:r>
    </w:p>
    <w:p>
      <w:pPr>
        <w:sectPr>
          <w:pgSz w:w="11900" w:h="16838" w:orient="portrait"/>
          <w:cols w:equalWidth="0" w:num="1">
            <w:col w:w="11240"/>
          </w:cols>
          <w:pgMar w:left="320" w:top="904" w:right="339" w:bottom="1440" w:gutter="0" w:footer="0" w:header="0"/>
          <w:type w:val="continuous"/>
        </w:sectPr>
      </w:pP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Unless otherwise provided in the articles of association, any action required by the CICL to be taken at a meeting of shareholders may be taken without a meeting if a consent or consents in writing, setting forth the action so taken, shall be signed by all the shareholders entitled to vote with respect to the subject matter thereof, or if the articles of association so provide in respect of an ordinary resolution, by the holders of outstanding shares having not less than the minimum number of votes that would be necessary to authorize or take such action at a meeting at which all shares entitled to vote thereon were present and voted. Our Articles provide that all written resolutions shall be signed unanimously by all shareholders entitled to vote with respect to the subject matter thereof.</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Any action required to be taken by a meeting of shareholders may be taken without a meeting if a consent for such action is in writing and is signed by shareholders having not less than the minimum number of votes that would be necessary to authorize or take such action at a meeting at which all shares entitled to vote thereon were present and voted.</w:t>
      </w:r>
    </w:p>
    <w:p>
      <w:pPr>
        <w:spacing w:after="0" w:line="1485" w:lineRule="exact"/>
        <w:rPr>
          <w:sz w:val="20"/>
          <w:szCs w:val="20"/>
          <w:color w:val="auto"/>
        </w:rPr>
      </w:pPr>
    </w:p>
    <w:p>
      <w:pPr>
        <w:sectPr>
          <w:pgSz w:w="11900" w:h="16838" w:orient="portrait"/>
          <w:cols w:equalWidth="0" w:num="2">
            <w:col w:w="5520" w:space="220"/>
            <w:col w:w="5500"/>
          </w:cols>
          <w:pgMar w:left="320" w:top="904" w:right="339" w:bottom="1440" w:gutter="0" w:footer="0" w:header="0"/>
          <w:type w:val="continuous"/>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Any person authorized to vote may authorize another person or persons to act for him by proxy.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quorum of a general meeting shall be designated in the articles of association. Under the Articles, one or more members who together hold at least one-third of the rights to vote at such general meeting constitutes a quorum.</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color w:val="auto"/>
        </w:rPr>
        <w:t>Any person authorized to vote may authorize another person or persons to act for him by proxy.</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stock corporations, the certificate of incorporation or bylaws may specify the number of shares required to constitute a quorum but in no event shall a quorum consist of less than one-third of shares entitled to vote at a meeting. In the absence of such specifications, a majority of shares entitled to vote shall constitute a quorum. (If the certificate of incorporation provides for more or less than one vote for any share, on any matter, every reference in the Delaware General Corporation Law to a majority or other proportion of stock, voting stock or shares shall refer to such majority or other proportion of the votes of such stock, voting stock or shares.)</w:t>
      </w:r>
    </w:p>
    <w:p>
      <w:pPr>
        <w:spacing w:after="0" w:line="166" w:lineRule="exact"/>
        <w:rPr>
          <w:sz w:val="20"/>
          <w:szCs w:val="20"/>
          <w:color w:val="auto"/>
        </w:rPr>
      </w:pPr>
    </w:p>
    <w:p>
      <w:pPr>
        <w:sectPr>
          <w:pgSz w:w="11900" w:h="16838" w:orient="portrait"/>
          <w:cols w:equalWidth="0" w:num="2">
            <w:col w:w="5520" w:space="220"/>
            <w:col w:w="5500"/>
          </w:cols>
          <w:pgMar w:left="320" w:top="935" w:right="339" w:bottom="1440" w:gutter="0" w:footer="0" w:header="0"/>
        </w:sectPr>
      </w:pPr>
    </w:p>
    <w:p>
      <w:pPr>
        <w:jc w:val="both"/>
        <w:spacing w:after="0" w:line="311" w:lineRule="auto"/>
        <w:rPr>
          <w:sz w:val="20"/>
          <w:szCs w:val="20"/>
          <w:color w:val="auto"/>
        </w:rPr>
      </w:pPr>
      <w:r>
        <w:rPr>
          <w:rFonts w:ascii="Arial" w:cs="Arial" w:eastAsia="Arial" w:hAnsi="Arial"/>
          <w:sz w:val="16"/>
          <w:szCs w:val="16"/>
          <w:color w:val="auto"/>
        </w:rPr>
        <w:t>Even a quorum is once present to organize a meeting, it may be still be possible for the meeting to become inquorate by the subsequent withdrawal of any shareholders if provided under the articles of association.</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articles of association may provide for cumulative voting in the election of directors. Our Articles do not provide for cumulative voting.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When a quorum is once present to organize a meeting, it is not broken by the subsequent withdrawal of any shareholders.</w:t>
      </w:r>
    </w:p>
    <w:p>
      <w:pPr>
        <w:spacing w:after="0" w:line="3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certificate of incorporation may provide for cumulative voting in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520" w:space="220"/>
            <w:col w:w="5500"/>
          </w:cols>
          <w:pgMar w:left="320" w:top="935" w:right="339" w:bottom="1440" w:gutter="0" w:footer="0" w:header="0"/>
          <w:type w:val="continuous"/>
        </w:sectPr>
      </w:pPr>
    </w:p>
    <w:p>
      <w:pPr>
        <w:spacing w:after="0" w:line="25" w:lineRule="exact"/>
        <w:rPr>
          <w:sz w:val="20"/>
          <w:szCs w:val="20"/>
          <w:color w:val="auto"/>
        </w:rPr>
      </w:pPr>
    </w:p>
    <w:p>
      <w:pPr>
        <w:jc w:val="both"/>
        <w:ind w:left="660" w:right="460"/>
        <w:spacing w:after="0" w:line="259" w:lineRule="auto"/>
        <w:rPr>
          <w:sz w:val="20"/>
          <w:szCs w:val="20"/>
          <w:color w:val="auto"/>
        </w:rPr>
      </w:pPr>
      <w:r>
        <w:rPr>
          <w:rFonts w:ascii="Arial" w:cs="Arial" w:eastAsia="Arial" w:hAnsi="Arial"/>
          <w:sz w:val="18"/>
          <w:szCs w:val="18"/>
          <w:color w:val="auto"/>
        </w:rPr>
        <w:t>The articles of association may provide for the removal of directors by action of the board or by the holders of the shares of any class or series when so entitled by the provisions of the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left="7"/>
        <w:spacing w:after="0" w:line="291" w:lineRule="auto"/>
        <w:rPr>
          <w:sz w:val="20"/>
          <w:szCs w:val="20"/>
          <w:color w:val="auto"/>
        </w:rPr>
      </w:pPr>
      <w:r>
        <w:rPr>
          <w:rFonts w:ascii="Arial" w:cs="Arial" w:eastAsia="Arial" w:hAnsi="Arial"/>
          <w:sz w:val="16"/>
          <w:szCs w:val="16"/>
          <w:color w:val="auto"/>
        </w:rPr>
        <w:t>Any or all of the directors may be removed, with or without cause, by the holders of a majority of the shares entitled to vote except:</w:t>
      </w:r>
    </w:p>
    <w:p>
      <w:pPr>
        <w:jc w:val="both"/>
        <w:ind w:left="7" w:hanging="7"/>
        <w:spacing w:after="0" w:line="286" w:lineRule="auto"/>
        <w:tabs>
          <w:tab w:leader="none" w:pos="261" w:val="left"/>
        </w:tabs>
        <w:numPr>
          <w:ilvl w:val="0"/>
          <w:numId w:val="8"/>
        </w:numPr>
        <w:rPr>
          <w:rFonts w:ascii="Arial" w:cs="Arial" w:eastAsia="Arial" w:hAnsi="Arial"/>
          <w:sz w:val="16"/>
          <w:szCs w:val="16"/>
          <w:color w:val="auto"/>
        </w:rPr>
      </w:pPr>
      <w:r>
        <w:rPr>
          <w:rFonts w:ascii="Arial" w:cs="Arial" w:eastAsia="Arial" w:hAnsi="Arial"/>
          <w:sz w:val="16"/>
          <w:szCs w:val="16"/>
          <w:color w:val="auto"/>
        </w:rPr>
        <w:t>unless the certificate of incorporation otherwise provides, in the case of a corporation whose board is classified, shareholders may effect such removal only for cause, or (2) if the corporation has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be classes of directors, at an election of the class of directors of which such director is a part.</w:t>
      </w:r>
    </w:p>
    <w:p>
      <w:pPr>
        <w:spacing w:after="0" w:line="602" w:lineRule="exact"/>
        <w:rPr>
          <w:sz w:val="20"/>
          <w:szCs w:val="20"/>
          <w:color w:val="auto"/>
        </w:rPr>
      </w:pPr>
    </w:p>
    <w:p>
      <w:pPr>
        <w:sectPr>
          <w:pgSz w:w="11900" w:h="16838" w:orient="portrait"/>
          <w:cols w:equalWidth="0" w:num="2">
            <w:col w:w="5980" w:space="413"/>
            <w:col w:w="4847"/>
          </w:cols>
          <w:pgMar w:left="320" w:top="935" w:right="339" w:bottom="1440" w:gutter="0" w:footer="0" w:header="0"/>
          <w:type w:val="continuous"/>
        </w:sectPr>
      </w:pP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Number of board members shall be designated in the articles of association, but can be changed in accordance with the provisions of the articles of association or by an amendment to the articles of association approved by the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must consist of at least one member.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Number of board members shall be fixed by, or in a manner provided by, the bylaws, unless the certificate of incorporation fixes the number of directors, in which case a change in the number shall be made only by amendment to the certificate of incorporation.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must consist of at least one member.</w:t>
      </w:r>
    </w:p>
    <w:p>
      <w:pPr>
        <w:spacing w:after="0" w:line="200" w:lineRule="exact"/>
        <w:rPr>
          <w:sz w:val="20"/>
          <w:szCs w:val="20"/>
          <w:color w:val="auto"/>
        </w:rPr>
      </w:pPr>
    </w:p>
    <w:p>
      <w:pPr>
        <w:sectPr>
          <w:pgSz w:w="11900" w:h="16838" w:orient="portrait"/>
          <w:cols w:equalWidth="0" w:num="2">
            <w:col w:w="5500" w:space="240"/>
            <w:col w:w="5500"/>
          </w:cols>
          <w:pgMar w:left="320" w:top="935" w:right="33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Dissenter’s Rights of Appraisal</w:t>
      </w:r>
    </w:p>
    <w:p>
      <w:pPr>
        <w:sectPr>
          <w:pgSz w:w="11900" w:h="16838" w:orient="portrait"/>
          <w:cols w:equalWidth="0" w:num="1">
            <w:col w:w="11240"/>
          </w:cols>
          <w:pgMar w:left="320" w:top="931" w:right="339" w:bottom="1440" w:gutter="0" w:footer="0" w:header="0"/>
        </w:sectPr>
      </w:pP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Except in certain limited circumstances, such as if shares of a company listed on a recognized stock exchange is exchanged for shares or depository receipts of another company which, at the effective date of the merger or consolidation, are listed on a national securities exchange, a shareholder who dissents from the merger or consolidation is entitled to payment of the fair value of his or her shares (which, if not agreed between the parties, will be determined by the Cayman Islands court) upon dissenting from a merger or consolidation, provided that the dissenting shareholder complies strictly with the procedures set out in the CICL.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CICL also contains a statutory power of compulsory acquisition. When a tender offer is made and accepted by holders of 90% of the shares affected within four months of the offer being made,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Appraisal rights shall be available for the shares of any class or series of stock of a corporation in a merger or consolidation, subject to limited exceptions, such as a merger or consolidation of corporations listed on a national securities exchange in which listed shares are the offered consideration or if such shares are held of record by more than 2,000 holders.</w:t>
      </w:r>
    </w:p>
    <w:p>
      <w:pPr>
        <w:spacing w:after="0" w:line="3860" w:lineRule="exact"/>
        <w:rPr>
          <w:sz w:val="20"/>
          <w:szCs w:val="20"/>
          <w:color w:val="auto"/>
        </w:rPr>
      </w:pPr>
    </w:p>
    <w:p>
      <w:pPr>
        <w:sectPr>
          <w:pgSz w:w="11900" w:h="16838" w:orient="portrait"/>
          <w:cols w:equalWidth="0" w:num="2">
            <w:col w:w="5520" w:space="220"/>
            <w:col w:w="5500"/>
          </w:cols>
          <w:pgMar w:left="320" w:top="931"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Shareholders’ Derivative Actions</w:t>
      </w:r>
    </w:p>
    <w:p>
      <w:pPr>
        <w:sectPr>
          <w:pgSz w:w="11900" w:h="16838" w:orient="portrait"/>
          <w:cols w:equalWidth="0" w:num="1">
            <w:col w:w="11240"/>
          </w:cols>
          <w:pgMar w:left="320" w:top="931" w:right="339" w:bottom="1440" w:gutter="0" w:footer="0" w:header="0"/>
          <w:type w:val="continuous"/>
        </w:sectPr>
      </w:pP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principle, it is the Company that will normally be the proper plaintiff to sue for a wrong done to us as a company and as a general rule, a derivative action may not be brought by a minority shareholder. However, based on English law authorities, which would in all likelihood be of persuasive authority in the Cayman Islands, the Cayman Islands court can be expected to follow and apply the common law principles (namely the rule in </w:t>
      </w:r>
      <w:r>
        <w:rPr>
          <w:rFonts w:ascii="Arial" w:cs="Arial" w:eastAsia="Arial" w:hAnsi="Arial"/>
          <w:sz w:val="17"/>
          <w:szCs w:val="17"/>
          <w:i w:val="1"/>
          <w:iCs w:val="1"/>
          <w:color w:val="auto"/>
        </w:rPr>
        <w:t>Foss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Harbottle </w:t>
      </w:r>
      <w:r>
        <w:rPr>
          <w:rFonts w:ascii="Arial" w:cs="Arial" w:eastAsia="Arial" w:hAnsi="Arial"/>
          <w:sz w:val="17"/>
          <w:szCs w:val="17"/>
          <w:color w:val="auto"/>
        </w:rPr>
        <w:t>and the exceptions thereto) so that a non-controlling shareholder</w:t>
      </w:r>
      <w:r>
        <w:rPr>
          <w:rFonts w:ascii="Arial" w:cs="Arial" w:eastAsia="Arial" w:hAnsi="Arial"/>
          <w:sz w:val="17"/>
          <w:szCs w:val="17"/>
          <w:i w:val="1"/>
          <w:iCs w:val="1"/>
          <w:color w:val="auto"/>
        </w:rPr>
        <w:t xml:space="preserve"> </w:t>
      </w:r>
      <w:r>
        <w:rPr>
          <w:rFonts w:ascii="Arial" w:cs="Arial" w:eastAsia="Arial" w:hAnsi="Arial"/>
          <w:sz w:val="17"/>
          <w:szCs w:val="17"/>
          <w:color w:val="auto"/>
        </w:rPr>
        <w:t>may be permitted to commence a class action against or derivative actions in the name of the company to challenge:</w:t>
      </w:r>
    </w:p>
    <w:p>
      <w:pPr>
        <w:spacing w:after="0" w:line="181" w:lineRule="exact"/>
        <w:rPr>
          <w:sz w:val="20"/>
          <w:szCs w:val="20"/>
          <w:color w:val="auto"/>
        </w:rPr>
      </w:pPr>
    </w:p>
    <w:p>
      <w:pPr>
        <w:ind w:left="660" w:hanging="4"/>
        <w:spacing w:after="0" w:line="342" w:lineRule="auto"/>
        <w:tabs>
          <w:tab w:leader="none" w:pos="814"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an act which is illegal or </w:t>
      </w:r>
      <w:r>
        <w:rPr>
          <w:rFonts w:ascii="Arial" w:cs="Arial" w:eastAsia="Arial" w:hAnsi="Arial"/>
          <w:sz w:val="16"/>
          <w:szCs w:val="16"/>
          <w:i w:val="1"/>
          <w:iCs w:val="1"/>
          <w:color w:val="auto"/>
        </w:rPr>
        <w:t>ultra vires</w:t>
      </w:r>
      <w:r>
        <w:rPr>
          <w:rFonts w:ascii="Arial" w:cs="Arial" w:eastAsia="Arial" w:hAnsi="Arial"/>
          <w:sz w:val="16"/>
          <w:szCs w:val="16"/>
          <w:color w:val="auto"/>
        </w:rPr>
        <w:t xml:space="preserve"> with respect to the company and is therefore incapable of ratification by the shareholders;</w:t>
      </w:r>
    </w:p>
    <w:p>
      <w:pPr>
        <w:spacing w:after="0" w:line="123" w:lineRule="exact"/>
        <w:rPr>
          <w:rFonts w:ascii="Arial" w:cs="Arial" w:eastAsia="Arial" w:hAnsi="Arial"/>
          <w:sz w:val="16"/>
          <w:szCs w:val="16"/>
          <w:color w:val="auto"/>
        </w:rPr>
      </w:pPr>
    </w:p>
    <w:p>
      <w:pPr>
        <w:jc w:val="both"/>
        <w:ind w:left="660" w:hanging="4"/>
        <w:spacing w:after="0" w:line="286" w:lineRule="auto"/>
        <w:tabs>
          <w:tab w:leader="none" w:pos="814"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an act which, although not </w:t>
      </w:r>
      <w:r>
        <w:rPr>
          <w:rFonts w:ascii="Arial" w:cs="Arial" w:eastAsia="Arial" w:hAnsi="Arial"/>
          <w:sz w:val="17"/>
          <w:szCs w:val="17"/>
          <w:i w:val="1"/>
          <w:iCs w:val="1"/>
          <w:color w:val="auto"/>
        </w:rPr>
        <w:t>ultra vires</w:t>
      </w:r>
      <w:r>
        <w:rPr>
          <w:rFonts w:ascii="Arial" w:cs="Arial" w:eastAsia="Arial" w:hAnsi="Arial"/>
          <w:sz w:val="17"/>
          <w:szCs w:val="17"/>
          <w:color w:val="auto"/>
        </w:rPr>
        <w:t>, requires authorization by a qualified (or special) majority (that is, more than a simple majority) which has not been obtained; and</w:t>
      </w:r>
    </w:p>
    <w:p>
      <w:pPr>
        <w:spacing w:after="0" w:line="165" w:lineRule="exact"/>
        <w:rPr>
          <w:rFonts w:ascii="Arial" w:cs="Arial" w:eastAsia="Arial" w:hAnsi="Arial"/>
          <w:sz w:val="17"/>
          <w:szCs w:val="17"/>
          <w:color w:val="auto"/>
        </w:rPr>
      </w:pPr>
    </w:p>
    <w:p>
      <w:pPr>
        <w:ind w:left="660" w:hanging="4"/>
        <w:spacing w:after="0" w:line="277" w:lineRule="auto"/>
        <w:tabs>
          <w:tab w:leader="none" w:pos="86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act which constitutes a “fraud on the minority” where the wrongdoers are themselves in control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any derivative suit instituted by a shareholder or a corporation, it shall be averred in the complaint that the plaintiff was a shareholder of the corporation at the time of the transaction of which he complains or that such shareholder’s stock thereafter devolved upon such shareholder by operation of law.</w:t>
      </w:r>
    </w:p>
    <w:p>
      <w:pPr>
        <w:spacing w:after="0" w:line="3241" w:lineRule="exact"/>
        <w:rPr>
          <w:sz w:val="20"/>
          <w:szCs w:val="20"/>
          <w:color w:val="auto"/>
        </w:rPr>
      </w:pPr>
    </w:p>
    <w:p>
      <w:pPr>
        <w:sectPr>
          <w:pgSz w:w="11900" w:h="16838" w:orient="portrait"/>
          <w:cols w:equalWidth="0" w:num="2">
            <w:col w:w="5520" w:space="220"/>
            <w:col w:w="5500"/>
          </w:cols>
          <w:pgMar w:left="320" w:top="931" w:right="33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registering for resale an aggregate of 2,666,666 common shares (the “Shares”) by the Selling Shareholders. The Shares being offered by the Selling Shareholders are the 2,666,666 common shares issuable upon the exercise of the Warrants. We are registering the Shares in accordance with the terms of the Securities Purchase Agreement dated as of February 28, 2021 among our Company and the investors in order to permit the Selling Shareholders and their pledgees, donees, transferees and other successors-in-interest that receive Shares from a Selling Shareholder as a gift, partnership distribution or other non-sale related transfer after the date of this prospectus to resell the Shares when and as they deem appropriate in the manner described in the “Plan of Distribution” to offer the Shares for resale from time to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Shareholder table below sets forth:</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Selling Shareholder,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percentage of shares of our common shares that the Selling Shareholder owned as of the date of this prospectus prior to the offering for resale of the Shares under this prospectus,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maximum number of shares of our common shares that may be offered for resale for the account of the Selling Shareholder under this prospectus,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percentage of our common shares to be owned by the Selling Shareholder after the offering of the Shares (assuming all of the offered Shares are sold by the Selling Shareholder).</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None of the Selling Shareholder has been an officer or director of the Company or any of its predecessors or affiliates within the last three years or otherwise had a material relationship with us within the last three years. None of the Selling Shareholders is a broker-dealer or an affiliate of a broker-dealer, who should be identified as an underwriter. The total number of common shares sold under this prospectus may be adjusted to reflect adjustments due to stock dividends, stock distributions, splits, combinations or recapitalizations with regard to the common shares.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Selling Shareholder may sell all, some or none of its shares in this offering. See “Plan of Distribution.”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to be Sold</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Pursuant to</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Prior to</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this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After</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 After</w:t>
            </w:r>
          </w:p>
        </w:tc>
      </w:t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Shareholder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Prospectus</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(1)</w:t>
            </w:r>
          </w:p>
        </w:tc>
        <w:tc>
          <w:tcPr>
            <w:tcW w:w="160" w:type="dxa"/>
            <w:vAlign w:val="bottom"/>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Anson East Master Fund LP (2)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125,027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125,027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Anson Investments Master Fund LP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375,084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375,084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Armistice Capital Master Fund Ltd. (4)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833,333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833,333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Intracoastal Capital, LLC (5)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500,111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500,111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L1 Capital Global Opportunities Master Fund (6)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500,111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500,111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S.H.N. Financial Investments Ltd. (7)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333,000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333,000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0712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16" w:lineRule="exact"/>
        <w:rPr>
          <w:sz w:val="20"/>
          <w:szCs w:val="20"/>
          <w:color w:val="auto"/>
        </w:rPr>
      </w:pPr>
    </w:p>
    <w:p>
      <w:pPr>
        <w:jc w:val="both"/>
        <w:ind w:left="340" w:hanging="332"/>
        <w:spacing w:after="0" w:line="25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number of shares outstanding after the offering is based on (i) 19,168,609 common shares issued and outstanding as of March 25, 2021, (ii) the issuance upon exercise of the applicable warrants of all 2,666,666 common shares being offered by this prospectus and (iii) for each shareholder and for that shareholder only, the common shares underlying any options, warrants or other convertible securities that may be acquired within the next 60 days without giving regard to any limitation on beneficial ownership applicable to such security. Such total number of shares outstanding after the offering assumes we issue no other common shares (including upon the exercise of outstanding warrants, options or other convertible securities) prior to the completion of this offering.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340" w:hanging="332"/>
        <w:spacing w:after="0" w:line="29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Anson Advisors Inc and Anson Funds Management LP, the Co-Investment Advisers of Anson East Master Fund LP (“Anson”), hold voting and dispositive power over the Common Shares held by Anson. Bruce Winson is the managing member of Anson Management GP LLC, which is the general partner of Anson Funds Management LP. Moez Kassam and Amin Nathoo are directors of Anson Advisors Inc. Mr. Winson, Mr. Kassam and Mr. Nathoo each disclaims beneficial ownership of these Common Shares except to the extent of their pecuniary interest therein. The principal business address of Anson is Walkers Corporate Limited, Cayman Corporate Centre, 27 Hospital Road, George Town, Grand Cayman KY1-9008, Cayman Islands. The address for notice to Anson is: c/o Anson Advisor Inc., 155 University Ave., Suite 207, Toronto, ON M5H 3B7, Canada.</w:t>
      </w:r>
    </w:p>
    <w:p>
      <w:pPr>
        <w:spacing w:after="0" w:line="164" w:lineRule="exact"/>
        <w:rPr>
          <w:rFonts w:ascii="Arial" w:cs="Arial" w:eastAsia="Arial" w:hAnsi="Arial"/>
          <w:sz w:val="16"/>
          <w:szCs w:val="16"/>
          <w:color w:val="auto"/>
        </w:rPr>
      </w:pPr>
    </w:p>
    <w:p>
      <w:pPr>
        <w:jc w:val="both"/>
        <w:ind w:left="340" w:hanging="332"/>
        <w:spacing w:after="0" w:line="29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Anson Advisors Inc and Anson Funds Management LP, the Co-Investment Advisers of Anson Investments Master Fund LP (“Anson”), hold voting and dispositive power over the Common Shares held by Anson. Bruce Winson is the managing member of Anson Management GP LLC, which is the general partner of Anson Funds Management LP. Moez Kassam and Amin Nathoo are directors of Anson Advisors Inc. Mr. Winson, Mr. Kassam and Mr. Nathoo each disclaims beneficial ownership of these Common Shares except to the extent of their pecuniary interest therein. The principal business address of Anson is Walkers Corporate Limited, Cayman Corporate Centre, 27 Hospital Road, George Town, Grand Cayman KY1-9008, Cayman Islands. The address for notice to Anson is: c/o Anson Advisor Inc., 155 University Ave., Suite 207, Toronto, ON M5H 3B7, Canada.</w:t>
      </w:r>
    </w:p>
    <w:p>
      <w:pPr>
        <w:spacing w:after="0" w:line="164" w:lineRule="exact"/>
        <w:rPr>
          <w:rFonts w:ascii="Arial" w:cs="Arial" w:eastAsia="Arial" w:hAnsi="Arial"/>
          <w:sz w:val="16"/>
          <w:szCs w:val="16"/>
          <w:color w:val="auto"/>
        </w:rPr>
      </w:pPr>
    </w:p>
    <w:p>
      <w:pPr>
        <w:jc w:val="both"/>
        <w:ind w:left="340" w:hanging="332"/>
        <w:spacing w:after="0" w:line="29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shares are directly held by Armistice Capital Master Fund Ltd., a Cayman Islands exempted company (the “Master Fund”), and may be deemed to be indirectly beneficially owned by: (i) Armistice Capital, LLC (“Armistice Capital”), as the investment manager of the Master Fund; and (ii) Steven Boyd, as the Managing Member of Armistice Capital. Armistice Capital and Steven Boyd disclaim beneficial ownership of the securities except to the extent of their respective pecuniary interests therein. All of the shares are issuable only upon exercise of certain warrants, which are subject to certain beneficial ownership limitations. The address of the Master Fund is c/o Armistice Capital, LLC, 510 Madison Ave, 7th Floor, New York, NY 10022</w:t>
      </w:r>
    </w:p>
    <w:p>
      <w:pPr>
        <w:spacing w:after="0" w:line="161"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Mitchell P. Kopin (“Mr. Kopin”) and Daniel B. Asher (“Mr. Asher”), both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registered address of Intracoastal is 245 Palm Trail, Delray Beach, FL 33483. The address for notice to Intracoastal is 245 Palm Trail, Delray Beach, FL 33483.</w:t>
      </w:r>
    </w:p>
    <w:p>
      <w:pPr>
        <w:spacing w:after="0" w:line="18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David Feldman and Joel Arber are the Directors and have voting and dispositive power over the securities owned by L1 Capital Global Opportunities Master Fund (“L1 Capital”). The registered address of L1 Capital is 161A Shedden Road, 1 Artillery Court, PO Box 10085, Grand Cayman KY1-1001, Cayman Islands. The address for notice to L1 Capital is 161A Shedden Road, 1 Artillery Court, PO Box 10085, Grand Cayman KY1-1001, Cayman Islands.</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Hadar Shamir and Nir Shamir hold voting and dispositive power over the Common Shares held by S.H.N. Financial Investments Ltd. The address for notice to S.H.N. Financial is 3 Arik Einstein Str., Haerzeliya 4610301, PO Box 351, Israel.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capitalization as of June 30, 2020:</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actual basis based on 15,930,330 common shares on June 30, 2020;</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as adjusted basis to give effect to events that have occurred between July 1, 2020 and March 25, 2021 including: (a) the issuance of 162,918 vested common shares pursuant to the Company’s 2017 equity incentive plan, (b) the issuance of 235,270 vested common shares pursuant to the Company’s 2020 equity incentive plan, (c) the issuance of 62,622 common shares with a fair value of $216,046 as partial consideration for the acquisition of non-controlling interests, (d) the issuance of 65,542 common shares upon the exercise of warrant, (e) the issuance of 45,261 common shares upon the exercises of options with total exercise price of $104,323, (f) the issuance of 2,666,666 common shares for a direct placement with net proceeds of $15,942,250; and</w:t>
      </w:r>
    </w:p>
    <w:p>
      <w:pPr>
        <w:spacing w:after="0" w:line="19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as further adjusted basis to give effect to 2,666,666 common shares issuable upon the exercise of the warrants at an exercise price of $6.00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89"/>
              </w:rPr>
              <w:t>As of June 30, 2020</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As Further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As Adjusted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Actual</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4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bank loans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$0.0001 par value; 100,000,000 shares authorized, 15,930,330 shares issued and</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outstanding, 19,168,609 shares issued and outstanding as adjusted, and 21,835,275 shares issued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as further adjusted, respectively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28,586,048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44,848,343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60,782,326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2,803,811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2,803,811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2,803,811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Accumulated deficits</w:t>
            </w: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(2,680,143)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(2,680,143)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(2,680,143)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(1,362,665)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(1,362,665)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(1,362,665)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27,348,644</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43,611,263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59,545,513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1,268,716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1,268,716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28,617,360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44,879,979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60,814,229</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28,639,914</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44,902,533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60,836,783</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MARCH 2021 PRIVATE PLACEMENT TRANSACTION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March 3, 2021 we issued to certain accredited investors warrants to purchase up to an aggregate of 2,666,666 common shares at an initial exercise price equal to $6.00 per share (the “Warrants”). The exercise price of the Warrants is subject to certain adjustments in the event of (1) payment of a dividend or other distribution on any class of capital stock that is payable in common shares; (2) subdivisions of outstanding common shares into a larger number of shares; or (3) combinations of outstanding common shares into a smaller number of shares.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Warrant is exercisable beginning on March 3, 2021 and has a term of exercise equal to five years and six months from the date of issuance. Subject to limited exceptions, a holder of Warrants will not have the right to exercise any portion of its Warrants if the holder, together with its affiliates, would beneficially own in excess of 9.99% of the number of shares of our common shares outstanding immediately after giving effect to such exercise. At any time after the six-month anniversary of the closing date, or September 3, 2021, if a registration statement and current prospectus covering the resale of the common shares issuable upon exercise of the Warrants is not available, the holder may exercise the Warrants in whole or in part on a cashless basis.</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at any time while the Warrants are outstanding: (1) we consolidate or merge with or into another entity in which the Company is not the surviving entity; (2) we sell, lease, assign, convey or otherwise transfer all or substantially all of our assets; (3) any tender offer or exchange offer (whether completed by us or a third party) is completed pursuant to which holders of a majority of our outstanding common shares tender or exchange their shares for securities, cash or other property; (4) we effect any reclassification of our common shares or compulsory share exchange pursuant to which outstanding shares of common shares are converted or exchanged for other securities, cash or property; or (5) any transaction is consummated whereby any person or entity acquires more than 50% of our outstanding common shares (each, a “Fundamental Transaction”), then upon any subsequent exercise of a Warrant, the holder thereof will have the right to receive the same amount and kind of securities, cash or other property as it would have been entitled to receive upon the occurrence of such Fundamental Transaction if it had been, immediately prior to such Fundamental Transaction, the holder of the number of shares then issuable upon exercise of the Warrant.</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at any time while the Warrants are outstanding, we declare or make any dividend or other distribution of our assets (or rights to acquire our assets) to holders of our common shares, by way of return of capital or otherwise, then each holder of a Warrant shall be entitled to participate in such distribution to the same extent that the holder would have participated therein if the holder had held the number of common shares acquirable upon complete exercise of the Warrant immediately prior to the record date for such distribution. To the extent that Warrant has not been partially or completely exercised at the time of such distribution, such portion of the distribution shall be held in abeyance for the benefit of the Holder until the Holder has exercised the Warrant. The Warrant does not otherwise entitle the holder to any voting rights, dividends or other rights as a shareholder of the Company prior to the exercise thereof as set forth in the Warrant agreement.</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at any time while the Warrants are outstanding we grant, issue or sell any securities convertible, exercisable or exchangeable for common shares or rights to purchase stock, warrants, securities or other property pro rata to the record holders of our common shares (“Purchase Rights”), then each holder of a Warrant will be entitled to acquire, upon the terms applicable to such Purchase Rights, the aggregate Purchase Rights which such holder could have acquired if such holder had held the number of common shares acquirable upon complete exercise of the Warrant immediately prior to the date on which a record is taken for the grant, issuance or sale of such Purchase Rights, or, if no such record is taken, the date as of which the record holders of common shares are to be determined for the grant, issue or sale of such Purchase Rights. To the extent that the Warrant has not been partially or completely exercised at the time of such grant, issuance or sale of the Purchase Rights, such Purchase Rights shall be held in abeyance for the benefit of the Holder until the Holder has exercised the Warrant; provided, however, that to the extent such Purchase Rights expire for the stockholders of the Company if not exercised, the Purchase Rights will also expire for the Warrant holder as of such date.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Warrants and the common shares issuable upon exercise of the Warrants were issued and sold without registration under the Securities Act, or state securities laws, in reliance on the exemptions provided by Section 4(a)(2) of the Securities Act and/or Regulation D promulgated thereunder and in reliance on similar exemptions under applicable state laws. Accordingly, the investors may exercise the Warrants and sell the underlying common shares only pursuant to an effective registration statement under the Securities Act covering the resale of those shares, an exemption under Rule 144 under the Securities Act, or another applicable exemption under the Securities Act.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on or prior to April 2, 2021, to file a registration statement, providing for the resale by the purchasers of the common shares issuable upon the exercise of the Warrants.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Each Selling Shareholder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Selling Shareholder may use any one or more of the following methods when selling securities:</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 to sell a specified number of such securities at a stipulated price per security;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Selling Shareholders may also sell all or a portion of the common shares in open market transactions in reliance upon Rule 144 under the Securities Act, if available, rather than under this prospectus, provided that they meet the criteria and conform to the requirements of that rule.</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Broker-dealers engaged by the Selling Shareholder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right="20" w:firstLine="648"/>
        <w:spacing w:after="0" w:line="277"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securities. We have agreed to indemnify the Selling Shareholders against certain losses, claims, damages and liabilities, including liabilities under the Securities Act.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agreed to keep this prospectus effective until no Selling Shareholder owns any Warrants or Warrant Shares issuable upon exercise thereof.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shares by the Selling Shareholder or any other person. We will make copies of this prospectus available to the Selling Shareholders and have informed them of the need to deliver a copy of this prospectus to each purchaser at or prior to the time of the sale.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CERTAIN INCOME TAX CONSIDERATIONS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carefully read the discussions of the material Cayman Islands, PRC and U.S. federal income tax considerations associated with our operations and the acquisition, ownership and disposition of our common shares set forth in the section entitled “Taxation” of our Annual Report for the year ending June 30, 2020 incorporated by reference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incorporated under the laws of the Cayman Islands, and our principal executive offices are located outside the United States. Certain of our directors and officers reside outside the United States. In addition, substantially all of our assets and the assets of certain of our directors and officers are located outside the United States. As a result, it may not be possible for you to serve legal process within the United States upon us or any of these persons. It may also not be possible for you to enforce, both in and outside the United States, judgments you may obtain in United States courts against us or these persons in any action, including actions based upon the civil liability provisions of U.S. federal or state securities laws.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following table sets forth the various expenses, all of which will be borne by the registrant, in connection with the sale and distribution of the securities being registered, other than the underwriting discounts and commissions. All amounts shown are estimates except for the SEC registration fee.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1,745.60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6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65,745.60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6380" w:type="dxa"/>
            <w:vAlign w:val="bottom"/>
            <w:vMerge w:val="restart"/>
          </w:tcPr>
          <w:p>
            <w:pPr>
              <w:jc w:val="right"/>
              <w:ind w:right="4210"/>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legal matters in connection with the sale of the Shares will be passed upon for us by Loeb &amp; Loeb LLP, New York, New York with respect to matters of United States law. The validity of the Shares offered hereby has been passed upon for us by Ogier.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of CLPS Incorporation appearing in CLPS Incorporation’s Annual Report on Form 20-F for the fiscal year ended June 30, 2020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 ABOUT US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filed a registration statement on Form F-3 with the SEC for the our common shares we are offering by this prospectus. This prospectus does not include all of the information contained in the registration statement. You should refer to the registration statement and its exhibits for additional information. We will provide to each person, including any beneficial owner, to whom a prospectus is delivered, a copy of any or all of the information that has been incorporated by reference in the prospectus but not delivered with the prospectus. We will provide this information upon oral or written request, free of charge. Any requests for this information should be made by calling or sending a letter to the Secretary of the Company, c/o Unit 1102, 11th Floor, Millennium City III, 370 Kwun Tong Road, Kwun Tong, Kowloon, Hong Kong SAR. Our telephone number is +852 3707-3600.</w:t>
      </w:r>
    </w:p>
    <w:p>
      <w:pPr>
        <w:spacing w:after="0" w:line="1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are required to file annual and quarterly reports, current reports, proxy statements, and other information with the SEC. We make these documents publicly available, free of charge, on our website at www.clpsglobal.com as soon as reasonably practicable after filing such documents with the SEC. You can read our SEC filings, including the registration statement, on the SEC’s website at www.sec.gov.</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29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47">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June 30, 2020, filed with the SEC on October 22, 2020;</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Current Report on Form 6-K furnished to the Commission on </w:t>
      </w:r>
      <w:hyperlink r:id="rId48">
        <w:r>
          <w:rPr>
            <w:rFonts w:ascii="Arial" w:cs="Arial" w:eastAsia="Arial" w:hAnsi="Arial"/>
            <w:sz w:val="18"/>
            <w:szCs w:val="18"/>
            <w:u w:val="single" w:color="auto"/>
            <w:color w:val="0000EE"/>
          </w:rPr>
          <w:t>December 17, 2020;</w:t>
        </w:r>
      </w:hyperlink>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Current Reports on </w:t>
      </w:r>
      <w:hyperlink r:id="rId49">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to the Commission on December 28, 2020;</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Current Reports on </w:t>
      </w:r>
      <w:hyperlink r:id="rId50">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to the Commission on February 25, 2021;</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Current Reports on </w:t>
      </w:r>
      <w:hyperlink r:id="rId51">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to the Commission on March 1, 2021;</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Current Reports on </w:t>
      </w:r>
      <w:hyperlink r:id="rId52">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to the Commission on March 2, 2021;</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Current Reports on </w:t>
      </w:r>
      <w:hyperlink r:id="rId53">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to the Commission on March 5, 2021;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Current Reports on </w:t>
      </w:r>
      <w:hyperlink r:id="rId54">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to the Commission on March 23, 2021.</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description of our common shares set forth in our Registration Statement on </w:t>
      </w:r>
      <w:hyperlink r:id="rId5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Commission on May 22, 2018 (File No. 333-223956), including any amendments or reports filed for the purpose of updating such description.</w:t>
      </w:r>
    </w:p>
    <w:p>
      <w:pPr>
        <w:spacing w:after="0" w:line="170" w:lineRule="exact"/>
        <w:rPr>
          <w:rFonts w:ascii="Arial" w:cs="Arial" w:eastAsia="Arial" w:hAnsi="Arial"/>
          <w:sz w:val="18"/>
          <w:szCs w:val="18"/>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also incorporating by reference any documents that we file with the Commission after the date of the filing of the initial registration statement of which the prospectus forms a part and prior to the effectiveness of that registration statement, and all subsequent annual reports on Form 20-F that we file with the Commission and certain current reports on Form 6-K that we file with or furnish to the Commission pursuant to Section 13(a), 13(c) or 15(d) of the Exchange Act subsequent to the date of this prospectus until we file a post-effective amendment indicating that the offering of the securities made by this prospectus has been terminated. Any statement contained herein or in a document incorporated or deemed to be incorporated by reference herein shall be deemed to be modified or superseded for purposes hereof to the extent that a statement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74" w:lineRule="exact"/>
        <w:rPr>
          <w:rFonts w:ascii="Arial" w:cs="Arial" w:eastAsia="Arial" w:hAnsi="Arial"/>
          <w:sz w:val="18"/>
          <w:szCs w:val="18"/>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You should rely only on the information contained in this registration statement. We have not authorized anyone to provide you with different or additional information. If such information is provided to you, you should not rely on it. This prospectus is not an offer of these securities in any jurisdiction where an offer and sale is not permitted.</w:t>
      </w:r>
    </w:p>
    <w:p>
      <w:pPr>
        <w:spacing w:after="0" w:line="39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9" w:lineRule="auto"/>
        <w:rPr>
          <w:sz w:val="20"/>
          <w:szCs w:val="20"/>
          <w:color w:val="auto"/>
        </w:rPr>
      </w:pPr>
      <w:r>
        <w:rPr>
          <w:rFonts w:ascii="Arial" w:cs="Arial" w:eastAsia="Arial" w:hAnsi="Arial"/>
          <w:sz w:val="18"/>
          <w:szCs w:val="18"/>
          <w:color w:val="auto"/>
        </w:rPr>
        <w:t>Upon written or oral request, we will provide to each person, including any beneficial owner, to whom a prospectus is delivered, a copy of any or all of the information that has been incorporated by reference in the prospectus but not delivered with the prospectus at no cost to the requester. You may request a free copy of the above mentioned filings or any subsequent filing we incorporate by reference into this prospectus by contacting us at the following address: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Unit 1102, 11th Floor, Millennium City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370 Kwun Tong Road, Kwun Tong, Kowloon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Hong Kong SAR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(852) 37073600</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These reports may also be obtained on our website at www.clpsglobal.com. None of the information on our website is a part of this prospectus supplement or the accompanying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Provided by the Company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will furnish holders of our common shares with annual reports containing audited financial statements and a report by our independent registered public accounting firm. The audited financial statements will be prepared in accordance with U.S. generally accepted accounting principles. As a “foreign private issuer,” we are exempt from the rules under the Exchange Act prescribing the furnishing and content of proxy statements to shareholders. While we furnish proxy statements to shareholders in accordance with the rules of the Nasdaq, those proxy statements do not conform to Schedule 14A of the proxy rules promulgated under the Exchange Act. In addition, as a “foreign private issuer,” our officers and directors are exempt from the rules under the Exchange Act relating to short swing profit reporting and liability.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2591435</wp:posOffset>
            </wp:positionH>
            <wp:positionV relativeFrom="page">
              <wp:posOffset>1177290</wp:posOffset>
            </wp:positionV>
            <wp:extent cx="2366010" cy="1011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36601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2,666,666 Common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Offered by the Selling Shareholders</w:t>
      </w:r>
    </w:p>
    <w:p>
      <w:pPr>
        <w:spacing w:after="0" w:line="397" w:lineRule="exact"/>
        <w:rPr>
          <w:sz w:val="20"/>
          <w:szCs w:val="20"/>
          <w:color w:val="auto"/>
        </w:rPr>
      </w:pPr>
    </w:p>
    <w:p>
      <w:pPr>
        <w:jc w:val="right"/>
        <w:ind w:right="3919"/>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694690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Officers and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commitment of fraud. This standard of conduct is generally the same as permitted under the Delaware General Corporation Law for a Delaware corporation.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9"/>
            <w:shd w:val="clear" w:color="auto" w:fill="CCEEFF"/>
          </w:tcPr>
          <w:p>
            <w:pPr>
              <w:spacing w:after="0" w:line="176"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Memorandum and Articles of Association incorporated by reference to Exhibit 3.1 to the Company’s Form 20-F for the fiscal year ending</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7"/>
              </w:rPr>
            </w:pPr>
            <w:hyperlink r:id="rId60">
              <w:r>
                <w:rPr>
                  <w:rFonts w:ascii="Arial" w:cs="Arial" w:eastAsia="Arial" w:hAnsi="Arial"/>
                  <w:sz w:val="18"/>
                  <w:szCs w:val="18"/>
                  <w:color w:val="0000EE"/>
                  <w:w w:val="87"/>
                </w:rPr>
                <w:t>June 30, 2020.</w:t>
              </w:r>
            </w:hyperlink>
          </w:p>
        </w:tc>
        <w:tc>
          <w:tcPr>
            <w:tcW w:w="904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Specimen of Common Share certificate. Incorporated by reference to Exhibit 4.1 to the Company’s Form F-1 or amendments thereto (File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No. 333-223956).</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Form of Common Share Purchase Warrant incorporated by reference to Exhibit 4.3 to the Company’s Current Report on Form 6-K filed</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with the SEC on March 1, 2021.</w:t>
              </w:r>
            </w:hyperlink>
          </w:p>
        </w:tc>
        <w:tc>
          <w:tcPr>
            <w:tcW w:w="776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Opinion of Ogier</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Consent of Ernst &amp; Young Hua Ming LLP</w:t>
              </w:r>
            </w:hyperlink>
          </w:p>
        </w:tc>
        <w:tc>
          <w:tcPr>
            <w:tcW w:w="704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Consent of Ogier (included in its opinion filed as Exhibit 5.1)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Power of Attorney (included in the signature pages hereto)</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660" w:right="1400" w:hanging="4"/>
        <w:spacing w:after="0" w:line="500" w:lineRule="auto"/>
        <w:tabs>
          <w:tab w:leader="none" w:pos="9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i. To include any prospectus required by Section 10(a)(3) of the Securities Act of 1933;</w:t>
      </w:r>
    </w:p>
    <w:p>
      <w:pPr>
        <w:spacing w:after="0" w:line="2" w:lineRule="exact"/>
        <w:rPr>
          <w:sz w:val="20"/>
          <w:szCs w:val="20"/>
          <w:color w:val="auto"/>
        </w:rPr>
      </w:pPr>
    </w:p>
    <w:p>
      <w:pPr>
        <w:jc w:val="both"/>
        <w:ind w:firstLine="656"/>
        <w:spacing w:after="0" w:line="293" w:lineRule="auto"/>
        <w:tabs>
          <w:tab w:leader="none" w:pos="8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firstLine="656"/>
        <w:spacing w:after="0" w:line="277" w:lineRule="auto"/>
        <w:tabs>
          <w:tab w:leader="none" w:pos="9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656"/>
        <w:spacing w:after="0" w:line="263" w:lineRule="auto"/>
        <w:tabs>
          <w:tab w:leader="none" w:pos="9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firstLine="656"/>
        <w:spacing w:after="0" w:line="277" w:lineRule="auto"/>
        <w:tabs>
          <w:tab w:leader="none" w:pos="9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ind w:firstLine="656"/>
        <w:spacing w:after="0" w:line="271" w:lineRule="auto"/>
        <w:tabs>
          <w:tab w:leader="none" w:pos="90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78" w:lineRule="exact"/>
        <w:rPr>
          <w:rFonts w:ascii="Arial" w:cs="Arial" w:eastAsia="Arial" w:hAnsi="Arial"/>
          <w:sz w:val="17"/>
          <w:szCs w:val="17"/>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If the registrant is relying on Rule 430B:</w:t>
      </w:r>
    </w:p>
    <w:p>
      <w:pPr>
        <w:spacing w:after="0" w:line="225" w:lineRule="exact"/>
        <w:rPr>
          <w:sz w:val="20"/>
          <w:szCs w:val="20"/>
          <w:color w:val="auto"/>
        </w:rPr>
      </w:pPr>
    </w:p>
    <w:p>
      <w:pPr>
        <w:ind w:firstLine="656"/>
        <w:spacing w:after="0" w:line="277" w:lineRule="auto"/>
        <w:tabs>
          <w:tab w:leader="none" w:pos="9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170" w:lineRule="exact"/>
        <w:rPr>
          <w:rFonts w:ascii="Arial" w:cs="Arial" w:eastAsia="Arial" w:hAnsi="Arial"/>
          <w:sz w:val="18"/>
          <w:szCs w:val="18"/>
          <w:color w:val="auto"/>
        </w:rPr>
      </w:pPr>
    </w:p>
    <w:p>
      <w:pPr>
        <w:jc w:val="both"/>
        <w:ind w:firstLine="656"/>
        <w:spacing w:after="0" w:line="269" w:lineRule="auto"/>
        <w:tabs>
          <w:tab w:leader="none" w:pos="942"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sz w:val="20"/>
          <w:szCs w:val="20"/>
          <w:color w:val="auto"/>
        </w:rPr>
      </w:pPr>
    </w:p>
    <w:p>
      <w:pPr>
        <w:jc w:val="both"/>
        <w:ind w:firstLine="656"/>
        <w:spacing w:after="0" w:line="257" w:lineRule="auto"/>
        <w:tabs>
          <w:tab w:leader="none" w:pos="9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firstLine="656"/>
        <w:spacing w:after="0" w:line="277"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20" w:firstLine="656"/>
        <w:spacing w:after="0" w:line="277" w:lineRule="auto"/>
        <w:tabs>
          <w:tab w:leader="none" w:pos="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656"/>
        <w:spacing w:after="0" w:line="257" w:lineRule="auto"/>
        <w:tabs>
          <w:tab w:leader="none" w:pos="9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(c)-(f) [Reserved]</w:t>
      </w:r>
    </w:p>
    <w:p>
      <w:pPr>
        <w:spacing w:after="0" w:line="225" w:lineRule="exact"/>
        <w:rPr>
          <w:sz w:val="20"/>
          <w:szCs w:val="20"/>
          <w:color w:val="auto"/>
        </w:rPr>
      </w:pPr>
    </w:p>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firstLine="656"/>
        <w:spacing w:after="0" w:line="254" w:lineRule="auto"/>
        <w:tabs>
          <w:tab w:leader="none" w:pos="9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(i)-(k) 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902"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Hong Kong SAR on March 31, 2021.</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Raymond Ming Hui Lin, his true and lawful attorneys-in-fact and agents, with full power of substitution and resubstitution for him and in his name, place and stead, in any and all capacities, to sign any and all amendments (including post-effective amendments) to this Registration Statement, and any subsequent registration statements pursuant to Rule 462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each of said attorney-in-fact or his substitute or substitutes, may lawfully do or cause to be done by virtue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 Feng Yang</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Xiao Feng Yang</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Raymond Ming Hui Lin</w:t>
            </w:r>
          </w:p>
        </w:tc>
        <w:tc>
          <w:tcPr>
            <w:tcW w:w="120" w:type="dxa"/>
            <w:vAlign w:val="bottom"/>
          </w:tcPr>
          <w:p>
            <w:pPr>
              <w:spacing w:after="0"/>
              <w:rPr>
                <w:sz w:val="20"/>
                <w:szCs w:val="20"/>
                <w:color w:val="auto"/>
              </w:rPr>
            </w:pPr>
          </w:p>
        </w:tc>
        <w:tc>
          <w:tcPr>
            <w:tcW w:w="460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Zhaohui Feng</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Zhaohui Feng</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Chong Seng Kee</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Chong Seng Kee</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 He Shao</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Jin He Shao</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AUTHORIZED UNITED STATES REPRESENTATIVE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 of the Securities Act of 1933, the undersigned, the duly authorized representative in the United States of the aforementioned Registrant, has signed this registration statement in the City of Newark, State of Delaware, on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PUGLISI &amp; ASSOCIATES</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Donald J. Puglisi</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 - Ogier Global (Cayman) Limited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+852 3656 6054</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nathan.powell@ogier.com</w:t>
      </w:r>
    </w:p>
    <w:p>
      <w:pPr>
        <w:spacing w:after="0" w:line="32"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color w:val="auto"/>
        </w:rPr>
        <w:t>89 Nexus Way, Camana Bay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KY1-9009</w:t>
      </w:r>
    </w:p>
    <w:p>
      <w:pPr>
        <w:sectPr>
          <w:pgSz w:w="11900" w:h="16838" w:orient="portrait"/>
          <w:cols w:equalWidth="0" w:num="1">
            <w:col w:w="11240"/>
          </w:cols>
          <w:pgMar w:left="320" w:top="121"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Reference: NMP/FYC/173339.00002</w:t>
      </w:r>
    </w:p>
    <w:p>
      <w:pPr>
        <w:spacing w:after="0" w:line="200"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31 March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CLPS Incorporation (the Company)</w:t>
      </w:r>
    </w:p>
    <w:p>
      <w:pPr>
        <w:sectPr>
          <w:pgSz w:w="11900" w:h="16838" w:orient="portrait"/>
          <w:cols w:equalWidth="0" w:num="1">
            <w:col w:w="11240"/>
          </w:cols>
          <w:pgMar w:left="320" w:top="121" w:right="339" w:bottom="1440" w:gutter="0" w:footer="0" w:header="0"/>
          <w:type w:val="continuous"/>
        </w:sectPr>
      </w:pP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acted as Cayman Islands counsel to the Company in connection with the Company’s preparation of the Registration Statement on Form F-3, including all amendments or supplements thereto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to be filed by the Company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under the United States Securities Act 1933, as amended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on or about the date hereof. The Registration Statement relates to the issuance of 2,666,666 shares of US$0.0001 par value of the Company (the </w:t>
      </w:r>
      <w:r>
        <w:rPr>
          <w:rFonts w:ascii="Arial" w:cs="Arial" w:eastAsia="Arial" w:hAnsi="Arial"/>
          <w:sz w:val="18"/>
          <w:szCs w:val="18"/>
          <w:b w:val="1"/>
          <w:bCs w:val="1"/>
          <w:color w:val="auto"/>
        </w:rPr>
        <w:t>Warrant Shares</w:t>
      </w:r>
      <w:r>
        <w:rPr>
          <w:rFonts w:ascii="Arial" w:cs="Arial" w:eastAsia="Arial" w:hAnsi="Arial"/>
          <w:sz w:val="18"/>
          <w:szCs w:val="18"/>
          <w:color w:val="auto"/>
        </w:rPr>
        <w:t>) upon the exercise of the Company’s private placement Warrants (as defined below) by the holders thereof.</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2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the purposes of giving this opinion, we have examined originals, copies, or drafts of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the Company dated 11 May 2017 issued by the Registrar of Companies of the Cayman Islands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amended and restated memorandum and articles of association of the Company adopted by special resolutions of the Company dated 7 December 2017 (respectively, the </w:t>
      </w:r>
      <w:r>
        <w:rPr>
          <w:rFonts w:ascii="Arial" w:cs="Arial" w:eastAsia="Arial" w:hAnsi="Arial"/>
          <w:sz w:val="18"/>
          <w:szCs w:val="18"/>
          <w:b w:val="1"/>
          <w:bCs w:val="1"/>
          <w:color w:val="auto"/>
        </w:rPr>
        <w:t>Memorandum</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a certificate of good standing dated 22 February 2021 (the </w:t>
      </w:r>
      <w:r>
        <w:rPr>
          <w:rFonts w:ascii="Arial" w:cs="Arial" w:eastAsia="Arial" w:hAnsi="Arial"/>
          <w:sz w:val="16"/>
          <w:szCs w:val="16"/>
          <w:b w:val="1"/>
          <w:bCs w:val="1"/>
          <w:color w:val="auto"/>
        </w:rPr>
        <w:t>Good Standing Certificate</w:t>
      </w:r>
      <w:r>
        <w:rPr>
          <w:rFonts w:ascii="Arial" w:cs="Arial" w:eastAsia="Arial" w:hAnsi="Arial"/>
          <w:sz w:val="16"/>
          <w:szCs w:val="16"/>
          <w:color w:val="auto"/>
        </w:rPr>
        <w:t>) issued by the Registrar in respect of the Company;</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a copy of the register of directors of the Company as at 17 December 2020 (the </w:t>
      </w:r>
      <w:r>
        <w:rPr>
          <w:rFonts w:ascii="Arial" w:cs="Arial" w:eastAsia="Arial" w:hAnsi="Arial"/>
          <w:sz w:val="18"/>
          <w:szCs w:val="18"/>
          <w:b w:val="1"/>
          <w:bCs w:val="1"/>
          <w:color w:val="auto"/>
        </w:rPr>
        <w:t>ROD</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Arial" w:cs="Arial" w:eastAsia="Arial" w:hAnsi="Arial"/>
                <w:sz w:val="14"/>
                <w:szCs w:val="14"/>
                <w:b w:val="1"/>
                <w:bCs w:val="1"/>
                <w:color w:val="auto"/>
              </w:rPr>
              <w:t>Ogier</w:t>
            </w:r>
          </w:p>
        </w:tc>
        <w:tc>
          <w:tcPr>
            <w:tcW w:w="726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British Virgin Islands, Cayman Islands, Guernsey,</w:t>
            </w:r>
          </w:p>
        </w:tc>
        <w:tc>
          <w:tcPr>
            <w:tcW w:w="7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line="149" w:lineRule="exact"/>
              <w:rPr>
                <w:sz w:val="20"/>
                <w:szCs w:val="20"/>
                <w:color w:val="auto"/>
              </w:rPr>
            </w:pPr>
            <w:r>
              <w:rPr>
                <w:rFonts w:ascii="Arial" w:cs="Arial" w:eastAsia="Arial" w:hAnsi="Arial"/>
                <w:sz w:val="14"/>
                <w:szCs w:val="14"/>
                <w:color w:val="auto"/>
              </w:rPr>
              <w:t>Jersey and Luxembourg practitioners</w:t>
            </w:r>
          </w:p>
        </w:tc>
        <w:tc>
          <w:tcPr>
            <w:tcW w:w="7260" w:type="dxa"/>
            <w:vAlign w:val="bottom"/>
          </w:tcPr>
          <w:p>
            <w:pPr>
              <w:ind w:left="1100"/>
              <w:spacing w:after="0" w:line="149" w:lineRule="exact"/>
              <w:rPr>
                <w:sz w:val="20"/>
                <w:szCs w:val="20"/>
                <w:color w:val="auto"/>
              </w:rPr>
            </w:pPr>
            <w:r>
              <w:rPr>
                <w:rFonts w:ascii="Arial" w:cs="Arial" w:eastAsia="Arial" w:hAnsi="Arial"/>
                <w:sz w:val="14"/>
                <w:szCs w:val="14"/>
                <w:color w:val="auto"/>
              </w:rPr>
              <w:t>Nicholas Plowman</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7260" w:type="dxa"/>
            <w:vAlign w:val="bottom"/>
          </w:tcPr>
          <w:p>
            <w:pPr>
              <w:ind w:left="1100"/>
              <w:spacing w:after="0" w:line="149" w:lineRule="exact"/>
              <w:rPr>
                <w:sz w:val="20"/>
                <w:szCs w:val="20"/>
                <w:color w:val="auto"/>
              </w:rPr>
            </w:pPr>
            <w:r>
              <w:rPr>
                <w:rFonts w:ascii="Arial" w:cs="Arial" w:eastAsia="Arial" w:hAnsi="Arial"/>
                <w:sz w:val="14"/>
                <w:szCs w:val="14"/>
                <w:color w:val="auto"/>
              </w:rPr>
              <w:t>Nathan Powell</w:t>
            </w:r>
          </w:p>
        </w:tc>
        <w:tc>
          <w:tcPr>
            <w:tcW w:w="0" w:type="dxa"/>
            <w:vAlign w:val="bottom"/>
          </w:tcPr>
          <w:p>
            <w:pPr>
              <w:spacing w:after="0"/>
              <w:rPr>
                <w:sz w:val="1"/>
                <w:szCs w:val="1"/>
                <w:color w:val="auto"/>
              </w:rPr>
            </w:pPr>
          </w:p>
        </w:tc>
      </w:tr>
      <w:tr>
        <w:trPr>
          <w:trHeight w:val="149"/>
        </w:trPr>
        <w:tc>
          <w:tcPr>
            <w:tcW w:w="3980" w:type="dxa"/>
            <w:vAlign w:val="bottom"/>
          </w:tcPr>
          <w:p>
            <w:pPr>
              <w:spacing w:after="0" w:line="149" w:lineRule="exact"/>
              <w:rPr>
                <w:sz w:val="20"/>
                <w:szCs w:val="20"/>
                <w:color w:val="auto"/>
              </w:rPr>
            </w:pPr>
            <w:r>
              <w:rPr>
                <w:rFonts w:ascii="Arial" w:cs="Arial" w:eastAsia="Arial" w:hAnsi="Arial"/>
                <w:sz w:val="14"/>
                <w:szCs w:val="14"/>
                <w:color w:val="auto"/>
              </w:rPr>
              <w:t>Floor 11 Central Tower</w:t>
            </w:r>
          </w:p>
        </w:tc>
        <w:tc>
          <w:tcPr>
            <w:tcW w:w="7260" w:type="dxa"/>
            <w:vAlign w:val="bottom"/>
          </w:tcPr>
          <w:p>
            <w:pPr>
              <w:ind w:left="1100"/>
              <w:spacing w:after="0" w:line="149" w:lineRule="exact"/>
              <w:rPr>
                <w:sz w:val="20"/>
                <w:szCs w:val="20"/>
                <w:color w:val="auto"/>
              </w:rPr>
            </w:pPr>
            <w:r>
              <w:rPr>
                <w:rFonts w:ascii="Arial" w:cs="Arial" w:eastAsia="Arial" w:hAnsi="Arial"/>
                <w:sz w:val="14"/>
                <w:szCs w:val="14"/>
                <w:color w:val="auto"/>
              </w:rPr>
              <w:t>Anthony Oakes</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28 Queen’s Road Central</w:t>
            </w:r>
          </w:p>
        </w:tc>
        <w:tc>
          <w:tcPr>
            <w:tcW w:w="7260" w:type="dxa"/>
            <w:vAlign w:val="bottom"/>
          </w:tcPr>
          <w:p>
            <w:pPr>
              <w:ind w:left="1100"/>
              <w:spacing w:after="0" w:line="149" w:lineRule="exact"/>
              <w:rPr>
                <w:sz w:val="20"/>
                <w:szCs w:val="20"/>
                <w:color w:val="auto"/>
              </w:rPr>
            </w:pPr>
            <w:r>
              <w:rPr>
                <w:rFonts w:ascii="Arial" w:cs="Arial" w:eastAsia="Arial" w:hAnsi="Arial"/>
                <w:sz w:val="14"/>
                <w:szCs w:val="14"/>
                <w:color w:val="auto"/>
              </w:rPr>
              <w:t>Oliver Payne</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Central</w:t>
            </w:r>
          </w:p>
        </w:tc>
        <w:tc>
          <w:tcPr>
            <w:tcW w:w="7260" w:type="dxa"/>
            <w:vAlign w:val="bottom"/>
          </w:tcPr>
          <w:p>
            <w:pPr>
              <w:ind w:left="1100"/>
              <w:spacing w:after="0" w:line="149" w:lineRule="exact"/>
              <w:rPr>
                <w:sz w:val="20"/>
                <w:szCs w:val="20"/>
                <w:color w:val="auto"/>
              </w:rPr>
            </w:pPr>
            <w:r>
              <w:rPr>
                <w:rFonts w:ascii="Arial" w:cs="Arial" w:eastAsia="Arial" w:hAnsi="Arial"/>
                <w:sz w:val="14"/>
                <w:szCs w:val="14"/>
                <w:color w:val="auto"/>
              </w:rPr>
              <w:t>Kate Hodson</w:t>
            </w:r>
          </w:p>
        </w:tc>
        <w:tc>
          <w:tcPr>
            <w:tcW w:w="0" w:type="dxa"/>
            <w:vAlign w:val="bottom"/>
          </w:tcPr>
          <w:p>
            <w:pPr>
              <w:spacing w:after="0"/>
              <w:rPr>
                <w:sz w:val="1"/>
                <w:szCs w:val="1"/>
                <w:color w:val="auto"/>
              </w:rPr>
            </w:pPr>
          </w:p>
        </w:tc>
      </w:tr>
      <w:tr>
        <w:trPr>
          <w:trHeight w:val="149"/>
        </w:trPr>
        <w:tc>
          <w:tcPr>
            <w:tcW w:w="3980" w:type="dxa"/>
            <w:vAlign w:val="bottom"/>
          </w:tcPr>
          <w:p>
            <w:pPr>
              <w:spacing w:after="0" w:line="149" w:lineRule="exact"/>
              <w:rPr>
                <w:sz w:val="20"/>
                <w:szCs w:val="20"/>
                <w:color w:val="auto"/>
              </w:rPr>
            </w:pPr>
            <w:r>
              <w:rPr>
                <w:rFonts w:ascii="Arial" w:cs="Arial" w:eastAsia="Arial" w:hAnsi="Arial"/>
                <w:sz w:val="14"/>
                <w:szCs w:val="14"/>
                <w:color w:val="auto"/>
              </w:rPr>
              <w:t>Hong Kong</w:t>
            </w:r>
          </w:p>
        </w:tc>
        <w:tc>
          <w:tcPr>
            <w:tcW w:w="7260" w:type="dxa"/>
            <w:vAlign w:val="bottom"/>
          </w:tcPr>
          <w:p>
            <w:pPr>
              <w:ind w:left="1100"/>
              <w:spacing w:after="0" w:line="149" w:lineRule="exact"/>
              <w:rPr>
                <w:sz w:val="20"/>
                <w:szCs w:val="20"/>
                <w:color w:val="auto"/>
              </w:rPr>
            </w:pPr>
            <w:r>
              <w:rPr>
                <w:rFonts w:ascii="Arial" w:cs="Arial" w:eastAsia="Arial" w:hAnsi="Arial"/>
                <w:sz w:val="14"/>
                <w:szCs w:val="14"/>
                <w:color w:val="auto"/>
              </w:rPr>
              <w:t>David Nelson</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7260" w:type="dxa"/>
            <w:vAlign w:val="bottom"/>
          </w:tcPr>
          <w:p>
            <w:pPr>
              <w:ind w:left="1100"/>
              <w:spacing w:after="0" w:line="149" w:lineRule="exact"/>
              <w:rPr>
                <w:sz w:val="20"/>
                <w:szCs w:val="20"/>
                <w:color w:val="auto"/>
              </w:rPr>
            </w:pPr>
            <w:r>
              <w:rPr>
                <w:rFonts w:ascii="Arial" w:cs="Arial" w:eastAsia="Arial" w:hAnsi="Arial"/>
                <w:sz w:val="14"/>
                <w:szCs w:val="14"/>
                <w:color w:val="auto"/>
              </w:rPr>
              <w:t>Michael Snape</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T +852 3656 6000</w:t>
            </w:r>
          </w:p>
        </w:tc>
        <w:tc>
          <w:tcPr>
            <w:tcW w:w="7260" w:type="dxa"/>
            <w:vAlign w:val="bottom"/>
          </w:tcPr>
          <w:p>
            <w:pPr>
              <w:ind w:left="1100"/>
              <w:spacing w:after="0" w:line="149" w:lineRule="exact"/>
              <w:rPr>
                <w:sz w:val="20"/>
                <w:szCs w:val="20"/>
                <w:color w:val="auto"/>
              </w:rPr>
            </w:pPr>
            <w:r>
              <w:rPr>
                <w:rFonts w:ascii="Arial" w:cs="Arial" w:eastAsia="Arial" w:hAnsi="Arial"/>
                <w:sz w:val="14"/>
                <w:szCs w:val="14"/>
                <w:color w:val="auto"/>
              </w:rPr>
              <w:t>Justin Davis</w:t>
            </w:r>
          </w:p>
        </w:tc>
        <w:tc>
          <w:tcPr>
            <w:tcW w:w="0" w:type="dxa"/>
            <w:vAlign w:val="bottom"/>
          </w:tcPr>
          <w:p>
            <w:pPr>
              <w:spacing w:after="0"/>
              <w:rPr>
                <w:sz w:val="1"/>
                <w:szCs w:val="1"/>
                <w:color w:val="auto"/>
              </w:rPr>
            </w:pPr>
          </w:p>
        </w:tc>
      </w:tr>
      <w:tr>
        <w:trPr>
          <w:trHeight w:val="145"/>
        </w:trPr>
        <w:tc>
          <w:tcPr>
            <w:tcW w:w="3980" w:type="dxa"/>
            <w:vAlign w:val="bottom"/>
          </w:tcPr>
          <w:p>
            <w:pPr>
              <w:spacing w:after="0" w:line="145" w:lineRule="exact"/>
              <w:rPr>
                <w:sz w:val="20"/>
                <w:szCs w:val="20"/>
                <w:color w:val="auto"/>
              </w:rPr>
            </w:pPr>
            <w:r>
              <w:rPr>
                <w:rFonts w:ascii="Arial" w:cs="Arial" w:eastAsia="Arial" w:hAnsi="Arial"/>
                <w:sz w:val="14"/>
                <w:szCs w:val="14"/>
                <w:color w:val="auto"/>
              </w:rPr>
              <w:t>F +852 3656 6001</w:t>
            </w:r>
          </w:p>
        </w:tc>
        <w:tc>
          <w:tcPr>
            <w:tcW w:w="7260" w:type="dxa"/>
            <w:vAlign w:val="bottom"/>
          </w:tcPr>
          <w:p>
            <w:pPr>
              <w:ind w:left="1100"/>
              <w:spacing w:after="0" w:line="145" w:lineRule="exact"/>
              <w:rPr>
                <w:sz w:val="20"/>
                <w:szCs w:val="20"/>
                <w:color w:val="auto"/>
              </w:rPr>
            </w:pPr>
            <w:r>
              <w:rPr>
                <w:rFonts w:ascii="Arial" w:cs="Arial" w:eastAsia="Arial" w:hAnsi="Arial"/>
                <w:sz w:val="14"/>
                <w:szCs w:val="14"/>
                <w:color w:val="auto"/>
              </w:rPr>
              <w:t>James Bergstrom</w:t>
            </w:r>
          </w:p>
        </w:tc>
        <w:tc>
          <w:tcPr>
            <w:tcW w:w="0" w:type="dxa"/>
            <w:vAlign w:val="bottom"/>
          </w:tcPr>
          <w:p>
            <w:pPr>
              <w:spacing w:after="0"/>
              <w:rPr>
                <w:sz w:val="1"/>
                <w:szCs w:val="1"/>
                <w:color w:val="auto"/>
              </w:rPr>
            </w:pPr>
          </w:p>
        </w:tc>
      </w:tr>
      <w:tr>
        <w:trPr>
          <w:trHeight w:val="186"/>
        </w:trPr>
        <w:tc>
          <w:tcPr>
            <w:tcW w:w="3980" w:type="dxa"/>
            <w:vAlign w:val="bottom"/>
          </w:tcPr>
          <w:p>
            <w:pPr>
              <w:spacing w:after="0"/>
              <w:rPr>
                <w:sz w:val="20"/>
                <w:szCs w:val="20"/>
                <w:color w:val="auto"/>
              </w:rPr>
            </w:pPr>
            <w:r>
              <w:rPr>
                <w:rFonts w:ascii="Arial" w:cs="Arial" w:eastAsia="Arial" w:hAnsi="Arial"/>
                <w:sz w:val="14"/>
                <w:szCs w:val="14"/>
                <w:b w:val="1"/>
                <w:bCs w:val="1"/>
                <w:color w:val="auto"/>
              </w:rPr>
              <w:t>ogier.com</w:t>
            </w:r>
          </w:p>
        </w:tc>
        <w:tc>
          <w:tcPr>
            <w:tcW w:w="7260" w:type="dxa"/>
            <w:vAlign w:val="bottom"/>
          </w:tcPr>
          <w:p>
            <w:pPr>
              <w:ind w:left="1100"/>
              <w:spacing w:after="0"/>
              <w:rPr>
                <w:sz w:val="20"/>
                <w:szCs w:val="20"/>
                <w:color w:val="auto"/>
              </w:rPr>
            </w:pPr>
            <w:r>
              <w:rPr>
                <w:rFonts w:ascii="Arial" w:cs="Arial" w:eastAsia="Arial" w:hAnsi="Arial"/>
                <w:sz w:val="14"/>
                <w:szCs w:val="14"/>
                <w:color w:val="auto"/>
              </w:rPr>
              <w:t>Marcus Leese</w:t>
            </w:r>
          </w:p>
        </w:tc>
        <w:tc>
          <w:tcPr>
            <w:tcW w:w="0" w:type="dxa"/>
            <w:vAlign w:val="bottom"/>
          </w:tcPr>
          <w:p>
            <w:pPr>
              <w:spacing w:after="0"/>
              <w:rPr>
                <w:sz w:val="1"/>
                <w:szCs w:val="1"/>
                <w:color w:val="auto"/>
              </w:rPr>
            </w:pPr>
          </w:p>
        </w:tc>
      </w:tr>
      <w:tr>
        <w:trPr>
          <w:trHeight w:val="559"/>
        </w:trPr>
        <w:tc>
          <w:tcPr>
            <w:tcW w:w="39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229"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 extract copy of the listed register of members of the Company as at 28 February 2021 and provided to us by the Company on 2 March 2021 (the </w:t>
      </w:r>
      <w:r>
        <w:rPr>
          <w:rFonts w:ascii="Arial" w:cs="Arial" w:eastAsia="Arial" w:hAnsi="Arial"/>
          <w:sz w:val="18"/>
          <w:szCs w:val="18"/>
          <w:b w:val="1"/>
          <w:bCs w:val="1"/>
          <w:color w:val="auto"/>
        </w:rPr>
        <w:t>ROM</w:t>
      </w:r>
      <w:r>
        <w:rPr>
          <w:rFonts w:ascii="Arial" w:cs="Arial" w:eastAsia="Arial" w:hAnsi="Arial"/>
          <w:sz w:val="18"/>
          <w:szCs w:val="18"/>
          <w:color w:val="auto"/>
        </w:rPr>
        <w:t xml:space="preserve">, and together with the ROD, the </w:t>
      </w:r>
      <w:r>
        <w:rPr>
          <w:rFonts w:ascii="Arial" w:cs="Arial" w:eastAsia="Arial" w:hAnsi="Arial"/>
          <w:sz w:val="18"/>
          <w:szCs w:val="18"/>
          <w:b w:val="1"/>
          <w:bCs w:val="1"/>
          <w:color w:val="auto"/>
        </w:rPr>
        <w:t>Registers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 copy of the written resolutions of the board of directors dated 17 February 2021 and the written consent of the pricing committee of the board of directors dated 1 March 2021 (the </w:t>
      </w:r>
      <w:r>
        <w:rPr>
          <w:rFonts w:ascii="Arial" w:cs="Arial" w:eastAsia="Arial" w:hAnsi="Arial"/>
          <w:sz w:val="18"/>
          <w:szCs w:val="18"/>
          <w:b w:val="1"/>
          <w:bCs w:val="1"/>
          <w:color w:val="auto"/>
        </w:rPr>
        <w:t>Board Resolutions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securities purchase agreement dated 28 February 2021 between the Company and the purchasers named thereto (the </w:t>
      </w:r>
      <w:r>
        <w:rPr>
          <w:rFonts w:ascii="Arial" w:cs="Arial" w:eastAsia="Arial" w:hAnsi="Arial"/>
          <w:sz w:val="18"/>
          <w:szCs w:val="18"/>
          <w:b w:val="1"/>
          <w:bCs w:val="1"/>
          <w:color w:val="auto"/>
        </w:rPr>
        <w:t>Securities 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common share purchase warrant issued by the Company on 3 March 2021 to each of Anson Investments Master Fund LP, Anson East Master Fund LP, Armistice Capital Master Fund Ltd., Intracoastal Capital, LLC, L1 Capital Global Opportunities Master Fund and S.H.N. Financial Investment Ltd., respectively (the </w:t>
      </w:r>
      <w:r>
        <w:rPr>
          <w:rFonts w:ascii="Arial" w:cs="Arial" w:eastAsia="Arial" w:hAnsi="Arial"/>
          <w:sz w:val="16"/>
          <w:szCs w:val="16"/>
          <w:b w:val="1"/>
          <w:bCs w:val="1"/>
          <w:color w:val="auto"/>
        </w:rPr>
        <w:t>Warrants</w:t>
      </w:r>
      <w:r>
        <w:rPr>
          <w:rFonts w:ascii="Arial" w:cs="Arial" w:eastAsia="Arial" w:hAnsi="Arial"/>
          <w:sz w:val="16"/>
          <w:szCs w:val="16"/>
          <w:color w:val="auto"/>
        </w:rPr>
        <w:t xml:space="preserve">, and together with the Securities Purchase Agreement, the </w:t>
      </w:r>
      <w:r>
        <w:rPr>
          <w:rFonts w:ascii="Arial" w:cs="Arial" w:eastAsia="Arial" w:hAnsi="Arial"/>
          <w:sz w:val="16"/>
          <w:szCs w:val="16"/>
          <w:b w:val="1"/>
          <w:bCs w:val="1"/>
          <w:color w:val="auto"/>
        </w:rPr>
        <w:t>Documents</w:t>
      </w:r>
      <w:r>
        <w:rPr>
          <w:rFonts w:ascii="Arial" w:cs="Arial" w:eastAsia="Arial" w:hAnsi="Arial"/>
          <w:sz w:val="16"/>
          <w:szCs w:val="16"/>
          <w:color w:val="auto"/>
        </w:rPr>
        <w:t>); and</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70" w:lineRule="exact"/>
        <w:rPr>
          <w:rFonts w:ascii="Arial" w:cs="Arial" w:eastAsia="Arial" w:hAnsi="Arial"/>
          <w:sz w:val="18"/>
          <w:szCs w:val="18"/>
          <w:b w:val="1"/>
          <w:bCs w:val="1"/>
          <w:color w:val="auto"/>
        </w:rPr>
      </w:pPr>
    </w:p>
    <w:p>
      <w:pPr>
        <w:ind w:left="980" w:hanging="324"/>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original documents examined by us are authentic and complete;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copy documents examined by us (whether in facsimile, electronic or other form) conform to the originals and those originals are authentic and complete;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signatures, seals, dates, stamps and markings (whether on original or copy documents) are genuine;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of the Good Standing Certificate and the Registers is accurate and complete as at the date of this opinion;</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Memorandum and Articles provided to you are in full force and effect and have not been amended, varied, supplemented or revoked in any respect;</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copies of the Registration Statement are true and correct copies and the Registration Statement conform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183"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transactions set out in the Board Resolutions and no director has a financial interest in or other relationship to a party of the transactions contemplated therein which has not been properly disclosed in the Board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229" w:lineRule="exact"/>
        <w:rPr>
          <w:sz w:val="20"/>
          <w:szCs w:val="20"/>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the directors and shareholders of the Company have taken any steps to wind up the Company or to appoint a liquidator of the Company and no receiver has been appointed over any of the Company’s property or assets;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have sufficient authorised share capital to effect the issue of any of the Warrant Shares at the time of issuance,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invitation has been or will be made by or on behalf of the Company to the public in the Cayman Islands to subscribe for any Warrant Shares and none of the Warrant Shares have been offered or issued to residents of the Cayman Islands;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issue of the Warrant Shares, the Company will receive consideration for the full issue price thereof which shall be equal to at least the par value thereof;</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is, and after the allotment (where applicable) and issuance of the Warrant Shares will be, able to pay its liabilities as they fall due;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no provision of the law of any jurisdiction, other than the Cayman Islands, which would have any implication in relation to the opinions expressed herein.</w:t>
      </w:r>
    </w:p>
    <w:p>
      <w:pPr>
        <w:spacing w:after="0" w:line="166"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basis of the examinations and assumptions referred to above and subject to the limitations and qualifications set forth in paragraph 4 below, we are of the opinion that:</w:t>
      </w:r>
    </w:p>
    <w:p>
      <w:pPr>
        <w:spacing w:after="0" w:line="16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Corporate status</w:t>
      </w:r>
    </w:p>
    <w:p>
      <w:pPr>
        <w:spacing w:after="0" w:line="229" w:lineRule="exact"/>
        <w:rPr>
          <w:rFonts w:ascii="Arial" w:cs="Arial" w:eastAsia="Arial" w:hAnsi="Arial"/>
          <w:sz w:val="18"/>
          <w:szCs w:val="18"/>
          <w:b w:val="1"/>
          <w:bCs w:val="1"/>
          <w:color w:val="auto"/>
        </w:rPr>
      </w:pPr>
    </w:p>
    <w:p>
      <w:pPr>
        <w:ind w:left="9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has been duly incorporated as an exempted company and is validly existing and in good standing with the Registrar. It is a separate legal entity and is subject to suit in its own name.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Valid Issuance of Warrant Shares</w:t>
      </w:r>
    </w:p>
    <w:p>
      <w:pPr>
        <w:spacing w:after="0" w:line="229"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Warrant Shares have been duly and validly authorized for issuance pursuant to the Board Resolutions.</w:t>
      </w:r>
    </w:p>
    <w:p>
      <w:pPr>
        <w:spacing w:after="0" w:line="225"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Assuming that payment of the consideration set forth in the Documents has been made in full and no requirement to pay additional consideration is contained in any other document and subject to the satisfaction of any conditions or requirements set forth in the Documents, the Memorandum and Articles and the Board Resolutions, the Warrant Shares, when issued upon the exercise of the Warrants in accordance with the terms of the Documents and the Memorandum and Articles, will be validly issued as fully paid and non-assessable under Cayman Islands law. Upon entry in the listed shares register of the Company, the holders of the Warrant Shares will be the registered holders of such number of Warrant Shares as noted against their names on such listed shares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and Qualifications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We offer no opinion:</w:t>
      </w:r>
    </w:p>
    <w:p>
      <w:pPr>
        <w:spacing w:after="0" w:line="225" w:lineRule="exact"/>
        <w:rPr>
          <w:sz w:val="20"/>
          <w:szCs w:val="20"/>
          <w:color w:val="auto"/>
        </w:rPr>
      </w:pPr>
    </w:p>
    <w:p>
      <w:pPr>
        <w:jc w:val="both"/>
        <w:ind w:left="980" w:hanging="324"/>
        <w:spacing w:after="0" w:line="286"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to statutes, rules, regulations, codes or judicial authority of any jurisdiction other than the Cayman Islands; or</w:t>
      </w:r>
    </w:p>
    <w:p>
      <w:pPr>
        <w:spacing w:after="0" w:line="165"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w:t>
      </w:r>
    </w:p>
    <w:p>
      <w:pPr>
        <w:spacing w:after="0" w:line="183"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Under the Companies Act (Revised) (</w:t>
      </w:r>
      <w:r>
        <w:rPr>
          <w:rFonts w:ascii="Arial" w:cs="Arial" w:eastAsia="Arial" w:hAnsi="Arial"/>
          <w:sz w:val="17"/>
          <w:szCs w:val="17"/>
          <w:b w:val="1"/>
          <w:bCs w:val="1"/>
          <w:color w:val="auto"/>
        </w:rPr>
        <w:t>Companies Act</w:t>
      </w:r>
      <w:r>
        <w:rPr>
          <w:rFonts w:ascii="Arial" w:cs="Arial" w:eastAsia="Arial" w:hAnsi="Arial"/>
          <w:sz w:val="17"/>
          <w:szCs w:val="17"/>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6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In </w:t>
      </w:r>
      <w:r>
        <w:rPr>
          <w:rFonts w:ascii="Arial" w:cs="Arial" w:eastAsia="Arial" w:hAnsi="Arial"/>
          <w:sz w:val="17"/>
          <w:szCs w:val="17"/>
          <w:b w:val="1"/>
          <w:bCs w:val="1"/>
          <w:color w:val="auto"/>
        </w:rPr>
        <w:t>good standing</w:t>
      </w:r>
      <w:r>
        <w:rPr>
          <w:rFonts w:ascii="Arial" w:cs="Arial" w:eastAsia="Arial" w:hAnsi="Arial"/>
          <w:sz w:val="17"/>
          <w:szCs w:val="17"/>
          <w:color w:val="auto"/>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Act.</w:t>
      </w:r>
    </w:p>
    <w:p>
      <w:pPr>
        <w:spacing w:after="0" w:line="15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governed by, and shall be construed in accordance with, the laws of the Cayman Islands;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limited to the matters expressly stated in it;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otherwise indicated, a reference to any specific Cayman Islands legislation is a reference to that legislation as amended to, and as in force at, the date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22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hereby consent to the filing of this opinion as an exhibit to the Registration Statement and to the reference to our firm under the headings “Legal Matters”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This opinion may be used only in connection with the offer and sale of the Warrant Shares while the Registration Statement is effective.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and related Prospectus of CLPS Incorporation for the registration of 2,666,666 shares of its common stock and to the incorporation by reference therein of our report dated October 22, 2020, with respect to the consolidated financial statements of CLPS Incorporation, included in its Annual Report (Form 20-F) for the year ended June 30, 2020,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2"/>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lowerRoman"/>
      <w:start w:val="2"/>
    </w:lvl>
  </w:abstractNum>
  <w:abstractNum w:abstractNumId="17">
    <w:nsid w:val="189A769B"/>
    <w:multiLevelType w:val="hybridMultilevel"/>
    <w:lvl w:ilvl="0">
      <w:lvlJc w:val="left"/>
      <w:lvlText w:val="(%1)"/>
      <w:numFmt w:val="decimal"/>
      <w:start w:val="2"/>
    </w:lvl>
  </w:abstractNum>
  <w:abstractNum w:abstractNumId="18">
    <w:nsid w:val="54E49EB4"/>
    <w:multiLevelType w:val="hybridMultilevel"/>
    <w:lvl w:ilvl="0">
      <w:lvlJc w:val="left"/>
      <w:lvlText w:val="(%1)"/>
      <w:numFmt w:val="decimal"/>
      <w:start w:val="4"/>
    </w:lvl>
  </w:abstractNum>
  <w:abstractNum w:abstractNumId="19">
    <w:nsid w:val="71F32454"/>
    <w:multiLevelType w:val="hybridMultilevel"/>
    <w:lvl w:ilvl="0">
      <w:lvlJc w:val="left"/>
      <w:lvlText w:val="(%1)"/>
      <w:numFmt w:val="upperLetter"/>
      <w:start w:val="1"/>
    </w:lvl>
  </w:abstractNum>
  <w:abstractNum w:abstractNumId="20">
    <w:nsid w:val="2CA88611"/>
    <w:multiLevelType w:val="hybridMultilevel"/>
    <w:lvl w:ilvl="0">
      <w:lvlJc w:val="left"/>
      <w:lvlText w:val="(%1)"/>
      <w:numFmt w:val="decimal"/>
      <w:start w:val="6"/>
    </w:lvl>
  </w:abstractNum>
  <w:abstractNum w:abstractNumId="21">
    <w:nsid w:val="836C40E"/>
    <w:multiLevelType w:val="hybridMultilevel"/>
    <w:lvl w:ilvl="0">
      <w:lvlJc w:val="left"/>
      <w:lvlText w:val="(%1)"/>
      <w:numFmt w:val="lowerRoman"/>
      <w:start w:val="1"/>
    </w:lvl>
  </w:abstractNum>
  <w:abstractNum w:abstractNumId="22">
    <w:nsid w:val="2901D82"/>
    <w:multiLevelType w:val="hybridMultilevel"/>
    <w:lvl w:ilvl="0">
      <w:lvlJc w:val="left"/>
      <w:lvlText w:val="(%1)"/>
      <w:numFmt w:val="lowerLetter"/>
      <w:start w:val="2"/>
    </w:lvl>
  </w:abstractNum>
  <w:abstractNum w:abstractNumId="23">
    <w:nsid w:val="3A95F874"/>
    <w:multiLevelType w:val="hybridMultilevel"/>
    <w:lvl w:ilvl="0">
      <w:lvlJc w:val="left"/>
      <w:lvlText w:val="(%1)"/>
      <w:numFmt w:val="lowerLetter"/>
      <w:start w:val="7"/>
    </w:lvl>
  </w:abstractNum>
  <w:abstractNum w:abstractNumId="24">
    <w:nsid w:val="8138641"/>
    <w:multiLevelType w:val="hybridMultilevel"/>
    <w:lvl w:ilvl="0">
      <w:lvlJc w:val="left"/>
      <w:lvlText w:val="1"/>
      <w:numFmt w:val="bullet"/>
      <w:start w:val="1"/>
    </w:lvl>
    <w:lvl w:ilvl="1">
      <w:lvlJc w:val="left"/>
      <w:lvlText w:val="(%2)"/>
      <w:numFmt w:val="lowerLetter"/>
      <w:start w:val="1"/>
    </w:lvl>
  </w:abstractNum>
  <w:abstractNum w:abstractNumId="25">
    <w:nsid w:val="1E7FF521"/>
    <w:multiLevelType w:val="hybridMultilevel"/>
    <w:lvl w:ilvl="0">
      <w:lvlJc w:val="left"/>
      <w:lvlText w:val="(%1)"/>
      <w:numFmt w:val="lowerLetter"/>
      <w:start w:val="5"/>
    </w:lvl>
  </w:abstractNum>
  <w:abstractNum w:abstractNumId="26">
    <w:nsid w:val="7C3DBD3D"/>
    <w:multiLevelType w:val="hybridMultilevel"/>
    <w:lvl w:ilvl="0">
      <w:lvlJc w:val="left"/>
      <w:lvlText w:val="2"/>
      <w:numFmt w:val="bullet"/>
      <w:start w:val="1"/>
    </w:lvl>
    <w:lvl w:ilvl="1">
      <w:lvlJc w:val="left"/>
      <w:lvlText w:val="(%2)"/>
      <w:numFmt w:val="lowerLetter"/>
      <w:start w:val="1"/>
    </w:lvl>
  </w:abstractNum>
  <w:abstractNum w:abstractNumId="27">
    <w:nsid w:val="737B8DDC"/>
    <w:multiLevelType w:val="hybridMultilevel"/>
    <w:lvl w:ilvl="0">
      <w:lvlJc w:val="left"/>
      <w:lvlText w:val="(%1)"/>
      <w:numFmt w:val="lowerLetter"/>
      <w:start w:val="8"/>
    </w:lvl>
  </w:abstractNum>
  <w:abstractNum w:abstractNumId="28">
    <w:nsid w:val="6CEAF087"/>
    <w:multiLevelType w:val="hybridMultilevel"/>
    <w:lvl w:ilvl="0">
      <w:lvlJc w:val="left"/>
      <w:lvlText w:val="3"/>
      <w:numFmt w:val="bullet"/>
      <w:start w:val="1"/>
    </w:lvl>
    <w:lvl w:ilvl="1">
      <w:lvlJc w:val="left"/>
      <w:lvlText w:val="(%2)"/>
      <w:numFmt w:val="lowerLetter"/>
      <w:start w:val="1"/>
    </w:lvl>
  </w:abstractNum>
  <w:abstractNum w:abstractNumId="29">
    <w:nsid w:val="22221A70"/>
    <w:multiLevelType w:val="hybridMultilevel"/>
    <w:lvl w:ilvl="0">
      <w:lvlJc w:val="left"/>
      <w:lvlText w:val="(%1)"/>
      <w:numFmt w:val="lowerLetter"/>
      <w:start w:val="2"/>
    </w:lvl>
  </w:abstractNum>
  <w:abstractNum w:abstractNumId="30">
    <w:nsid w:val="4516DDE9"/>
    <w:multiLevelType w:val="hybridMultilevel"/>
    <w:lvl w:ilvl="0">
      <w:lvlJc w:val="left"/>
      <w:lvlText w:val="4"/>
      <w:numFmt w:val="bullet"/>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5"/>
      <w:numFmt w:val="bullet"/>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jpeg"/><Relationship Id="rId59"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47" Type="http://schemas.openxmlformats.org/officeDocument/2006/relationships/hyperlink" Target="http://www.sec.gov/Archives/edgar/data/1724542/000121390020032817/f20f2020_clpsincorporation.htm" TargetMode="External"/><Relationship Id="rId48" Type="http://schemas.openxmlformats.org/officeDocument/2006/relationships/hyperlink" Target="http://www.sec.gov/Archives/edgar/data/1724542/000121390020043269/ea131816-6k_clpsincorp.htm" TargetMode="External"/><Relationship Id="rId49" Type="http://schemas.openxmlformats.org/officeDocument/2006/relationships/hyperlink" Target="http://www.sec.gov/Archives/edgar/data/1724542/000121390020044657/ea132157-6k_clpsincorp.htm" TargetMode="External"/><Relationship Id="rId50" Type="http://schemas.openxmlformats.org/officeDocument/2006/relationships/hyperlink" Target="http://www.sec.gov/Archives/edgar/data/1724542/000121390021011673/ea136501-6k_clpsincorp.htm" TargetMode="External"/><Relationship Id="rId51" Type="http://schemas.openxmlformats.org/officeDocument/2006/relationships/hyperlink" Target="http://www.sec.gov/Archives/edgar/data/1724542/000121390021012377/ea136718-6k_clpsincorp.htm" TargetMode="External"/><Relationship Id="rId52" Type="http://schemas.openxmlformats.org/officeDocument/2006/relationships/hyperlink" Target="http://www.sec.gov/Archives/edgar/data/1724542/000121390021012959/ea136887-6ka_clps.htm" TargetMode="External"/><Relationship Id="rId53" Type="http://schemas.openxmlformats.org/officeDocument/2006/relationships/hyperlink" Target="http://www.sec.gov/Archives/edgar/data/1724542/000121390021013611/ea137099-6k_clpsincorp.htm" TargetMode="External"/><Relationship Id="rId54" Type="http://schemas.openxmlformats.org/officeDocument/2006/relationships/hyperlink" Target="http://www.sec.gov/Archives/edgar/data/1724542/000121390021017141/ea138250-6k_clpsincorp.htm" TargetMode="External"/><Relationship Id="rId55" Type="http://schemas.openxmlformats.org/officeDocument/2006/relationships/hyperlink" Target="http://www.sec.gov/Archives/edgar/data/1724542/000121390018006724/f8a12b0518_clpsincorporation.htm" TargetMode="External"/><Relationship Id="rId60" Type="http://schemas.openxmlformats.org/officeDocument/2006/relationships/hyperlink" Target="http://www.sec.gov/Archives/edgar/data/1724542/000121390018003524/ff12018ex3-1_clpsincorp.htm" TargetMode="External"/><Relationship Id="rId61" Type="http://schemas.openxmlformats.org/officeDocument/2006/relationships/hyperlink" Target="http://www.sec.gov/Archives/edgar/data/1724542/000121390018003524/ff12018ex4-1_clpsincorp.htm" TargetMode="External"/><Relationship Id="rId62" Type="http://schemas.openxmlformats.org/officeDocument/2006/relationships/hyperlink" Target="http://www.sec.gov/Archives/edgar/data/1724542/000121390021012377/ea136718ex4-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2021-03-31T16:48:47Z</dcterms:created>
  <dcterms:modified xsi:type="dcterms:W3CDTF">2021-03-31T16:48:47Z</dcterms:modified>
</cp:coreProperties>
</file>