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7,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Pre-effective Amendment No.1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F-3</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CLPS Incorporation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Unit 1102, 11th Floor, Millennium City III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370 Kwun Tong Road, Kwun Tong, Kowloon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Corporation Service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927-9800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Mitchell Nussbaum, Esq.</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Andrei Sirabionian,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Zhang,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407-4000</w:t>
      </w:r>
    </w:p>
    <w:p>
      <w:pPr>
        <w:spacing w:after="0" w:line="11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the effective date of this registration statement.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86"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9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89" w:lineRule="exact"/>
        <w:rPr>
          <w:sz w:val="24"/>
          <w:szCs w:val="24"/>
          <w:color w:val="auto"/>
        </w:rPr>
      </w:pPr>
    </w:p>
    <w:p>
      <w:pPr>
        <w:ind w:firstLine="8"/>
        <w:spacing w:after="0" w:line="277" w:lineRule="auto"/>
        <w:tabs>
          <w:tab w:leader="none" w:pos="17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620" w:type="dxa"/>
            <w:vAlign w:val="bottom"/>
            <w:gridSpan w:val="5"/>
          </w:tcPr>
          <w:p>
            <w:pPr>
              <w:jc w:val="right"/>
              <w:spacing w:after="0"/>
              <w:rPr>
                <w:sz w:val="20"/>
                <w:szCs w:val="20"/>
                <w:color w:val="auto"/>
              </w:rPr>
            </w:pPr>
            <w:r>
              <w:rPr>
                <w:rFonts w:ascii="Arial" w:cs="Arial" w:eastAsia="Arial" w:hAnsi="Arial"/>
                <w:sz w:val="18"/>
                <w:szCs w:val="18"/>
                <w:b w:val="1"/>
                <w:bCs w:val="1"/>
                <w:color w:val="auto"/>
              </w:rPr>
              <w:t>CALCULATION OF REGISTRATION FEE</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Proposed</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20"/>
              <w:spacing w:after="0" w:line="181" w:lineRule="exact"/>
              <w:rPr>
                <w:sz w:val="20"/>
                <w:szCs w:val="20"/>
                <w:color w:val="auto"/>
              </w:rPr>
            </w:pPr>
            <w:r>
              <w:rPr>
                <w:rFonts w:ascii="Arial" w:cs="Arial" w:eastAsia="Arial" w:hAnsi="Arial"/>
                <w:sz w:val="18"/>
                <w:szCs w:val="18"/>
                <w:b w:val="1"/>
                <w:bCs w:val="1"/>
                <w:color w:val="auto"/>
                <w:w w:val="96"/>
              </w:rPr>
              <w:t>Maximum</w:t>
            </w:r>
          </w:p>
        </w:tc>
        <w:tc>
          <w:tcPr>
            <w:tcW w:w="120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00"/>
              <w:spacing w:after="0" w:line="181" w:lineRule="exact"/>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being</w:t>
            </w:r>
          </w:p>
        </w:tc>
        <w:tc>
          <w:tcPr>
            <w:tcW w:w="14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Offering Price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77"/>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 of each Class of Security being Registered</w:t>
            </w: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Registered</w:t>
            </w:r>
            <w:r>
              <w:rPr>
                <w:rFonts w:ascii="Arial" w:cs="Arial" w:eastAsia="Arial" w:hAnsi="Arial"/>
                <w:sz w:val="29"/>
                <w:szCs w:val="29"/>
                <w:b w:val="1"/>
                <w:bCs w:val="1"/>
                <w:color w:val="auto"/>
                <w:w w:val="83"/>
                <w:vertAlign w:val="superscript"/>
              </w:rPr>
              <w:t>(1)</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Per Security</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Fee</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w w:val="95"/>
              </w:rPr>
              <w:t xml:space="preserve">Common Share, $0.0001 par value per share </w:t>
            </w:r>
            <w:r>
              <w:rPr>
                <w:rFonts w:ascii="Arial" w:cs="Arial" w:eastAsia="Arial" w:hAnsi="Arial"/>
                <w:sz w:val="29"/>
                <w:szCs w:val="29"/>
                <w:color w:val="auto"/>
                <w:w w:val="95"/>
                <w:vertAlign w:val="superscript"/>
              </w:rPr>
              <w:t>(2)</w:t>
            </w:r>
          </w:p>
        </w:tc>
        <w:tc>
          <w:tcPr>
            <w:tcW w:w="2160" w:type="dxa"/>
            <w:vAlign w:val="bottom"/>
            <w:gridSpan w:val="2"/>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2,666,666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120"/>
              <w:spacing w:after="0" w:line="270" w:lineRule="exact"/>
              <w:rPr>
                <w:sz w:val="20"/>
                <w:szCs w:val="20"/>
                <w:color w:val="auto"/>
              </w:rPr>
            </w:pPr>
            <w:r>
              <w:rPr>
                <w:rFonts w:ascii="Arial" w:cs="Arial" w:eastAsia="Arial" w:hAnsi="Arial"/>
                <w:sz w:val="18"/>
                <w:szCs w:val="18"/>
                <w:color w:val="auto"/>
              </w:rPr>
              <w:t>6.00</w:t>
            </w:r>
            <w:r>
              <w:rPr>
                <w:rFonts w:ascii="Arial" w:cs="Arial" w:eastAsia="Arial" w:hAnsi="Arial"/>
                <w:sz w:val="29"/>
                <w:szCs w:val="29"/>
                <w:color w:val="auto"/>
                <w:vertAlign w:val="superscript"/>
              </w:rPr>
              <w:t>(3)</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   15,999,996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1,745.60</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27"/>
        </w:trPr>
        <w:tc>
          <w:tcPr>
            <w:tcW w:w="37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Rule 416 of the Securities Act of 1933, as amended (the “Securities Act”), the securities being registered hereunder also include such presently indeterminate number of shares of the registrant’s Common Share as a result of stock splits, stock dividends or similar transactions.</w:t>
      </w:r>
    </w:p>
    <w:p>
      <w:pPr>
        <w:spacing w:after="0" w:line="123"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registering for resale by the Selling Shareholders named herein 2,666,666 common shares issuable upon the exercise of certain warrants issued on March 3, 2021 to the Selling Shareholders, each of whom is an accredited investor, in a private placement pursuant to a Securities Purchase Agreement dated as of February 28, 2021 by and among the registrant and the purchasers named therein.</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457(g) under the Securities Act and is based on the exercise price of the warrants pursuant to which such shares are issuable.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 paid.</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sole purpose of this Pre-effective Amendment No. 1 to Registration Statement on Form F-3 (File No. 333-254910) (“Amendment No. 1”) is being made to include Rui Yang, the Company’s Chief Financial Officer (Principal Accounting and Financial Officer) as a signatory. Accordingly, this Amendment No. 1 consists only of the facing page, this explanatory note, and the signature page. The prospectus and the balance of Part II of the Registration Statement are unchanged and have been omitted.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the Pre-effective Amendment No. 1 thereto and has duly caused this registration statement to be signed on its behalf by the undersigned, thereunto duly authorized, in Hong Kong SAR on April 7, 2021.</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April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904"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Xiao Feng Yang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5031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Raymond Ming Hui Lin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Rui Yang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Zhaohui Feng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Chong Seng Kee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Jin He Shao</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Borders>
              <w:bottom w:val="single" w:sz="8" w:color="auto"/>
            </w:tcBorders>
            <w:gridSpan w:val="2"/>
          </w:tcPr>
          <w:p>
            <w:pPr>
              <w:ind w:left="22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2"/>
              </w:rPr>
              <w:t>Date</w:t>
            </w:r>
          </w:p>
        </w:tc>
      </w:tr>
      <w:tr>
        <w:trPr>
          <w:trHeight w:val="446"/>
        </w:trPr>
        <w:tc>
          <w:tcPr>
            <w:tcW w:w="5320" w:type="dxa"/>
            <w:vAlign w:val="bottom"/>
            <w:gridSpan w:val="4"/>
          </w:tcPr>
          <w:p>
            <w:pPr>
              <w:spacing w:after="0"/>
              <w:rPr>
                <w:sz w:val="20"/>
                <w:szCs w:val="20"/>
                <w:color w:val="auto"/>
              </w:rPr>
            </w:pPr>
            <w:r>
              <w:rPr>
                <w:rFonts w:ascii="Arial" w:cs="Arial" w:eastAsia="Arial" w:hAnsi="Arial"/>
                <w:sz w:val="18"/>
                <w:szCs w:val="18"/>
                <w:color w:val="auto"/>
              </w:rPr>
              <w:t>Chairman and Director</w:t>
            </w:r>
          </w:p>
        </w:tc>
        <w:tc>
          <w:tcPr>
            <w:tcW w:w="1840" w:type="dxa"/>
            <w:vAlign w:val="bottom"/>
          </w:tcPr>
          <w:p>
            <w:pPr>
              <w:jc w:val="center"/>
              <w:ind w:right="310"/>
              <w:spacing w:after="0"/>
              <w:rPr>
                <w:sz w:val="20"/>
                <w:szCs w:val="20"/>
                <w:color w:val="auto"/>
              </w:rPr>
            </w:pPr>
            <w:r>
              <w:rPr>
                <w:rFonts w:ascii="Arial" w:cs="Arial" w:eastAsia="Arial" w:hAnsi="Arial"/>
                <w:sz w:val="18"/>
                <w:szCs w:val="18"/>
                <w:color w:val="auto"/>
                <w:w w:val="94"/>
              </w:rPr>
              <w:t>April 7, 2021</w:t>
            </w:r>
          </w:p>
        </w:tc>
      </w:tr>
      <w:tr>
        <w:trPr>
          <w:trHeight w:val="661"/>
        </w:trPr>
        <w:tc>
          <w:tcPr>
            <w:tcW w:w="5320" w:type="dxa"/>
            <w:vAlign w:val="bottom"/>
            <w:gridSpan w:val="4"/>
          </w:tcPr>
          <w:p>
            <w:pPr>
              <w:spacing w:after="0"/>
              <w:rPr>
                <w:sz w:val="20"/>
                <w:szCs w:val="20"/>
                <w:color w:val="auto"/>
              </w:rPr>
            </w:pPr>
            <w:r>
              <w:rPr>
                <w:rFonts w:ascii="Arial" w:cs="Arial" w:eastAsia="Arial" w:hAnsi="Arial"/>
                <w:sz w:val="18"/>
                <w:szCs w:val="18"/>
                <w:color w:val="auto"/>
              </w:rPr>
              <w:t>Chief Executive Officer and Director</w:t>
            </w:r>
          </w:p>
        </w:tc>
        <w:tc>
          <w:tcPr>
            <w:tcW w:w="1840" w:type="dxa"/>
            <w:vAlign w:val="bottom"/>
          </w:tcPr>
          <w:p>
            <w:pPr>
              <w:jc w:val="center"/>
              <w:ind w:right="310"/>
              <w:spacing w:after="0"/>
              <w:rPr>
                <w:sz w:val="20"/>
                <w:szCs w:val="20"/>
                <w:color w:val="auto"/>
              </w:rPr>
            </w:pPr>
            <w:r>
              <w:rPr>
                <w:rFonts w:ascii="Arial" w:cs="Arial" w:eastAsia="Arial" w:hAnsi="Arial"/>
                <w:sz w:val="18"/>
                <w:szCs w:val="18"/>
                <w:color w:val="auto"/>
                <w:w w:val="94"/>
              </w:rPr>
              <w:t>April 7, 2021</w:t>
            </w:r>
          </w:p>
        </w:tc>
      </w:tr>
      <w:tr>
        <w:trPr>
          <w:trHeight w:val="230"/>
        </w:trPr>
        <w:tc>
          <w:tcPr>
            <w:tcW w:w="532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c>
          <w:tcPr>
            <w:tcW w:w="1840" w:type="dxa"/>
            <w:vAlign w:val="bottom"/>
          </w:tcPr>
          <w:p>
            <w:pPr>
              <w:spacing w:after="0"/>
              <w:rPr>
                <w:sz w:val="20"/>
                <w:szCs w:val="20"/>
                <w:color w:val="auto"/>
              </w:rPr>
            </w:pPr>
          </w:p>
        </w:tc>
      </w:tr>
      <w:tr>
        <w:trPr>
          <w:trHeight w:val="445"/>
        </w:trPr>
        <w:tc>
          <w:tcPr>
            <w:tcW w:w="5320" w:type="dxa"/>
            <w:vAlign w:val="bottom"/>
            <w:gridSpan w:val="4"/>
          </w:tcPr>
          <w:p>
            <w:pPr>
              <w:spacing w:after="0"/>
              <w:rPr>
                <w:sz w:val="20"/>
                <w:szCs w:val="20"/>
                <w:color w:val="auto"/>
              </w:rPr>
            </w:pPr>
            <w:r>
              <w:rPr>
                <w:rFonts w:ascii="Arial" w:cs="Arial" w:eastAsia="Arial" w:hAnsi="Arial"/>
                <w:sz w:val="18"/>
                <w:szCs w:val="18"/>
                <w:color w:val="auto"/>
              </w:rPr>
              <w:t>Chief Financial Officer</w:t>
            </w:r>
          </w:p>
        </w:tc>
        <w:tc>
          <w:tcPr>
            <w:tcW w:w="1840" w:type="dxa"/>
            <w:vAlign w:val="bottom"/>
          </w:tcPr>
          <w:p>
            <w:pPr>
              <w:jc w:val="center"/>
              <w:ind w:right="310"/>
              <w:spacing w:after="0"/>
              <w:rPr>
                <w:sz w:val="20"/>
                <w:szCs w:val="20"/>
                <w:color w:val="auto"/>
              </w:rPr>
            </w:pPr>
            <w:r>
              <w:rPr>
                <w:rFonts w:ascii="Arial" w:cs="Arial" w:eastAsia="Arial" w:hAnsi="Arial"/>
                <w:sz w:val="18"/>
                <w:szCs w:val="18"/>
                <w:color w:val="auto"/>
                <w:w w:val="94"/>
              </w:rPr>
              <w:t>April 7, 2021</w:t>
            </w:r>
          </w:p>
        </w:tc>
      </w:tr>
      <w:tr>
        <w:trPr>
          <w:trHeight w:val="230"/>
        </w:trPr>
        <w:tc>
          <w:tcPr>
            <w:tcW w:w="5320" w:type="dxa"/>
            <w:vAlign w:val="bottom"/>
            <w:gridSpan w:val="4"/>
          </w:tcPr>
          <w:p>
            <w:pPr>
              <w:spacing w:after="0"/>
              <w:rPr>
                <w:sz w:val="20"/>
                <w:szCs w:val="20"/>
                <w:color w:val="auto"/>
              </w:rPr>
            </w:pPr>
            <w:r>
              <w:rPr>
                <w:rFonts w:ascii="Arial" w:cs="Arial" w:eastAsia="Arial" w:hAnsi="Arial"/>
                <w:sz w:val="18"/>
                <w:szCs w:val="18"/>
                <w:color w:val="auto"/>
              </w:rPr>
              <w:t>(Principal Accounting and Financial Officer)</w:t>
            </w:r>
          </w:p>
        </w:tc>
        <w:tc>
          <w:tcPr>
            <w:tcW w:w="1840" w:type="dxa"/>
            <w:vAlign w:val="bottom"/>
          </w:tcPr>
          <w:p>
            <w:pPr>
              <w:spacing w:after="0"/>
              <w:rPr>
                <w:sz w:val="20"/>
                <w:szCs w:val="20"/>
                <w:color w:val="auto"/>
              </w:rPr>
            </w:pPr>
          </w:p>
        </w:tc>
      </w:tr>
      <w:tr>
        <w:trPr>
          <w:trHeight w:val="459"/>
        </w:trPr>
        <w:tc>
          <w:tcPr>
            <w:tcW w:w="5320" w:type="dxa"/>
            <w:vAlign w:val="bottom"/>
            <w:gridSpan w:val="4"/>
          </w:tcPr>
          <w:p>
            <w:pPr>
              <w:spacing w:after="0"/>
              <w:rPr>
                <w:sz w:val="20"/>
                <w:szCs w:val="20"/>
                <w:color w:val="auto"/>
              </w:rPr>
            </w:pPr>
            <w:r>
              <w:rPr>
                <w:rFonts w:ascii="Arial" w:cs="Arial" w:eastAsia="Arial" w:hAnsi="Arial"/>
                <w:sz w:val="18"/>
                <w:szCs w:val="18"/>
                <w:color w:val="auto"/>
              </w:rPr>
              <w:t>Independent Director</w:t>
            </w:r>
          </w:p>
        </w:tc>
        <w:tc>
          <w:tcPr>
            <w:tcW w:w="1840" w:type="dxa"/>
            <w:vAlign w:val="bottom"/>
          </w:tcPr>
          <w:p>
            <w:pPr>
              <w:jc w:val="center"/>
              <w:ind w:right="310"/>
              <w:spacing w:after="0"/>
              <w:rPr>
                <w:sz w:val="20"/>
                <w:szCs w:val="20"/>
                <w:color w:val="auto"/>
              </w:rPr>
            </w:pPr>
            <w:r>
              <w:rPr>
                <w:rFonts w:ascii="Arial" w:cs="Arial" w:eastAsia="Arial" w:hAnsi="Arial"/>
                <w:sz w:val="18"/>
                <w:szCs w:val="18"/>
                <w:color w:val="auto"/>
                <w:w w:val="94"/>
              </w:rPr>
              <w:t>April 7, 2021</w:t>
            </w:r>
          </w:p>
        </w:tc>
      </w:tr>
      <w:tr>
        <w:trPr>
          <w:trHeight w:val="675"/>
        </w:trPr>
        <w:tc>
          <w:tcPr>
            <w:tcW w:w="5320" w:type="dxa"/>
            <w:vAlign w:val="bottom"/>
            <w:gridSpan w:val="4"/>
          </w:tcPr>
          <w:p>
            <w:pPr>
              <w:spacing w:after="0"/>
              <w:rPr>
                <w:sz w:val="20"/>
                <w:szCs w:val="20"/>
                <w:color w:val="auto"/>
              </w:rPr>
            </w:pPr>
            <w:r>
              <w:rPr>
                <w:rFonts w:ascii="Arial" w:cs="Arial" w:eastAsia="Arial" w:hAnsi="Arial"/>
                <w:sz w:val="18"/>
                <w:szCs w:val="18"/>
                <w:color w:val="auto"/>
              </w:rPr>
              <w:t>Independent Director</w:t>
            </w:r>
          </w:p>
        </w:tc>
        <w:tc>
          <w:tcPr>
            <w:tcW w:w="1840" w:type="dxa"/>
            <w:vAlign w:val="bottom"/>
          </w:tcPr>
          <w:p>
            <w:pPr>
              <w:jc w:val="center"/>
              <w:ind w:right="310"/>
              <w:spacing w:after="0"/>
              <w:rPr>
                <w:sz w:val="20"/>
                <w:szCs w:val="20"/>
                <w:color w:val="auto"/>
              </w:rPr>
            </w:pPr>
            <w:r>
              <w:rPr>
                <w:rFonts w:ascii="Arial" w:cs="Arial" w:eastAsia="Arial" w:hAnsi="Arial"/>
                <w:sz w:val="18"/>
                <w:szCs w:val="18"/>
                <w:color w:val="auto"/>
                <w:w w:val="94"/>
              </w:rPr>
              <w:t>April 7, 2021</w:t>
            </w:r>
          </w:p>
        </w:tc>
      </w:tr>
      <w:tr>
        <w:trPr>
          <w:trHeight w:val="675"/>
        </w:trPr>
        <w:tc>
          <w:tcPr>
            <w:tcW w:w="5320" w:type="dxa"/>
            <w:vAlign w:val="bottom"/>
            <w:gridSpan w:val="4"/>
          </w:tcPr>
          <w:p>
            <w:pPr>
              <w:spacing w:after="0"/>
              <w:rPr>
                <w:sz w:val="20"/>
                <w:szCs w:val="20"/>
                <w:color w:val="auto"/>
              </w:rPr>
            </w:pPr>
            <w:r>
              <w:rPr>
                <w:rFonts w:ascii="Arial" w:cs="Arial" w:eastAsia="Arial" w:hAnsi="Arial"/>
                <w:sz w:val="18"/>
                <w:szCs w:val="18"/>
                <w:color w:val="auto"/>
              </w:rPr>
              <w:t>Independent Director</w:t>
            </w:r>
          </w:p>
        </w:tc>
        <w:tc>
          <w:tcPr>
            <w:tcW w:w="1840" w:type="dxa"/>
            <w:vAlign w:val="bottom"/>
          </w:tcPr>
          <w:p>
            <w:pPr>
              <w:jc w:val="center"/>
              <w:ind w:right="310"/>
              <w:spacing w:after="0"/>
              <w:rPr>
                <w:sz w:val="20"/>
                <w:szCs w:val="20"/>
                <w:color w:val="auto"/>
              </w:rPr>
            </w:pPr>
            <w:r>
              <w:rPr>
                <w:rFonts w:ascii="Arial" w:cs="Arial" w:eastAsia="Arial" w:hAnsi="Arial"/>
                <w:sz w:val="18"/>
                <w:szCs w:val="18"/>
                <w:color w:val="auto"/>
                <w:w w:val="94"/>
              </w:rPr>
              <w:t>April 7, 2021</w:t>
            </w:r>
          </w:p>
        </w:tc>
      </w:tr>
      <w:tr>
        <w:trPr>
          <w:trHeight w:val="682"/>
        </w:trPr>
        <w:tc>
          <w:tcPr>
            <w:tcW w:w="5320" w:type="dxa"/>
            <w:vAlign w:val="bottom"/>
            <w:gridSpan w:val="4"/>
          </w:tcPr>
          <w:p>
            <w:pPr>
              <w:ind w:left="2680"/>
              <w:spacing w:after="0"/>
              <w:rPr>
                <w:sz w:val="20"/>
                <w:szCs w:val="20"/>
                <w:color w:val="auto"/>
              </w:rPr>
            </w:pPr>
            <w:r>
              <w:rPr>
                <w:rFonts w:ascii="Arial" w:cs="Arial" w:eastAsia="Arial" w:hAnsi="Arial"/>
                <w:sz w:val="18"/>
                <w:szCs w:val="18"/>
                <w:color w:val="auto"/>
              </w:rPr>
              <w:t>*By: /s/ Raymond Ming Hui Lin</w:t>
            </w:r>
          </w:p>
        </w:tc>
        <w:tc>
          <w:tcPr>
            <w:tcW w:w="1840" w:type="dxa"/>
            <w:vAlign w:val="bottom"/>
          </w:tcPr>
          <w:p>
            <w:pPr>
              <w:spacing w:after="0"/>
              <w:rPr>
                <w:sz w:val="24"/>
                <w:szCs w:val="24"/>
                <w:color w:val="auto"/>
              </w:rPr>
            </w:pPr>
          </w:p>
        </w:tc>
      </w:tr>
      <w:tr>
        <w:trPr>
          <w:trHeight w:val="229"/>
        </w:trPr>
        <w:tc>
          <w:tcPr>
            <w:tcW w:w="3120" w:type="dxa"/>
            <w:vAlign w:val="bottom"/>
          </w:tcPr>
          <w:p>
            <w:pPr>
              <w:spacing w:after="0"/>
              <w:rPr>
                <w:sz w:val="19"/>
                <w:szCs w:val="19"/>
                <w:color w:val="auto"/>
              </w:rPr>
            </w:pPr>
          </w:p>
        </w:tc>
        <w:tc>
          <w:tcPr>
            <w:tcW w:w="22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Raymond Ming Hui Lin</w:t>
            </w:r>
          </w:p>
        </w:tc>
        <w:tc>
          <w:tcPr>
            <w:tcW w:w="1840" w:type="dxa"/>
            <w:vAlign w:val="bottom"/>
            <w:tcBorders>
              <w:top w:val="single" w:sz="8" w:color="auto"/>
            </w:tcBorders>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18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3360" w:space="720"/>
            <w:col w:w="7160"/>
          </w:cols>
          <w:pgMar w:left="320" w:top="904" w:right="339" w:bottom="1440" w:gutter="0" w:footer="0" w:header="0"/>
          <w:type w:val="continuous"/>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AUTHORIZED UNITED STATES REPRESENTATIVE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 of the Securities Act of 1933, the undersigned, the duly authorized representative in the United States of the aforementioned Registrant, has signed this registration statement in the City of Newark, State of Delaware, on April 7,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PUGLISI &amp; ASSOCIATES</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Donald J. Puglisi</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2021-04-07T08:14:48Z</dcterms:created>
  <dcterms:modified xsi:type="dcterms:W3CDTF">2021-04-07T08:14:48Z</dcterms:modified>
</cp:coreProperties>
</file>