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9"/>
          <w:szCs w:val="19"/>
          <w:b w:val="1"/>
          <w:bCs w:val="1"/>
          <w:color w:val="auto"/>
        </w:rPr>
        <w:t>Registration No. 333-226110</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 to</w:t>
      </w:r>
    </w:p>
    <w:p>
      <w:pPr>
        <w:jc w:val="center"/>
        <w:spacing w:after="0"/>
        <w:rPr>
          <w:sz w:val="20"/>
          <w:szCs w:val="20"/>
          <w:color w:val="auto"/>
        </w:rPr>
      </w:pPr>
      <w:r>
        <w:rPr>
          <w:rFonts w:ascii="Arial" w:cs="Arial" w:eastAsia="Arial" w:hAnsi="Arial"/>
          <w:sz w:val="32"/>
          <w:szCs w:val="32"/>
          <w:b w:val="1"/>
          <w:bCs w:val="1"/>
          <w:color w:val="auto"/>
        </w:rPr>
        <w:t>FORM S-8</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(Including registration of shares for resale by means of a reoffer prospectus)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560" w:type="dxa"/>
        <w:tblCellMar>
          <w:top w:w="0" w:type="dxa"/>
          <w:left w:w="0" w:type="dxa"/>
          <w:bottom w:w="0" w:type="dxa"/>
          <w:right w:w="0" w:type="dxa"/>
        </w:tblCellMar>
      </w:tblPr>
      <w:tr>
        <w:trPr>
          <w:trHeight w:val="220"/>
        </w:trPr>
        <w:tc>
          <w:tcPr>
            <w:tcW w:w="4400" w:type="dxa"/>
            <w:vAlign w:val="bottom"/>
          </w:tcPr>
          <w:p>
            <w:pPr>
              <w:ind w:left="260"/>
              <w:spacing w:after="0"/>
              <w:rPr>
                <w:sz w:val="20"/>
                <w:szCs w:val="20"/>
                <w:color w:val="auto"/>
              </w:rPr>
            </w:pPr>
            <w:r>
              <w:rPr>
                <w:rFonts w:ascii="Arial" w:cs="Arial" w:eastAsia="Arial" w:hAnsi="Arial"/>
                <w:sz w:val="18"/>
                <w:szCs w:val="18"/>
                <w:b w:val="1"/>
                <w:bCs w:val="1"/>
                <w:color w:val="auto"/>
              </w:rPr>
              <w:t>Cayman Islands Islands</w:t>
            </w:r>
          </w:p>
        </w:tc>
        <w:tc>
          <w:tcPr>
            <w:tcW w:w="3380" w:type="dxa"/>
            <w:vAlign w:val="bottom"/>
          </w:tcPr>
          <w:p>
            <w:pPr>
              <w:jc w:val="center"/>
              <w:ind w:left="197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4400" w:type="dxa"/>
            <w:vAlign w:val="bottom"/>
          </w:tcPr>
          <w:p>
            <w:pPr>
              <w:ind w:left="260"/>
              <w:spacing w:after="0"/>
              <w:rPr>
                <w:sz w:val="20"/>
                <w:szCs w:val="20"/>
                <w:color w:val="auto"/>
              </w:rPr>
            </w:pPr>
            <w:r>
              <w:rPr>
                <w:rFonts w:ascii="Arial" w:cs="Arial" w:eastAsia="Arial" w:hAnsi="Arial"/>
                <w:sz w:val="18"/>
                <w:szCs w:val="18"/>
                <w:color w:val="auto"/>
              </w:rPr>
              <w:t>(State or other jurisdiction</w:t>
            </w:r>
          </w:p>
        </w:tc>
        <w:tc>
          <w:tcPr>
            <w:tcW w:w="3380" w:type="dxa"/>
            <w:vAlign w:val="bottom"/>
          </w:tcPr>
          <w:p>
            <w:pPr>
              <w:ind w:left="2120"/>
              <w:spacing w:after="0"/>
              <w:rPr>
                <w:sz w:val="20"/>
                <w:szCs w:val="20"/>
                <w:color w:val="auto"/>
              </w:rPr>
            </w:pPr>
            <w:r>
              <w:rPr>
                <w:rFonts w:ascii="Arial" w:cs="Arial" w:eastAsia="Arial" w:hAnsi="Arial"/>
                <w:sz w:val="18"/>
                <w:szCs w:val="18"/>
                <w:color w:val="auto"/>
                <w:w w:val="93"/>
              </w:rPr>
              <w:t>(I.R.S. Employer</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of 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 xml:space="preserve">c/o 2nd Floor, Building 18, Shanghai Pudong Software Park 498 Guoshoujing Road, Pudong, Shanghai 201203, People’s Republic of China </w:t>
      </w:r>
      <w:r>
        <w:rPr>
          <w:rFonts w:ascii="Arial" w:cs="Arial" w:eastAsia="Arial" w:hAnsi="Arial"/>
          <w:sz w:val="18"/>
          <w:szCs w:val="18"/>
          <w:color w:val="auto"/>
        </w:rPr>
        <w:t>(Address of principal executive office, including zip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 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“2017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left="260" w:right="2700"/>
        <w:spacing w:after="0" w:line="261" w:lineRule="auto"/>
        <w:rPr>
          <w:sz w:val="20"/>
          <w:szCs w:val="20"/>
          <w:color w:val="auto"/>
        </w:rPr>
      </w:pPr>
      <w:r>
        <w:rPr>
          <w:rFonts w:ascii="Arial" w:cs="Arial" w:eastAsia="Arial" w:hAnsi="Arial"/>
          <w:sz w:val="18"/>
          <w:szCs w:val="18"/>
          <w:b w:val="1"/>
          <w:bCs w:val="1"/>
          <w:color w:val="auto"/>
        </w:rPr>
        <w:t>Raymond Ming Hui Lin, Chief Executive Officer c/o 2nd Floor, Building 18, Shanghai Pudong Software Park 498 Guoshoujing Road, Pudong, Shanghai 201203, People’s Republic of China Tel: (+86) 21-31268010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jc w:val="center"/>
        <w:spacing w:after="0" w:line="236" w:lineRule="auto"/>
        <w:rPr>
          <w:sz w:val="20"/>
          <w:szCs w:val="20"/>
          <w:color w:val="auto"/>
        </w:rPr>
      </w:pPr>
      <w:r>
        <w:rPr>
          <w:rFonts w:ascii="Arial" w:cs="Arial" w:eastAsia="Arial" w:hAnsi="Arial"/>
          <w:sz w:val="22"/>
          <w:szCs w:val="22"/>
          <w:b w:val="1"/>
          <w:bCs w:val="1"/>
          <w:color w:val="auto"/>
        </w:rPr>
        <w:t>Telephone: (800) 927-9800</w:t>
      </w:r>
    </w:p>
    <w:p>
      <w:pPr>
        <w:jc w:val="center"/>
        <w:ind w:right="-19"/>
        <w:spacing w:after="0"/>
        <w:rPr>
          <w:sz w:val="20"/>
          <w:szCs w:val="20"/>
          <w:color w:val="auto"/>
        </w:rPr>
      </w:pPr>
      <w:r>
        <w:rPr>
          <w:rFonts w:ascii="Arial" w:cs="Arial" w:eastAsia="Arial" w:hAnsi="Arial"/>
          <w:sz w:val="22"/>
          <w:szCs w:val="22"/>
          <w:color w:val="auto"/>
        </w:rPr>
        <w:t>(Name, address and telephone number, including area code, of agent for service)</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Ralph V. De Martino,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Alec Orudjev,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Schiff Hardin LLP, 901 K Street, Suite 700, Washington, DC 20001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(202) 724-6800</w:t>
      </w:r>
    </w:p>
    <w:p>
      <w:pPr>
        <w:spacing w:after="0" w:line="21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0" w:right="239" w:bottom="0" w:gutter="0" w:footer="0" w:header="0"/>
        </w:sectPr>
      </w:pP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2" w:lineRule="exact"/>
        <w:rPr>
          <w:sz w:val="24"/>
          <w:szCs w:val="24"/>
          <w:color w:val="auto"/>
        </w:rPr>
      </w:pPr>
    </w:p>
    <w:p>
      <w:pPr>
        <w:sectPr>
          <w:pgSz w:w="11900" w:h="16838" w:orient="portrait"/>
          <w:cols w:equalWidth="0" w:num="3">
            <w:col w:w="4460" w:space="720"/>
            <w:col w:w="1980" w:space="80"/>
            <w:col w:w="4180"/>
          </w:cols>
          <w:pgMar w:left="240" w:top="220" w:right="239" w:bottom="0" w:gutter="0" w:footer="0" w:header="0"/>
          <w:type w:val="continuous"/>
        </w:sectPr>
      </w:pP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maximum</w:t>
            </w: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Proposed maximum</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offering price per</w:t>
            </w: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aggregate offering</w:t>
            </w:r>
          </w:p>
        </w:tc>
        <w:tc>
          <w:tcPr>
            <w:tcW w:w="1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Amount of</w:t>
            </w:r>
          </w:p>
        </w:tc>
      </w:tr>
      <w:tr>
        <w:trPr>
          <w:trHeight w:val="234"/>
        </w:trPr>
        <w:tc>
          <w:tcPr>
            <w:tcW w:w="5020" w:type="dxa"/>
            <w:vAlign w:val="bottom"/>
          </w:tcPr>
          <w:p>
            <w:pPr>
              <w:ind w:left="1240"/>
              <w:spacing w:after="0"/>
              <w:rPr>
                <w:sz w:val="20"/>
                <w:szCs w:val="20"/>
                <w:color w:val="auto"/>
              </w:rPr>
            </w:pPr>
            <w:r>
              <w:rPr>
                <w:rFonts w:ascii="Arial" w:cs="Arial" w:eastAsia="Arial" w:hAnsi="Arial"/>
                <w:sz w:val="18"/>
                <w:szCs w:val="18"/>
                <w:b w:val="1"/>
                <w:bCs w:val="1"/>
                <w:color w:val="auto"/>
              </w:rPr>
              <w:t>Title of securities to be registered</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to be registered(1)</w:t>
            </w:r>
          </w:p>
        </w:tc>
        <w:tc>
          <w:tcPr>
            <w:tcW w:w="1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share</w:t>
            </w:r>
          </w:p>
        </w:tc>
        <w:tc>
          <w:tcPr>
            <w:tcW w:w="28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price(2)</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registration fee(3)</w:t>
            </w:r>
          </w:p>
        </w:tc>
      </w:tr>
      <w:tr>
        <w:trPr>
          <w:trHeight w:val="27"/>
        </w:trPr>
        <w:tc>
          <w:tcPr>
            <w:tcW w:w="5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64"/>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Shares, par value $0.0001</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2,210,000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10.79</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23,845,900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2,968.81</w:t>
            </w:r>
          </w:p>
        </w:tc>
      </w:tr>
      <w:tr>
        <w:trPr>
          <w:trHeight w:val="21"/>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9" w:lineRule="exact"/>
        <w:rPr>
          <w:sz w:val="24"/>
          <w:szCs w:val="24"/>
          <w:color w:val="auto"/>
        </w:rPr>
      </w:pPr>
    </w:p>
    <w:p>
      <w:pPr>
        <w:ind w:left="500" w:hanging="43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under the CLPS Incorporation 2017 Equity Incentive Plan (the “2017 Plan”).</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438" w:hanging="438"/>
        <w:spacing w:after="0" w:line="277" w:lineRule="auto"/>
        <w:tabs>
          <w:tab w:leader="none" w:pos="438"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under the Securities Act, based on the average of the high and low selling prices of the Company’s common stock as reported on the NASDAQ Stock Market on July 9, 2018.</w:t>
      </w:r>
    </w:p>
    <w:p>
      <w:pPr>
        <w:spacing w:after="0" w:line="170" w:lineRule="exact"/>
        <w:rPr>
          <w:rFonts w:ascii="Arial" w:cs="Arial" w:eastAsia="Arial" w:hAnsi="Arial"/>
          <w:sz w:val="18"/>
          <w:szCs w:val="18"/>
          <w:color w:val="auto"/>
        </w:rPr>
      </w:pPr>
    </w:p>
    <w:p>
      <w:pPr>
        <w:ind w:left="438" w:hanging="438"/>
        <w:spacing w:after="0"/>
        <w:tabs>
          <w:tab w:leader="none" w:pos="43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692150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8"/>
          </w:cols>
          <w:pgMar w:left="302"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No. 1 to the previously filed Registration Statement on Form S-8 is being filed by the Registrant in accordance with the requirements of Form S-8 under the Securities Act in order to add a reoffer prospectus prepared in accordance with the requirements of Part I of Form F-3 under the Securities Act with respect up to 2,210,000 shares issuable under the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relates to two separate prospectuses.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10(a) Prospectus</w:t>
      </w:r>
      <w:r>
        <w:rPr>
          <w:rFonts w:ascii="Arial" w:cs="Arial" w:eastAsia="Arial" w:hAnsi="Arial"/>
          <w:sz w:val="17"/>
          <w:szCs w:val="17"/>
          <w:color w:val="auto"/>
        </w:rPr>
        <w:t>: Items 1 and 2, from this page, and the documents incorporated by reference pursuant to Part II, Item 3 of this prospectus, constitute a prospectus that meets the requirements of Section 10(a) of the Securities Act of 1933, as amended (the “Securities Act”).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Reoffer Prospectus</w:t>
      </w:r>
      <w:r>
        <w:rPr>
          <w:rFonts w:ascii="Arial" w:cs="Arial" w:eastAsia="Arial" w:hAnsi="Arial"/>
          <w:sz w:val="17"/>
          <w:szCs w:val="17"/>
          <w:color w:val="auto"/>
        </w:rPr>
        <w:t>: The material that follows Item 2, up to but not including Part II of this Registration Statement, of which the reoffer prospectus is a part, constitutes a “reoffer prospectus,” prepared in accordance with the requirements of Part I of Form F-3 under the Securities Act. Pursuant to Instruction C of Form S-8, the reoffer prospectus may be used for reoffers or resales of shares of shares which are deemed to be “control securities” or “restricted securities” under the Securities Act that have been acquired by the selling stockholders named in the reoffer prospectus.</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jc w:val="both"/>
        <w:ind w:firstLine="8"/>
        <w:spacing w:after="0" w:line="289" w:lineRule="auto"/>
        <w:tabs>
          <w:tab w:leader="none" w:pos="14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documents containing the information specified in this Part I of Form S-8 (Plan Information and Registration Information and Employee Plan Annual Information) will be sent or given to recipients of the grants under the 2017 Plan adopted by the Board of Directors of the Company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REOFFER PROSPECTUS</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2,210,000 Shares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reoffer prospectus relates to the sale of up to 2,210,000 shares that may be offered and resold from time to time by the selling stockholders identified in this prospectus for their own account. It is anticipated that the selling stockholders will offer shares for sale at prevailing prices on The NASDAQ Global Market on the date of sale. We will receive no part of the proceeds from sales made under this reoffer prospectus. The selling stockholders will bear all sales commissions and similar expenses. Any other expenses incurred by us in connection with the registration and offering and not borne by the selling stockholders will be borne by us.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shares have been or will be issued pursuant to awards granted under the CLPS Incorporation 2017 Equity Incentive Plan (the “2017 Plan”). This reoffer prospectus has been prepared for the purposes of registering the shares under the Securities Act of 1933, as amended (the “Securities Act”) to allow for future sales by the selling stockholders on a continuous or delayed basis to the public without restriction.</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selling stockholders and any brokers executing selling orders on its behalf may be deemed to be “underwriters” within the meaning of the Securities Act, in which event commissions received by such brokers may be deemed to be underwriting commissions under the Securities Act.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shares are quoted on The NASDAQ Global Market under the symbol “CLPS”. The last reported sale price of our shares on The NASDAQ Global Market on May 24, 2019 was $6.2 per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shares involves risks. See "Risk Factors" on page 4 of this reoffer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80" w:type="dxa"/>
            <w:vAlign w:val="bottom"/>
            <w:gridSpan w:val="4"/>
          </w:tcPr>
          <w:p>
            <w:pPr>
              <w:ind w:left="62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600" w:type="dxa"/>
            <w:vAlign w:val="bottom"/>
            <w:gridSpan w:val="3"/>
          </w:tcPr>
          <w:p>
            <w:pPr>
              <w:jc w:val="center"/>
              <w:ind w:left="195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Prospectus Summary</w:t>
              </w:r>
            </w:hyperlink>
          </w:p>
        </w:tc>
        <w:tc>
          <w:tcPr>
            <w:tcW w:w="7280" w:type="dxa"/>
            <w:vAlign w:val="bottom"/>
            <w:tcBorders>
              <w:bottom w:val="single" w:sz="8" w:color="CCEEFF"/>
            </w:tcBorders>
            <w:gridSpan w:val="7"/>
            <w:shd w:val="clear" w:color="auto" w:fill="CCEEFF"/>
          </w:tcPr>
          <w:p>
            <w:pPr>
              <w:spacing w:after="0"/>
              <w:rPr>
                <w:sz w:val="17"/>
                <w:szCs w:val="17"/>
                <w:color w:val="auto"/>
              </w:rPr>
            </w:pPr>
          </w:p>
        </w:tc>
        <w:tc>
          <w:tcPr>
            <w:tcW w:w="2500" w:type="dxa"/>
            <w:vAlign w:val="bottom"/>
            <w:tcBorders>
              <w:bottom w:val="single" w:sz="8" w:color="CCEEFF"/>
            </w:tcBorders>
            <w:gridSpan w:val="2"/>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13"/>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500" w:type="dxa"/>
            <w:vAlign w:val="bottom"/>
            <w:gridSpan w:val="2"/>
          </w:tcPr>
          <w:p>
            <w:pPr>
              <w:jc w:val="center"/>
              <w:ind w:left="2050"/>
              <w:spacing w:after="0" w:line="176" w:lineRule="exact"/>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Cautionary Note Regarding Forward Looking Statements</w:t>
              </w:r>
            </w:hyperlink>
          </w:p>
        </w:tc>
        <w:tc>
          <w:tcPr>
            <w:tcW w:w="2500" w:type="dxa"/>
            <w:vAlign w:val="bottom"/>
            <w:gridSpan w:val="2"/>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4680" w:type="dxa"/>
            <w:vAlign w:val="bottom"/>
            <w:tcBorders>
              <w:top w:val="single" w:sz="8" w:color="CCEEFF"/>
            </w:tcBorders>
            <w:gridSpan w:val="4"/>
          </w:tcPr>
          <w:p>
            <w:pPr>
              <w:spacing w:after="0"/>
              <w:rPr>
                <w:sz w:val="15"/>
                <w:szCs w:val="15"/>
                <w:color w:val="auto"/>
              </w:rPr>
            </w:pPr>
          </w:p>
        </w:tc>
        <w:tc>
          <w:tcPr>
            <w:tcW w:w="2500" w:type="dxa"/>
            <w:vAlign w:val="bottom"/>
            <w:tcBorders>
              <w:top w:val="single" w:sz="8" w:color="CCEEFF"/>
            </w:tcBorders>
            <w:gridSpan w:val="2"/>
          </w:tcPr>
          <w:p>
            <w:pPr>
              <w:jc w:val="center"/>
              <w:ind w:left="2050"/>
              <w:spacing w:after="0" w:line="176" w:lineRule="exact"/>
              <w:rPr>
                <w:sz w:val="20"/>
                <w:szCs w:val="20"/>
                <w:color w:val="auto"/>
              </w:rPr>
            </w:pPr>
            <w:r>
              <w:rPr>
                <w:rFonts w:ascii="Arial" w:cs="Arial" w:eastAsia="Arial" w:hAnsi="Arial"/>
                <w:sz w:val="18"/>
                <w:szCs w:val="18"/>
                <w:color w:val="auto"/>
                <w:w w:val="79"/>
              </w:rPr>
              <w:t>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Selling Stockholder</w:t>
              </w:r>
            </w:hyperlink>
          </w:p>
        </w:tc>
        <w:tc>
          <w:tcPr>
            <w:tcW w:w="7380" w:type="dxa"/>
            <w:vAlign w:val="bottom"/>
            <w:tcBorders>
              <w:bottom w:val="single" w:sz="8" w:color="CCEEFF"/>
            </w:tcBorders>
            <w:gridSpan w:val="8"/>
            <w:shd w:val="clear" w:color="auto" w:fill="CCEEFF"/>
          </w:tcPr>
          <w:p>
            <w:pPr>
              <w:spacing w:after="0"/>
              <w:rPr>
                <w:sz w:val="17"/>
                <w:szCs w:val="17"/>
                <w:color w:val="auto"/>
              </w:rPr>
            </w:pPr>
          </w:p>
        </w:tc>
        <w:tc>
          <w:tcPr>
            <w:tcW w:w="2500" w:type="dxa"/>
            <w:vAlign w:val="bottom"/>
            <w:tcBorders>
              <w:bottom w:val="single" w:sz="8" w:color="CCEEFF"/>
            </w:tcBorders>
            <w:gridSpan w:val="2"/>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1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2500" w:type="dxa"/>
            <w:vAlign w:val="bottom"/>
            <w:gridSpan w:val="2"/>
          </w:tcPr>
          <w:p>
            <w:pPr>
              <w:jc w:val="center"/>
              <w:ind w:left="2050"/>
              <w:spacing w:after="0" w:line="176"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Legal Matters</w:t>
              </w:r>
            </w:hyperlink>
          </w:p>
        </w:tc>
        <w:tc>
          <w:tcPr>
            <w:tcW w:w="7800" w:type="dxa"/>
            <w:vAlign w:val="bottom"/>
            <w:tcBorders>
              <w:bottom w:val="single" w:sz="8" w:color="CCEEFF"/>
            </w:tcBorders>
            <w:gridSpan w:val="10"/>
            <w:shd w:val="clear" w:color="auto" w:fill="CCEEFF"/>
          </w:tcPr>
          <w:p>
            <w:pPr>
              <w:spacing w:after="0"/>
              <w:rPr>
                <w:sz w:val="17"/>
                <w:szCs w:val="17"/>
                <w:color w:val="auto"/>
              </w:rPr>
            </w:pPr>
          </w:p>
        </w:tc>
        <w:tc>
          <w:tcPr>
            <w:tcW w:w="2500" w:type="dxa"/>
            <w:vAlign w:val="bottom"/>
            <w:tcBorders>
              <w:bottom w:val="single" w:sz="8" w:color="CCEEFF"/>
            </w:tcBorders>
            <w:gridSpan w:val="2"/>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0" w:type="dxa"/>
            <w:vAlign w:val="bottom"/>
            <w:gridSpan w:val="13"/>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2500" w:type="dxa"/>
            <w:vAlign w:val="bottom"/>
            <w:gridSpan w:val="2"/>
          </w:tcPr>
          <w:p>
            <w:pPr>
              <w:jc w:val="center"/>
              <w:ind w:left="2050"/>
              <w:spacing w:after="0" w:line="176"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13"/>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Incorporation of Certain Documents by Reference</w:t>
              </w:r>
            </w:hyperlink>
          </w:p>
        </w:tc>
        <w:tc>
          <w:tcPr>
            <w:tcW w:w="2500" w:type="dxa"/>
            <w:vAlign w:val="bottom"/>
            <w:gridSpan w:val="2"/>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1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Disclosure of Commission Position on Indemnification For Securities Act Liabilities</w:t>
              </w:r>
            </w:hyperlink>
          </w:p>
        </w:tc>
        <w:tc>
          <w:tcPr>
            <w:tcW w:w="2500" w:type="dxa"/>
            <w:vAlign w:val="bottom"/>
            <w:gridSpan w:val="2"/>
          </w:tcPr>
          <w:p>
            <w:pPr>
              <w:jc w:val="center"/>
              <w:ind w:left="2050"/>
              <w:spacing w:after="0" w:line="176"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gridSpan w:val="13"/>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Available Information to You</w:t>
              </w:r>
            </w:hyperlink>
          </w:p>
        </w:tc>
        <w:tc>
          <w:tcPr>
            <w:tcW w:w="2500" w:type="dxa"/>
            <w:vAlign w:val="bottom"/>
            <w:gridSpan w:val="2"/>
            <w:shd w:val="clear" w:color="auto" w:fill="CCEEFF"/>
          </w:tcPr>
          <w:p>
            <w:pPr>
              <w:jc w:val="center"/>
              <w:ind w:left="2050"/>
              <w:spacing w:after="0" w:line="176" w:lineRule="exact"/>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6" w:name="page7"/>
    <w:bookmarkEnd w:id="6"/>
    <w:p>
      <w:pPr>
        <w:jc w:val="both"/>
        <w:ind w:firstLine="83"/>
        <w:spacing w:after="0" w:line="253" w:lineRule="auto"/>
        <w:rPr>
          <w:sz w:val="20"/>
          <w:szCs w:val="20"/>
          <w:color w:val="auto"/>
        </w:rPr>
      </w:pPr>
      <w:r>
        <w:rPr>
          <w:rFonts w:ascii="Arial" w:cs="Arial" w:eastAsia="Arial" w:hAnsi="Arial"/>
          <w:sz w:val="18"/>
          <w:szCs w:val="18"/>
          <w:color w:val="auto"/>
        </w:rPr>
        <w:t>NO PERSON HAS BEEN AUTHORIZED TO GIVE ANY INFORMATION OR TO MAKE ANY REPRESENTATIONS, OTHER THAN THOSE CONTAINED IN THIS PROSPECTUS, IN CONNECTION WITH THE OFFERING MADE HEREBY, AND, IF GIVEN OR MADE, SUCH INFORMATION OR REPRESENTATION MUST NOT BE RELIED UPON AS HAVING BEEN AUTHORIZED BY THE COMPANY OR ANY OTHER PERSON. NEITHER THE DELIVERY OF THIS PROSPECTUS NOR ANY SALE MADE HEREUNDER SHALL UNDER ANY CIRCUMSTANCES CREATE ANY IMPLICATION THAT THERE HAS BEEN NO CHANGE IN THE AFFAIRS OF THE COMPANY SINCE THE DATE HEREOF. THIS PROSPECTUS DOES NOT CONSTITUTE AN OFFER TO SELL OR A SOLICITATION OF AN OFFER TO BUY ANY SECURITIES OFFERED HEREBY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summary highlights information contained elsewhere in this prospectus. You should read the entire prospectus carefully, including the section entitled “Risk Factors” before deciding to invest in our shares. In this prospectus, unless otherwise noted, the “Company,” “we,” “us,” “our company” and “our” refer to the 2017 Plan (together with its subsidiaries and affiliated entities, except as the context indicates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CLPS Incorporation was incorporated under the laws of the Cayman Islands on May 11, 2017.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maintain ten delivery and or research &amp; development centers to serve different customers in various geographic locations. Seven centers are located in China including cities of Shanghai, Beijing, Dalian, Tianjin, Chengdu, Guangzhou and Shenzhen. The remaining three centers are located in Hong Kong,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8"/>
          <w:szCs w:val="18"/>
          <w:b w:val="1"/>
          <w:bCs w:val="1"/>
          <w:color w:val="auto"/>
        </w:rPr>
        <w:t>The information on our website is not part of</w:t>
      </w:r>
      <w:r>
        <w:rPr>
          <w:rFonts w:ascii="Arial" w:cs="Arial" w:eastAsia="Arial" w:hAnsi="Arial"/>
          <w:sz w:val="18"/>
          <w:szCs w:val="18"/>
          <w:color w:val="auto"/>
        </w:rPr>
        <w:t xml:space="preserve"> </w:t>
      </w:r>
      <w:r>
        <w:rPr>
          <w:rFonts w:ascii="Arial" w:cs="Arial" w:eastAsia="Arial" w:hAnsi="Arial"/>
          <w:sz w:val="18"/>
          <w:szCs w:val="18"/>
          <w:b w:val="1"/>
          <w:bCs w:val="1"/>
          <w:color w:val="auto"/>
        </w:rPr>
        <w:t>this filing.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our website our annual and current reports, including amendments to such reports, as soon as reasonably practicable after we electronically file such material with, or furnish such material to, the SEC. Information contained on our website is not incorporated by reference into this prospectus supplement or the accompanying prospectus, and you should not consider information contained on our website as part of this prospectus supplement or the accompanying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This Offering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offering relates to the resale by the selling stockholders of up to 2,210,000 shares. The selling stockholders have acquired or will acquire such shares pursuant to grants made pursuant to the 2017 Plan.</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Investing in our shares involves a high degree of risk</w:t>
      </w:r>
      <w:r>
        <w:rPr>
          <w:rFonts w:ascii="Arial" w:cs="Arial" w:eastAsia="Arial" w:hAnsi="Arial"/>
          <w:sz w:val="18"/>
          <w:szCs w:val="18"/>
          <w:color w:val="auto"/>
        </w:rPr>
        <w:t>. Before making an investment decision, you should consider carefully the risks, uncertainties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factors described in our most recent Annual Report on Form 20-F, as supplemented and updated by subsequent reports that we have filed or will file with the SEC, which are incorporated by reference into this prospectus. Our business, affairs, prospects, assets, financial condition, results of operations and cash flows could be materially and adversely affected by these risks. For more information about our SEC filings, please see “Additional Information Available to You.”</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Section 27A of the Securities Act and Section 21E of the Securities Exchange Act of 1934, as amended (the “Exchange Act”), and we intend that such forward-looking statements be subject to the safe harbors created thereby.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“continue,” “should,” “estimate,” “expect,” “intend,” “may,” “plan,” “project,” “will,” and similar expressions are intended to identify forward-looking statements, although not all forward-looking statements contain these identifying words.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and incorporated by reference in this prospectus that we believe could cause actual results or events to differ materially from the forward-looking statements that we make. See the section entitled “Risk Factors” herein for more information. You should consider these factors and other cautionary statements made in this prospectus and in the documents we incorporate by reference as being applicable to all related forward-looking statements wherever they appear in the prospectus and in the documents incorporated by reference. We do not assume any obligation to update any forward-looking statements, except as may be required under applicable law.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not receive any proceeds from the sale of shares offered by the selling stockholders.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prospectus relates to the offering by the selling stockholders of up to 2,210,000 shares. These shares have been or will be granted to the selling stockholders under the 2017 Plan.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table sets forth, based on information provided to us by the selling stockholders or known to us, the name of the selling stockholders, the nature of any position, office or other material relationship, if any, which the selling stockholders has had, within the past three years, with us or with any of our predecessors or affiliates, and the number of shares beneficially owned by the selling stockholder before this offering. The number of shares owned are those beneficially owned, as determined under the rules of the SEC, and the information is not necessarily indicative of beneficial ownership for any other purpose. Under these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The selling stockholders are not a broker-dealer or an affiliate of a broker-dealer.</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assumed all shares reflected on the table will be sold from time to time in the offering covered by this prospectus. Because the selling stockholders may offer all or any portions of the shares listed in the table below, no estimate can be given as to the amount of those shares covered by this prospectus that will be held by the selling stockholders upon the termination of the offering. As of May 24, 2019, the Company had 13,913,201 shares outstanding.</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Owned Before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Owned After</w:t>
            </w:r>
          </w:p>
        </w:tc>
      </w:tr>
      <w:tr>
        <w:trPr>
          <w:trHeight w:val="241"/>
        </w:trPr>
        <w:tc>
          <w:tcPr>
            <w:tcW w:w="6080" w:type="dxa"/>
            <w:vAlign w:val="bottom"/>
            <w:gridSpan w:val="2"/>
          </w:tcPr>
          <w:p>
            <w:pPr>
              <w:ind w:left="1760"/>
              <w:spacing w:after="0"/>
              <w:rPr>
                <w:sz w:val="20"/>
                <w:szCs w:val="20"/>
                <w:color w:val="auto"/>
              </w:rPr>
            </w:pPr>
            <w:r>
              <w:rPr>
                <w:rFonts w:ascii="Arial" w:cs="Arial" w:eastAsia="Arial" w:hAnsi="Arial"/>
                <w:sz w:val="18"/>
                <w:szCs w:val="18"/>
                <w:b w:val="1"/>
                <w:bCs w:val="1"/>
                <w:color w:val="auto"/>
              </w:rPr>
              <w:t>Selling Stockholder/Office Held</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Offered (2)</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5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5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5,049,607 (1)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Chairman and President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5,049,607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36.29%</w:t>
            </w: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5,073,604 (1)</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Raymond Ming Hui Lin, CEO and 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220,823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5,073,604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36.47%</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 CFO</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73,607 (2)(3)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73,607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Jin He Shao (4)</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 (5)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 (4)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 (5)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Kathryn Amooi (4)</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 (5)</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328"/>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the vested portion of the restricted stock granted dated on July 12, 2018. The total grant of 220,823 common shares vests in three equal installments, with the first installment vesting upon grant, and the second and third – on the first and second anniversary of the grant.</w:t>
      </w:r>
    </w:p>
    <w:p>
      <w:pPr>
        <w:ind w:left="660" w:right="2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the vested portion of the restricted stock granted dated on July 12, 2018. The total grant of 220,823 common shares vests in three equal installments, with the first installment vesting upon grant, and the second and third – on the first and second anniversary of the grant.</w:t>
      </w: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shares to each individual listed as key employees and directors under the 2017 Plan, which grants have a term of three years, but are subject to earlier termination in connection with termination of continuous service to the Company. The grants are valid for a period of 10 years from July 12, 2018 to July 11, 2028, and vest one-third per year over a three-year period, with the first one third vesting on the grant date.</w:t>
      </w:r>
    </w:p>
    <w:p>
      <w:pPr>
        <w:spacing w:after="0" w:line="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Independent director of the Company.</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the vested portion of the restricted stock granted dated on July 12, 2018. The total grant of 3,000 common shares vests in three equal installments, with the first installment vesting upon grant, and the second and third – on the first and second anniversary of the grant.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Timing of Sales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selling stockholders may offer and sell the shares covered by this prospectus at various times. The selling stockholders will act independently of our company in making decisions with respect to the timing, manner and size of each sale. To our knowledge, the selling stockholders have no agreement or understanding, directly or indirectly, with any person to resell the shares covered by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sales price offered by the selling stockholders to the public may be:</w:t>
      </w:r>
    </w:p>
    <w:p>
      <w:pPr>
        <w:spacing w:after="0" w:line="225" w:lineRule="exact"/>
        <w:rPr>
          <w:sz w:val="20"/>
          <w:szCs w:val="20"/>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prevailing at the time of sale;</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price related to such prevailing market price; or</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price as the selling stockholders determine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shares may be sold by means of one or more of the following methods:</w:t>
      </w:r>
    </w:p>
    <w:p>
      <w:pPr>
        <w:spacing w:after="0" w:line="225" w:lineRule="exact"/>
        <w:rPr>
          <w:sz w:val="20"/>
          <w:szCs w:val="20"/>
          <w:color w:val="auto"/>
        </w:rPr>
      </w:pPr>
    </w:p>
    <w:p>
      <w:pPr>
        <w:ind w:left="1240" w:hanging="327"/>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block trade in which the broker-dealer so engaged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that broker-dealer for its account pursuant to this prospectus;</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in which the broker solicits purchasers;</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options, swaps or derivatives;</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transactions to cover short sales;</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 or</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combination of any of the above methods.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selling stockholders may sell their shares directly to purchasers or may use brokers, dealers, underwriters or agents to sell shares. Brokers or dealers engaged by the selling stockholders may arrange for other brokers or dealers to participate. Brokers or dealers may receive commissions, discounts or concessions from the selling stockholders or, if any such broker-dealer acts as agent for the purchaser of shares, from the purchaser in amounts to be negotiated immediately prior to the sale. The compensation received by brokers or dealers may, but is not expected to, exceed that which is customary for the types of transactions involved. Broker-dealers may agree with a selling stockholder to sell a specified number of shares of shares at a stipulated price per common share, and, to the extent the broker-dealer is unable to do so acting as agent for a selling stockholder, to purchase as principal any unsold shares of shares at the price required to fulfill the broker-dealer commitment to the selling stockholders. Broker-dealers who acquire shares as principal may thereafter resell the shares from time to time in transactions, which may involve block transactions and sales to and through other broker-dealers, including transactions of the nature described above, on The NASDAQ Stock Market or otherwise at prices and on terms then prevailing at the time of sale, at prices then related to the then-current market price or in negotiated transactions. In connection with resales of the shares, broker-dealers may pay to or receive from the purchasers of shares commissions as described above. If the selling stockholders enter into arrangements with brokers or dealers, as described above, we are obligated to file a post-effective amendment to this registration statement disclosing such arrangements, including the names of any broker-dealers acting as underwriters.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selling stockholders and any broker-dealers or agents that participate with the selling stockholder in the sale of the shares may be deemed to be “underwriters” within the meaning of the Securities Act. In that event, any commissions received by broker-dealers or agents and any profit on the resale of the shares purchased by them may be deemed to be underwriting commissions or discounts under the Securities Act.</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Pursuant to Rule 144</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shares covered by this prospectus which qualify for sale pursuant to Rule 144 under the Securities Act may be sold under Rule 144 rather than pursuant to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must comply with the requirements of the Securities Act and the Exchange Act in the offer and sale of the shares. In particular we will advise the selling stockholders that the anti-manipulation rules of Regulation M under the Exchange Act may apply to sales of shares in the market and to the activities of the selling stockholders and their affiliates. Regulation M under the Exchange Act prohibits, with certain exceptions, participants in a distribution from bidding for, or purchasing for an account in which the participant has a beneficial interest, any of the securities that are the subject of the distribution. Accordingly, during such times as selling stockholders may be deemed to be engaged in a distribution of the shares, and therefore be considered to be an underwriter, the selling stockholders must comply with applicable law and, among other things:</w:t>
      </w:r>
    </w:p>
    <w:p>
      <w:pPr>
        <w:spacing w:after="0" w:line="17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engage in any stabilization activities in connection with our shares;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cover short sales by purchasing shares while the distribution is taking place; and</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we will make copies of this prospectus available to the selling stockholders for the purpose of satisfying the prospectus delivery requirements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Securities Laws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may be sold in such states only through registered or licensed brokers or dealers. In addition, in some states the shares may not be sold unless the shares have been registered or qualified for sale in the state or an exemption from registration or qualification is available and is complied with.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bearing all costs relating to the registration of the shares. The selling stockholders, however, will pay any commissions or other fees payable to brokers or dealers in connection with any sale of the shares.</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validity of the shares and certain legal matters relating to the offering as to Cayman Islands law will be passed upon for us by Ogier.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statements as of June 30, 2018 and 2017,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800" w:hanging="22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Form 20-F for the fiscal year ended </w:t>
      </w:r>
      <w:hyperlink r:id="rId23">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0" w:hanging="225"/>
        <w:spacing w:after="0" w:line="264"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our shares set forth in our registration statement on Form F-1 (File No. 333-223956) filed with the SEC on </w:t>
      </w:r>
      <w:hyperlink r:id="rId24">
        <w:r>
          <w:rPr>
            <w:rFonts w:ascii="Arial" w:cs="Arial" w:eastAsia="Arial" w:hAnsi="Arial"/>
            <w:sz w:val="18"/>
            <w:szCs w:val="18"/>
            <w:u w:val="single" w:color="auto"/>
            <w:color w:val="0000EE"/>
          </w:rPr>
          <w:t>March 27,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declared effective on May 23, 2018, and our Form 8-A filed with the SEC on </w:t>
      </w:r>
      <w:hyperlink r:id="rId25">
        <w:r>
          <w:rPr>
            <w:rFonts w:ascii="Arial" w:cs="Arial" w:eastAsia="Arial" w:hAnsi="Arial"/>
            <w:sz w:val="18"/>
            <w:szCs w:val="18"/>
            <w:u w:val="single" w:color="auto"/>
            <w:color w:val="0000EE"/>
          </w:rPr>
          <w:t>May 22, 2018</w:t>
        </w:r>
      </w:hyperlink>
      <w:r>
        <w:rPr>
          <w:rFonts w:ascii="Arial" w:cs="Arial" w:eastAsia="Arial" w:hAnsi="Arial"/>
          <w:sz w:val="18"/>
          <w:szCs w:val="18"/>
          <w:color w:val="auto"/>
        </w:rPr>
        <w:t>, including any amendment or report filed for the purpose of updating that description; and</w:t>
      </w:r>
    </w:p>
    <w:p>
      <w:pPr>
        <w:spacing w:after="0" w:line="181" w:lineRule="exact"/>
        <w:rPr>
          <w:rFonts w:ascii="Arial" w:cs="Arial" w:eastAsia="Arial" w:hAnsi="Arial"/>
          <w:sz w:val="18"/>
          <w:szCs w:val="18"/>
          <w:color w:val="auto"/>
        </w:rPr>
      </w:pPr>
    </w:p>
    <w:p>
      <w:pPr>
        <w:ind w:left="800" w:hanging="225"/>
        <w:spacing w:after="0" w:line="277" w:lineRule="auto"/>
        <w:tabs>
          <w:tab w:leader="none" w:pos="800" w:val="left"/>
        </w:tabs>
        <w:numPr>
          <w:ilvl w:val="0"/>
          <w:numId w:val="9"/>
        </w:numPr>
        <w:rPr>
          <w:rFonts w:ascii="Arial" w:cs="Arial" w:eastAsia="Arial" w:hAnsi="Arial"/>
          <w:sz w:val="18"/>
          <w:szCs w:val="18"/>
          <w:color w:val="0000EE"/>
        </w:rPr>
      </w:pPr>
      <w:r>
        <w:rPr>
          <w:rFonts w:ascii="Arial" w:cs="Arial" w:eastAsia="Arial" w:hAnsi="Arial"/>
          <w:sz w:val="18"/>
          <w:szCs w:val="18"/>
          <w:color w:val="auto"/>
        </w:rPr>
        <w:t xml:space="preserve">our Report of Foreign Private Issuer on Form 6-K furnished to the SEC on </w:t>
      </w:r>
      <w:hyperlink r:id="rId26">
        <w:r>
          <w:rPr>
            <w:rFonts w:ascii="Arial" w:cs="Arial" w:eastAsia="Arial" w:hAnsi="Arial"/>
            <w:sz w:val="18"/>
            <w:szCs w:val="18"/>
            <w:u w:val="single" w:color="auto"/>
            <w:color w:val="0000EE"/>
          </w:rPr>
          <w:t>November 28, 2018</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January 7</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February 20</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March 6</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March 26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1">
        <w:r>
          <w:rPr>
            <w:rFonts w:ascii="Arial" w:cs="Arial" w:eastAsia="Arial" w:hAnsi="Arial"/>
            <w:sz w:val="18"/>
            <w:szCs w:val="18"/>
            <w:u w:val="single" w:color="auto"/>
            <w:color w:val="0000EE"/>
          </w:rPr>
          <w:t>April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170" w:lineRule="exact"/>
        <w:rPr>
          <w:rFonts w:ascii="Arial" w:cs="Arial" w:eastAsia="Arial" w:hAnsi="Arial"/>
          <w:sz w:val="18"/>
          <w:szCs w:val="18"/>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1" w:lineRule="exact"/>
        <w:rPr>
          <w:rFonts w:ascii="Arial" w:cs="Arial" w:eastAsia="Arial" w:hAnsi="Arial"/>
          <w:sz w:val="18"/>
          <w:szCs w:val="18"/>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54"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2nd Floor, Building 18, Shanghai Pudong Software Park, 498 Guoshoujing Road, Pudong, Shanghai 201203, PRC.</w:t>
      </w:r>
    </w:p>
    <w:p>
      <w:pPr>
        <w:spacing w:after="0" w:line="288" w:lineRule="exact"/>
        <w:rPr>
          <w:rFonts w:ascii="Arial" w:cs="Arial" w:eastAsia="Arial" w:hAnsi="Arial"/>
          <w:sz w:val="18"/>
          <w:szCs w:val="18"/>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AVAILABLE TO YOU</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is part of a Registration Statement on Form S-8 that we filed with the SEC. Certain information in the Registration Statement has been omitted from this prospectus in accordance with the rules of the SEC. We file annual reports and other information with the SEC. You can inspect and copy the Registration Statement as well as other information we have filed with the SEC at the public reference room maintained by the SEC at 100 F Street N.E. Washington, D.C. 20549. You can obtain copies from the public reference room at the same address. 20549, upon payment of certain fees. You can call the SEC at 1-800-732-0330 for further information about the public reference room. We are also required to file electronic versions of these documents with the SEC, which may be accessed through the SEC’s World Wide Web site at http://www.sec.gov. No dealer, salesperson or other person is authorized to give any information or to make any representations other than those contained in this prospectus, and, if given or made, such information or representations must not be relied upon as having been authorized by us. This prospectus does not constitute an offer to buy any security other than the securities offered by this prospectus, or an offer to sell or a solicitation of an offer to buy any securities by any person in any jurisdiction where such offer or solicitation is not authorized or is unlawful. Neither delivery of this prospectus nor any sale hereunder shall, under any circumstances, create any implication that there has been no change in the affairs of our company since the date hereof.</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7"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June 30, 2018;</w:t>
      </w:r>
    </w:p>
    <w:p>
      <w:pPr>
        <w:spacing w:after="0" w:line="225" w:lineRule="exact"/>
        <w:rPr>
          <w:rFonts w:ascii="Arial" w:cs="Arial" w:eastAsia="Arial" w:hAnsi="Arial"/>
          <w:sz w:val="18"/>
          <w:szCs w:val="18"/>
          <w:color w:val="auto"/>
        </w:rPr>
      </w:pPr>
    </w:p>
    <w:p>
      <w:pPr>
        <w:jc w:val="both"/>
        <w:ind w:left="800" w:hanging="225"/>
        <w:spacing w:after="0" w:line="26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description of our shares set forth in our registration statement on Form F-1 (File No. 333-223956) filed with the SEC on March 27, 2018 and declared effective on May 23, 2018, and our Form 8-A filed with the SEC on May 22, 2018, including any amendment or report filed for the purpose of updating that description; and</w:t>
      </w:r>
    </w:p>
    <w:p>
      <w:pPr>
        <w:spacing w:after="0" w:line="181" w:lineRule="exact"/>
        <w:rPr>
          <w:rFonts w:ascii="Arial" w:cs="Arial" w:eastAsia="Arial" w:hAnsi="Arial"/>
          <w:sz w:val="18"/>
          <w:szCs w:val="18"/>
          <w:color w:val="auto"/>
        </w:rPr>
      </w:pPr>
    </w:p>
    <w:p>
      <w:pPr>
        <w:ind w:left="800" w:hanging="225"/>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Report of Foreign Private Issuer on Form 6-K furnished to the SEC on November 28, 2018, January 7, February 20, March 6, March 26 and April 22, 2019, respectively.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2nd Floor, Building 18, Shanghai Pudong Software Park, 498 Guoshoujing Road, Pudong, Shanghai 201203, PRC.</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list of all exhibits filed or included as part of this Registration Statement, see “Index to Exhibits” at the end of this Registration Statement.</w:t>
      </w: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1400" w:hanging="74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700" w:hanging="747"/>
        <w:spacing w:after="0"/>
        <w:tabs>
          <w:tab w:leader="none" w:pos="270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(the “Securities Act”);</w:t>
      </w:r>
    </w:p>
    <w:p>
      <w:pPr>
        <w:spacing w:after="0" w:line="248" w:lineRule="exact"/>
        <w:rPr>
          <w:rFonts w:ascii="Arial" w:cs="Arial" w:eastAsia="Arial" w:hAnsi="Arial"/>
          <w:sz w:val="16"/>
          <w:szCs w:val="16"/>
          <w:color w:val="auto"/>
        </w:rPr>
      </w:pPr>
    </w:p>
    <w:p>
      <w:pPr>
        <w:jc w:val="both"/>
        <w:ind w:left="1300" w:firstLine="653"/>
        <w:spacing w:after="0" w:line="272" w:lineRule="auto"/>
        <w:tabs>
          <w:tab w:leader="none" w:pos="2776" w:val="left"/>
        </w:tabs>
        <w:numPr>
          <w:ilvl w:val="2"/>
          <w:numId w:val="1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firstLine="653"/>
        <w:spacing w:after="0" w:line="277" w:lineRule="auto"/>
        <w:tabs>
          <w:tab w:leader="none" w:pos="2789"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both"/>
        <w:ind w:left="600" w:firstLine="645"/>
        <w:spacing w:after="0" w:line="264" w:lineRule="auto"/>
        <w:tabs>
          <w:tab w:leader="none" w:pos="20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00" w:firstLine="645"/>
        <w:spacing w:after="0" w:line="277" w:lineRule="auto"/>
        <w:tabs>
          <w:tab w:leader="none" w:pos="20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0" w:firstLine="656"/>
        <w:spacing w:after="0" w:line="259" w:lineRule="auto"/>
        <w:tabs>
          <w:tab w:leader="none" w:pos="1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left="-60" w:firstLine="656"/>
        <w:spacing w:after="0" w:line="291" w:lineRule="auto"/>
        <w:tabs>
          <w:tab w:leader="none" w:pos="13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8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this Post-Effective Amendment No. 1 to Form S-8 and has duly caused this registration statement to be signed on its behalf by the undersigned, thereunto duly authorized, in the People’s Republic of China, on May 29, 2019.</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Chief Executive Officer (Principal Executive Officer)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person whose signature appears below constitutes and appoints Raymond Ming Hui Lin and Xiao Feng Yang, or any of them, as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 This Power of Attorney may be executed in multiple counterparts, each of which shall be deemed an original, but which taken together shall constitute one instrument. Pursuant to the requirements of the Securities Act of 1933, this registration statement has been signed by the following persons in the capacities indicated on May 29, 2019.</w:t>
      </w:r>
    </w:p>
    <w:p>
      <w:pPr>
        <w:spacing w:after="0" w:line="16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2"/>
                <w:szCs w:val="22"/>
                <w:color w:val="auto"/>
              </w:rPr>
            </w:pPr>
          </w:p>
        </w:tc>
        <w:tc>
          <w:tcPr>
            <w:tcW w:w="50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Chairman, President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Xiao Feng Yang</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Raymond Ming Hui Lin</w:t>
            </w:r>
          </w:p>
        </w:tc>
        <w:tc>
          <w:tcPr>
            <w:tcW w:w="52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Tian van Acken</w:t>
            </w:r>
          </w:p>
        </w:tc>
        <w:tc>
          <w:tcPr>
            <w:tcW w:w="52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Jin He Shao</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Kewei Huang</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Kewei Huang</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Amooi</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Kathryn Amooi</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0" w:type="dxa"/>
            <w:vAlign w:val="bottom"/>
            <w:gridSpan w:val="2"/>
          </w:tcPr>
          <w:p>
            <w:pPr>
              <w:ind w:left="1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0" w:type="dxa"/>
            <w:vAlign w:val="bottom"/>
            <w:tcBorders>
              <w:top w:val="single" w:sz="8" w:color="auto"/>
              <w:bottom w:val="single" w:sz="8" w:color="0000EE"/>
            </w:tcBorders>
            <w:gridSpan w:val="3"/>
            <w:shd w:val="clear" w:color="auto" w:fill="CCEEFF"/>
          </w:tcPr>
          <w:p>
            <w:pPr>
              <w:spacing w:after="0" w:line="170"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Specimen share certificate (1).</w:t>
              </w:r>
            </w:hyperlink>
          </w:p>
        </w:tc>
        <w:tc>
          <w:tcPr>
            <w:tcW w:w="806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260" w:type="dxa"/>
            <w:vAlign w:val="bottom"/>
            <w:gridSpan w:val="6"/>
          </w:tcPr>
          <w:p>
            <w:pPr>
              <w:spacing w:after="0" w:line="176" w:lineRule="exact"/>
              <w:rPr>
                <w:sz w:val="20"/>
                <w:szCs w:val="20"/>
                <w:color w:val="auto"/>
              </w:rPr>
            </w:pPr>
            <w:r>
              <w:rPr>
                <w:rFonts w:ascii="Arial" w:cs="Arial" w:eastAsia="Arial" w:hAnsi="Arial"/>
                <w:sz w:val="18"/>
                <w:szCs w:val="18"/>
                <w:color w:val="0000EE"/>
              </w:rPr>
              <w:t>Opinion of Ogier.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2017 Equity Incentive Plan (1).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tcPr>
          <w:p>
            <w:pPr>
              <w:spacing w:after="0"/>
              <w:rPr>
                <w:sz w:val="15"/>
                <w:szCs w:val="15"/>
                <w:color w:val="auto"/>
              </w:rPr>
            </w:pPr>
          </w:p>
        </w:tc>
        <w:tc>
          <w:tcPr>
            <w:tcW w:w="226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Consent of Friedman LLP.</w:t>
            </w:r>
          </w:p>
        </w:tc>
        <w:tc>
          <w:tcPr>
            <w:tcW w:w="800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5"/>
                <w:szCs w:val="15"/>
                <w:color w:val="auto"/>
              </w:rPr>
            </w:pPr>
          </w:p>
        </w:tc>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Power of Attorney (included on signature page hereof).</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292"/>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filed with CLPS Incorporation’s Registration Statement on Form F-1 or amendments thereto (File No. 333-223956).</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187960</wp:posOffset>
            </wp:positionV>
            <wp:extent cx="101219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12190" cy="4114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 Ogier Global (Cayman)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nathan.powell@ogier.com</w:t>
      </w:r>
    </w:p>
    <w:p>
      <w:pPr>
        <w:spacing w:after="0" w:line="32" w:lineRule="exact"/>
        <w:rPr>
          <w:sz w:val="20"/>
          <w:szCs w:val="20"/>
          <w:color w:val="auto"/>
        </w:rPr>
      </w:pPr>
    </w:p>
    <w:p>
      <w:pPr>
        <w:sectPr>
          <w:pgSz w:w="11900" w:h="16838" w:orient="portrait"/>
          <w:cols w:equalWidth="0" w:num="2">
            <w:col w:w="5040" w:space="720"/>
            <w:col w:w="5660"/>
          </w:cols>
          <w:pgMar w:left="240" w:top="112" w:right="239" w:bottom="1440" w:gutter="0" w:footer="0" w:header="0"/>
          <w:type w:val="continuous"/>
        </w:sectPr>
      </w:pPr>
    </w:p>
    <w:p>
      <w:pPr>
        <w:spacing w:after="0"/>
        <w:rPr>
          <w:sz w:val="20"/>
          <w:szCs w:val="20"/>
          <w:color w:val="auto"/>
        </w:rPr>
      </w:pPr>
      <w:r>
        <w:rPr>
          <w:rFonts w:ascii="Arial" w:cs="Arial" w:eastAsia="Arial" w:hAnsi="Arial"/>
          <w:sz w:val="16"/>
          <w:szCs w:val="16"/>
          <w:color w:val="auto"/>
        </w:rPr>
        <w:t>89 Nexus Way, Camana Bay</w:t>
      </w:r>
    </w:p>
    <w:p>
      <w:pPr>
        <w:sectPr>
          <w:pgSz w:w="11900" w:h="16838" w:orient="portrait"/>
          <w:cols w:equalWidth="0" w:num="1">
            <w:col w:w="11420"/>
          </w:cols>
          <w:pgMar w:left="240" w:top="112"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Grand Cayman KY1-9009</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NMP/FYC/173339.00002</w:t>
      </w:r>
    </w:p>
    <w:p>
      <w:pPr>
        <w:spacing w:after="0" w:line="32" w:lineRule="exact"/>
        <w:rPr>
          <w:sz w:val="20"/>
          <w:szCs w:val="20"/>
          <w:color w:val="auto"/>
        </w:rPr>
      </w:pPr>
    </w:p>
    <w:p>
      <w:pPr>
        <w:sectPr>
          <w:pgSz w:w="11900" w:h="16838" w:orient="portrait"/>
          <w:cols w:equalWidth="0" w:num="2">
            <w:col w:w="5040" w:space="720"/>
            <w:col w:w="56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27 May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CLPS Incorporation (the Company)</w:t>
      </w:r>
    </w:p>
    <w:p>
      <w:pPr>
        <w:sectPr>
          <w:pgSz w:w="11900" w:h="16838" w:orient="portrait"/>
          <w:cols w:equalWidth="0" w:num="1">
            <w:col w:w="11420"/>
          </w:cols>
          <w:pgMar w:left="240" w:top="112" w:right="239" w:bottom="1440" w:gutter="0" w:footer="0" w:header="0"/>
          <w:type w:val="continuous"/>
        </w:sectPr>
      </w:pP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have acted as Cayman Islands counsel to the Company in connection with the Post-Effective Amendment No. 1 to Form S-8 Registration Statement, including all amendments or supplements thereto (the </w:t>
      </w:r>
      <w:r>
        <w:rPr>
          <w:rFonts w:ascii="Arial" w:cs="Arial" w:eastAsia="Arial" w:hAnsi="Arial"/>
          <w:sz w:val="16"/>
          <w:szCs w:val="16"/>
          <w:b w:val="1"/>
          <w:bCs w:val="1"/>
          <w:color w:val="auto"/>
        </w:rPr>
        <w:t>Form S-8</w:t>
      </w:r>
      <w:r>
        <w:rPr>
          <w:rFonts w:ascii="Arial" w:cs="Arial" w:eastAsia="Arial" w:hAnsi="Arial"/>
          <w:sz w:val="16"/>
          <w:szCs w:val="16"/>
          <w:color w:val="auto"/>
        </w:rPr>
        <w:t xml:space="preserve">) together with the Company’s re-offering prospectus forming part of the Form S-8 (the </w:t>
      </w:r>
      <w:r>
        <w:rPr>
          <w:rFonts w:ascii="Arial" w:cs="Arial" w:eastAsia="Arial" w:hAnsi="Arial"/>
          <w:sz w:val="16"/>
          <w:szCs w:val="16"/>
          <w:b w:val="1"/>
          <w:bCs w:val="1"/>
          <w:color w:val="auto"/>
        </w:rPr>
        <w:t>Reoffering Prospectus</w:t>
      </w:r>
      <w:r>
        <w:rPr>
          <w:rFonts w:ascii="Arial" w:cs="Arial" w:eastAsia="Arial" w:hAnsi="Arial"/>
          <w:sz w:val="16"/>
          <w:szCs w:val="16"/>
          <w:color w:val="auto"/>
        </w:rPr>
        <w:t>) relating to the sale of the Company’s shares that may be offered and re-sold from time to time by the Selling Stockholders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defined in the Reoffering Prospectus) for their own account, as filed by the Company with the United States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United States Securities Act 1933, as amended (the</w:t>
      </w:r>
      <w:r>
        <w:rPr>
          <w:rFonts w:ascii="Arial" w:cs="Arial" w:eastAsia="Arial" w:hAnsi="Arial"/>
          <w:sz w:val="16"/>
          <w:szCs w:val="16"/>
          <w:b w:val="1"/>
          <w:bCs w:val="1"/>
          <w:color w:val="auto"/>
        </w:rPr>
        <w:t xml:space="preserve"> Act</w:t>
      </w:r>
      <w:r>
        <w:rPr>
          <w:rFonts w:ascii="Arial" w:cs="Arial" w:eastAsia="Arial" w:hAnsi="Arial"/>
          <w:sz w:val="16"/>
          <w:szCs w:val="16"/>
          <w:color w:val="auto"/>
        </w:rPr>
        <w:t>) on or about the date hereof. The Form S-8 relates to the registration of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aggregate of 2,210,000 shares of US$0.0001 par value each of the Company (the </w:t>
      </w:r>
      <w:r>
        <w:rPr>
          <w:rFonts w:ascii="Arial" w:cs="Arial" w:eastAsia="Arial" w:hAnsi="Arial"/>
          <w:sz w:val="16"/>
          <w:szCs w:val="16"/>
          <w:b w:val="1"/>
          <w:bCs w:val="1"/>
          <w:color w:val="auto"/>
        </w:rPr>
        <w:t>ESOP Shares</w:t>
      </w:r>
      <w:r>
        <w:rPr>
          <w:rFonts w:ascii="Arial" w:cs="Arial" w:eastAsia="Arial" w:hAnsi="Arial"/>
          <w:sz w:val="16"/>
          <w:szCs w:val="16"/>
          <w:color w:val="auto"/>
        </w:rPr>
        <w:t xml:space="preserve">) to be issued pursuant to the Company’s 2017 Equity Incentive Plan adopted by the board of directors of the Company on 18 November 2017 (the </w:t>
      </w:r>
      <w:r>
        <w:rPr>
          <w:rFonts w:ascii="Arial" w:cs="Arial" w:eastAsia="Arial" w:hAnsi="Arial"/>
          <w:sz w:val="16"/>
          <w:szCs w:val="16"/>
          <w:b w:val="1"/>
          <w:bCs w:val="1"/>
          <w:color w:val="auto"/>
        </w:rPr>
        <w:t>2017 Equity Incentive Plan</w:t>
      </w:r>
      <w:r>
        <w:rPr>
          <w:rFonts w:ascii="Arial" w:cs="Arial" w:eastAsia="Arial" w:hAnsi="Arial"/>
          <w:sz w:val="16"/>
          <w:szCs w:val="16"/>
          <w:color w:val="auto"/>
        </w:rPr>
        <w:t>, which term does not include any other document or agreement whether or not specifically referred to therein or attached as an exhibit or schedule thereto).</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a certificate of good standing dated 15 April 2019 (the </w:t>
      </w:r>
      <w:r>
        <w:rPr>
          <w:rFonts w:ascii="Arial" w:cs="Arial" w:eastAsia="Arial" w:hAnsi="Arial"/>
          <w:sz w:val="17"/>
          <w:szCs w:val="17"/>
          <w:b w:val="1"/>
          <w:bCs w:val="1"/>
          <w:color w:val="auto"/>
        </w:rPr>
        <w:t>Good Standing Certificate</w:t>
      </w:r>
      <w:r>
        <w:rPr>
          <w:rFonts w:ascii="Arial" w:cs="Arial" w:eastAsia="Arial" w:hAnsi="Arial"/>
          <w:sz w:val="17"/>
          <w:szCs w:val="17"/>
          <w:color w:val="auto"/>
        </w:rPr>
        <w:t>) issued by the Registrar in respect of the Company;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as at 25 May 2018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 copy of the listed register of members of the Company maintained by Continental Stock Transfer &amp; Trust as at 11 April 2019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Form S-8;</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a copy of the written resolutions of the board of directors dated 18 November 2017 and 4 July 2018 (the </w:t>
      </w:r>
      <w:r>
        <w:rPr>
          <w:rFonts w:ascii="Arial" w:cs="Arial" w:eastAsia="Arial" w:hAnsi="Arial"/>
          <w:sz w:val="17"/>
          <w:szCs w:val="17"/>
          <w:b w:val="1"/>
          <w:bCs w:val="1"/>
          <w:color w:val="auto"/>
        </w:rPr>
        <w:t>Board Resolutions</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copy of the 2017 Equity Incentive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20"/>
                <w:szCs w:val="20"/>
                <w:color w:val="auto"/>
              </w:rPr>
            </w:pPr>
            <w:r>
              <w:rPr>
                <w:rFonts w:ascii="Arial" w:cs="Arial" w:eastAsia="Arial" w:hAnsi="Arial"/>
                <w:sz w:val="18"/>
                <w:szCs w:val="18"/>
                <w:b w:val="1"/>
                <w:bCs w:val="1"/>
                <w:color w:val="auto"/>
              </w:rPr>
              <w:t>Ogier</w:t>
            </w:r>
          </w:p>
        </w:tc>
        <w:tc>
          <w:tcPr>
            <w:tcW w:w="7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British Virgin Islands, Cayman Islands,</w:t>
            </w:r>
          </w:p>
        </w:tc>
        <w:tc>
          <w:tcPr>
            <w:tcW w:w="7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Partners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Guernsey, Jersey and Luxembourg practitioners</w:t>
            </w:r>
          </w:p>
        </w:tc>
        <w:tc>
          <w:tcPr>
            <w:tcW w:w="7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Nicholas Plowman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Floor 11 Central Tower</w:t>
            </w:r>
          </w:p>
        </w:tc>
        <w:tc>
          <w:tcPr>
            <w:tcW w:w="7120" w:type="dxa"/>
            <w:vAlign w:val="bottom"/>
          </w:tcPr>
          <w:p>
            <w:pPr>
              <w:ind w:left="860"/>
              <w:spacing w:after="0"/>
              <w:rPr>
                <w:sz w:val="20"/>
                <w:szCs w:val="20"/>
                <w:color w:val="auto"/>
              </w:rPr>
            </w:pPr>
            <w:r>
              <w:rPr>
                <w:rFonts w:ascii="Arial" w:cs="Arial" w:eastAsia="Arial" w:hAnsi="Arial"/>
                <w:sz w:val="18"/>
                <w:szCs w:val="18"/>
                <w:color w:val="auto"/>
              </w:rPr>
              <w:t>Nathan Powell</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28 Queen’s Road Central</w:t>
            </w:r>
          </w:p>
        </w:tc>
        <w:tc>
          <w:tcPr>
            <w:tcW w:w="7120" w:type="dxa"/>
            <w:vAlign w:val="bottom"/>
          </w:tcPr>
          <w:p>
            <w:pPr>
              <w:ind w:left="860"/>
              <w:spacing w:after="0"/>
              <w:rPr>
                <w:sz w:val="20"/>
                <w:szCs w:val="20"/>
                <w:color w:val="auto"/>
              </w:rPr>
            </w:pPr>
            <w:r>
              <w:rPr>
                <w:rFonts w:ascii="Arial" w:cs="Arial" w:eastAsia="Arial" w:hAnsi="Arial"/>
                <w:sz w:val="18"/>
                <w:szCs w:val="18"/>
                <w:color w:val="auto"/>
              </w:rPr>
              <w:t>Ray Ng</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Central</w:t>
            </w:r>
          </w:p>
        </w:tc>
        <w:tc>
          <w:tcPr>
            <w:tcW w:w="7120" w:type="dxa"/>
            <w:vAlign w:val="bottom"/>
          </w:tcPr>
          <w:p>
            <w:pPr>
              <w:ind w:left="860"/>
              <w:spacing w:after="0"/>
              <w:rPr>
                <w:sz w:val="20"/>
                <w:szCs w:val="20"/>
                <w:color w:val="auto"/>
              </w:rPr>
            </w:pPr>
            <w:r>
              <w:rPr>
                <w:rFonts w:ascii="Arial" w:cs="Arial" w:eastAsia="Arial" w:hAnsi="Arial"/>
                <w:sz w:val="18"/>
                <w:szCs w:val="18"/>
                <w:color w:val="auto"/>
              </w:rPr>
              <w:t>Kate Hodson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Hong Kong</w:t>
            </w:r>
          </w:p>
        </w:tc>
        <w:tc>
          <w:tcPr>
            <w:tcW w:w="7120" w:type="dxa"/>
            <w:vAlign w:val="bottom"/>
          </w:tcPr>
          <w:p>
            <w:pPr>
              <w:ind w:left="860"/>
              <w:spacing w:after="0"/>
              <w:rPr>
                <w:sz w:val="20"/>
                <w:szCs w:val="20"/>
                <w:color w:val="auto"/>
              </w:rPr>
            </w:pPr>
            <w:r>
              <w:rPr>
                <w:rFonts w:ascii="Arial" w:cs="Arial" w:eastAsia="Arial" w:hAnsi="Arial"/>
                <w:sz w:val="18"/>
                <w:szCs w:val="18"/>
                <w:color w:val="auto"/>
              </w:rPr>
              <w:t>David Nelson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Anthony Oakes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 +852 3656 6000</w:t>
            </w:r>
          </w:p>
        </w:tc>
        <w:tc>
          <w:tcPr>
            <w:tcW w:w="7120" w:type="dxa"/>
            <w:vAlign w:val="bottom"/>
          </w:tcPr>
          <w:p>
            <w:pPr>
              <w:ind w:left="860"/>
              <w:spacing w:after="0"/>
              <w:rPr>
                <w:sz w:val="20"/>
                <w:szCs w:val="20"/>
                <w:color w:val="auto"/>
              </w:rPr>
            </w:pPr>
            <w:r>
              <w:rPr>
                <w:rFonts w:ascii="Arial" w:cs="Arial" w:eastAsia="Arial" w:hAnsi="Arial"/>
                <w:sz w:val="18"/>
                <w:szCs w:val="18"/>
                <w:color w:val="auto"/>
              </w:rPr>
              <w:t>Oliver Payne</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20"/>
                <w:szCs w:val="20"/>
                <w:color w:val="auto"/>
              </w:rPr>
            </w:pPr>
            <w:r>
              <w:rPr>
                <w:rFonts w:ascii="Arial" w:cs="Arial" w:eastAsia="Arial" w:hAnsi="Arial"/>
                <w:sz w:val="18"/>
                <w:szCs w:val="18"/>
                <w:color w:val="auto"/>
              </w:rPr>
              <w:t>F +852 3656 6001</w:t>
            </w:r>
          </w:p>
        </w:tc>
        <w:tc>
          <w:tcPr>
            <w:tcW w:w="7120" w:type="dxa"/>
            <w:vAlign w:val="bottom"/>
          </w:tcPr>
          <w:p>
            <w:pPr>
              <w:ind w:left="860"/>
              <w:spacing w:after="0"/>
              <w:rPr>
                <w:sz w:val="20"/>
                <w:szCs w:val="20"/>
                <w:color w:val="auto"/>
              </w:rPr>
            </w:pPr>
            <w:r>
              <w:rPr>
                <w:rFonts w:ascii="Arial" w:cs="Arial" w:eastAsia="Arial" w:hAnsi="Arial"/>
                <w:sz w:val="18"/>
                <w:szCs w:val="18"/>
                <w:color w:val="auto"/>
              </w:rPr>
              <w:t>James Bergstrom</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ogier.com</w:t>
            </w:r>
          </w:p>
        </w:tc>
        <w:tc>
          <w:tcPr>
            <w:tcW w:w="7120" w:type="dxa"/>
            <w:vAlign w:val="bottom"/>
          </w:tcPr>
          <w:p>
            <w:pPr>
              <w:ind w:left="860"/>
              <w:spacing w:after="0"/>
              <w:rPr>
                <w:sz w:val="20"/>
                <w:szCs w:val="20"/>
                <w:color w:val="auto"/>
              </w:rPr>
            </w:pPr>
            <w:r>
              <w:rPr>
                <w:rFonts w:ascii="Arial" w:cs="Arial" w:eastAsia="Arial" w:hAnsi="Arial"/>
                <w:sz w:val="18"/>
                <w:szCs w:val="18"/>
                <w:color w:val="auto"/>
              </w:rPr>
              <w:t>Marcus Leese</w:t>
            </w:r>
          </w:p>
        </w:tc>
        <w:tc>
          <w:tcPr>
            <w:tcW w:w="0" w:type="dxa"/>
            <w:vAlign w:val="bottom"/>
          </w:tcPr>
          <w:p>
            <w:pPr>
              <w:spacing w:after="0"/>
              <w:rPr>
                <w:sz w:val="1"/>
                <w:szCs w:val="1"/>
                <w:color w:val="auto"/>
              </w:rPr>
            </w:pPr>
          </w:p>
        </w:tc>
      </w:tr>
      <w:tr>
        <w:trPr>
          <w:trHeight w:val="682"/>
        </w:trPr>
        <w:tc>
          <w:tcPr>
            <w:tcW w:w="43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of the Good Standing Certificate, the Registers and the 2017 Equity Incentive Plan is accurate and complete as at the date of this opinion;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Memorandum and Articles provided to you are in full force and effect and have not been amended, varied, supplemented or revoked in any respect;</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copies of the Form S-8 are true and correct copies and the Form S-8 conform in every material respect to the latest drafts of the same produced to us and, where the Form S-8 has been provided to us in successive drafts marked-up to indicate changes to such documents, all such changes have been so indicated;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Board Resolutions remains in full force and effect and each of the directors of the Company has acted in good faith with a view to the best interests of the Company and has exercised the standard of care, diligence and skill that is required of him or her in approving the 2017 Equity Incentive Plan and no director has a financial interest in or other relationship to a party of the transactions contemplated by the 2017 Equity Incentive Plan which has not been properly disclosed in the Board Resolutions;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wing up the Company or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maximum number of shares which the Company is required to issue under the 2017 Equity Incentive Plan to fulfil its obligation is 2,210,000 shares of US$0.0001 par value each of the Company and the consideration payable for each ESOP Share shall be no less than the par value of US$0.0001 each;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Authorised Shares</w:t>
      </w:r>
    </w:p>
    <w:p>
      <w:pPr>
        <w:spacing w:after="0" w:line="229"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solely on the Memorandum, the authorised share capital of the Company is US$10,000 divided into 100,000,000 shares of US$0.0001 par value.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Valid Issuance of ESOP Shares</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ESOP Shares to be issued under the 2017 Equity Incentive Plan have been duly authorised by all necessary corporate action of the Company under the Memorandum and Articles and, upon the issuance and delivery of the ESOP Shares in accordance with the Memorandum and Articles, Board Resolutions and the terms of the 2017 Equity Incentive Plan and once consideration of not less than the par value is paid per share to the Company, the ESOP Shares will be duly authorized, validly issued, fully paid and non-assessable. Once the register of members has been updated to reflect the issuance, the shareholders recorded in the register of members will be deemed to have legal title to the shares set against their respective name and such shares may be transferrable in accordance with Article 6 of the Articles.</w:t>
      </w:r>
    </w:p>
    <w:p>
      <w:pPr>
        <w:spacing w:after="0" w:line="18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2017 Equity Incentive Plan to statutes, rules, regulations, codes or judicial authority of any jurisdiction other than the Cayman Islands; or</w:t>
      </w:r>
    </w:p>
    <w:p>
      <w:pPr>
        <w:spacing w:after="0" w:line="165"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p>
      <w:pPr>
        <w:spacing w:after="0" w:line="183"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Law (Revised) (</w:t>
      </w:r>
      <w:r>
        <w:rPr>
          <w:rFonts w:ascii="Arial" w:cs="Arial" w:eastAsia="Arial" w:hAnsi="Arial"/>
          <w:sz w:val="17"/>
          <w:szCs w:val="17"/>
          <w:b w:val="1"/>
          <w:bCs w:val="1"/>
          <w:color w:val="auto"/>
        </w:rPr>
        <w:t>Companies Law</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opinion as an exhibit to the Form S-8.</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opinion may be used only in connection with the Form S-8 while the 2017 Equity Incentive Plan is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975610" cy="454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 to the Amendment 1 on Form S-8 pertaining to the CLPS Incorporation 2017 Equity Incentive Plan of our report dated September 25, 2018 with respect to the consolidated financial statements of CLPS Incorporation and subsidiaries included in its Annual Report on Form 20-F for the fiscal year ended June 30, 2018, filed with the Securities and Exchange Commission on September 25, 2018. We also consent to the reference to our firm under the wording “Experts” in such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709295</wp:posOffset>
            </wp:positionV>
            <wp:extent cx="5351145"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351145" cy="36893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3F2DBA31"/>
    <w:multiLevelType w:val="hybridMultilevel"/>
    <w:lvl w:ilvl="0">
      <w:lvlJc w:val="left"/>
      <w:lvlText w:val="%1"/>
      <w:numFmt w:val="lowerLetter"/>
      <w:start w:val="1"/>
    </w:lvl>
    <w:lvl w:ilvl="1">
      <w:lvlJc w:val="left"/>
      <w:lvlText w:val="(%2)"/>
      <w:numFmt w:val="decimal"/>
      <w:start w:val="2"/>
    </w:lvl>
  </w:abstractNum>
  <w:abstractNum w:abstractNumId="12">
    <w:nsid w:val="7C83E458"/>
    <w:multiLevelType w:val="hybridMultilevel"/>
    <w:lvl w:ilvl="0">
      <w:lvlJc w:val="left"/>
      <w:lvlText w:val="(%1)"/>
      <w:numFmt w:val="lowerLetter"/>
      <w:start w:val="2"/>
    </w:lvl>
    <w:lvl w:ilvl="1">
      <w:lvlJc w:val="left"/>
      <w:lvlText w:val="%2"/>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bullet"/>
      <w:start w:val="1"/>
    </w:lvl>
    <w:lvl w:ilvl="1">
      <w:lvlJc w:val="left"/>
      <w:lvlText w:val="(%2)"/>
      <w:numFmt w:val="lowerLetter"/>
      <w:start w:val="1"/>
    </w:lvl>
  </w:abstractNum>
  <w:abstractNum w:abstractNumId="15">
    <w:nsid w:val="436C6125"/>
    <w:multiLevelType w:val="hybridMultilevel"/>
    <w:lvl w:ilvl="0">
      <w:lvlJc w:val="left"/>
      <w:lvlText w:val="2"/>
      <w:numFmt w:val="bullet"/>
      <w:start w:val="1"/>
    </w:lvl>
    <w:lvl w:ilvl="1">
      <w:lvlJc w:val="left"/>
      <w:lvlText w:val="(%2)"/>
      <w:numFmt w:val="lowerLetter"/>
      <w:start w:val="1"/>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4"/>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5"/>
      <w:numFmt w:val="bullet"/>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jpe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jpeg"/><Relationship Id="rId48" Type="http://schemas.openxmlformats.org/officeDocument/2006/relationships/image" Target="media/image30.jpeg"/><Relationship Id="rId23" Type="http://schemas.openxmlformats.org/officeDocument/2006/relationships/hyperlink" Target="http://www.sec.gov/Archives/edgar/data/1724542/000121390018012977/f20f2018_clpsincorporation.htm" TargetMode="External"/><Relationship Id="rId24" Type="http://schemas.openxmlformats.org/officeDocument/2006/relationships/hyperlink" Target="http://www.sec.gov/Archives/edgar/data/1724542/000121390018003524/ff12018_clpsincorporation.htm" TargetMode="External"/><Relationship Id="rId25" Type="http://schemas.openxmlformats.org/officeDocument/2006/relationships/hyperlink" Target="http://www.sec.gov/Archives/edgar/data/1724542/000121390018006724/f8a12b0518_clpsincorporation.htm" TargetMode="External"/><Relationship Id="rId26" Type="http://schemas.openxmlformats.org/officeDocument/2006/relationships/hyperlink" Target="http://www.sec.gov/Archives/edgar/data/1724542/000121390018016651/f6k112818_clpsincorp.htm" TargetMode="External"/><Relationship Id="rId27" Type="http://schemas.openxmlformats.org/officeDocument/2006/relationships/hyperlink" Target="http://www.sec.gov/Archives/edgar/data/1724542/000121390019000288/f6k1218_clpsincorporation.htm" TargetMode="External"/><Relationship Id="rId28" Type="http://schemas.openxmlformats.org/officeDocument/2006/relationships/hyperlink" Target="http://www.sec.gov/Archives/edgar/data/1724542/000121390019002895/f6k0219_clpsincorp.htm" TargetMode="External"/><Relationship Id="rId29" Type="http://schemas.openxmlformats.org/officeDocument/2006/relationships/hyperlink" Target="http://www.sec.gov/Archives/edgar/data/1724542/000121390019003658/f6k030619_clpsincorp.htm" TargetMode="External"/><Relationship Id="rId30" Type="http://schemas.openxmlformats.org/officeDocument/2006/relationships/hyperlink" Target="http://www.sec.gov/Archives/edgar/data/1724542/000121390019004849/f6k0319_clpsincorporation.htm" TargetMode="External"/><Relationship Id="rId31" Type="http://schemas.openxmlformats.org/officeDocument/2006/relationships/hyperlink" Target="http://www.sec.gov/Archives/edgar/data/1724542/000121390019006864/f6k041619_clpsincorporation.htm" TargetMode="External"/><Relationship Id="rId39" Type="http://schemas.openxmlformats.org/officeDocument/2006/relationships/hyperlink" Target="http://www.sec.gov/Archives/edgar/data/1724542/000121390018003524/ff12018ex4-1_clpsincorp.htm" TargetMode="External"/><Relationship Id="rId40" Type="http://schemas.openxmlformats.org/officeDocument/2006/relationships/hyperlink" Target="http://www.sec.gov/Archives/edgar/data/1724542/000121390018003524/ff12018ex10-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2019-12-02T07:38:37Z</dcterms:created>
  <dcterms:modified xsi:type="dcterms:W3CDTF">2019-12-02T07:38:37Z</dcterms:modified>
</cp:coreProperties>
</file>