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80" w:hanging="20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540" w:hanging="206"/>
        <w:spacing w:after="0"/>
        <w:tabs>
          <w:tab w:leader="none" w:pos="1540" w:val="left"/>
        </w:tabs>
        <w:numPr>
          <w:ilvl w:val="2"/>
          <w:numId w:val="2"/>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June 30, 2021</w:t>
      </w:r>
    </w:p>
    <w:p>
      <w:pPr>
        <w:spacing w:after="0" w:line="22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1380" w:hanging="206"/>
        <w:spacing w:after="0"/>
        <w:tabs>
          <w:tab w:leader="none" w:pos="13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jc w:val="center"/>
        <w:ind w:left="3380" w:right="960" w:hanging="2410"/>
        <w:spacing w:after="0" w:line="500" w:lineRule="auto"/>
        <w:tabs>
          <w:tab w:leader="none" w:pos="117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15(d) OF THE SECURITIES EXCHANGE ACT OF 1934 for the transition period from ____________to 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001-38505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Unit 1102,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III</w:t>
      </w: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jc w:val="center"/>
        <w:spacing w:after="0" w:line="205" w:lineRule="auto"/>
        <w:rPr>
          <w:sz w:val="20"/>
          <w:szCs w:val="20"/>
          <w:color w:val="auto"/>
        </w:rPr>
      </w:pPr>
      <w:r>
        <w:rPr>
          <w:rFonts w:ascii="Arial" w:cs="Arial" w:eastAsia="Arial" w:hAnsi="Arial"/>
          <w:sz w:val="18"/>
          <w:szCs w:val="18"/>
          <w:b w:val="1"/>
          <w:bCs w:val="1"/>
          <w:color w:val="auto"/>
        </w:rPr>
        <w:t>c/o Unit 1102,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III</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Shares,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CLPS</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 September 24, 2021, the issuer had 20,400,820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0"/>
          <w:szCs w:val="20"/>
          <w:color w:val="auto"/>
        </w:rPr>
      </w:pPr>
    </w:p>
    <w:p>
      <w:pPr>
        <w:ind w:left="1016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1016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ind w:left="1016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1016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38" w:lineRule="exact"/>
        <w:rPr>
          <w:sz w:val="20"/>
          <w:szCs w:val="20"/>
          <w:color w:val="auto"/>
        </w:rPr>
      </w:pPr>
    </w:p>
    <w:p>
      <w:pPr>
        <w:spacing w:after="0" w:line="207" w:lineRule="exact"/>
        <w:tabs>
          <w:tab w:leader="none" w:pos="4380" w:val="left"/>
          <w:tab w:leader="none" w:pos="7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81" w:right="339" w:bottom="1440" w:gutter="0" w:footer="0" w:header="0"/>
        </w:sectPr>
      </w:pPr>
    </w:p>
    <w:p>
      <w:pPr>
        <w:spacing w:after="0" w:line="192"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US GAAP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60" w:hanging="55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3">
            <w:col w:w="2100" w:space="720"/>
            <w:col w:w="5460" w:space="720"/>
            <w:col w:w="2240"/>
          </w:cols>
          <w:pgMar w:left="320" w:top="881" w:right="339" w:bottom="1440" w:gutter="0" w:footer="0" w:header="0"/>
          <w:type w:val="continuous"/>
        </w:sectPr>
      </w:pPr>
    </w:p>
    <w:p>
      <w:pPr>
        <w:spacing w:after="0" w:line="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38" w:lineRule="exact"/>
        <w:rPr>
          <w:sz w:val="20"/>
          <w:szCs w:val="20"/>
          <w:color w:val="auto"/>
        </w:rPr>
      </w:pPr>
    </w:p>
    <w:p>
      <w:pPr>
        <w:ind w:left="95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ind w:left="1016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60" w:type="dxa"/>
            <w:vAlign w:val="bottom"/>
            <w:gridSpan w:val="13"/>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140" w:type="dxa"/>
            <w:vAlign w:val="bottom"/>
            <w:gridSpan w:val="4"/>
            <w:vMerge w:val="restart"/>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PART I</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14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2.</w:t>
            </w:r>
          </w:p>
        </w:tc>
        <w:tc>
          <w:tcPr>
            <w:tcW w:w="560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OFFER STATISTICS AND EXPECTED TIMETABLE</w:t>
              </w:r>
            </w:hyperlink>
          </w:p>
        </w:tc>
        <w:tc>
          <w:tcPr>
            <w:tcW w:w="360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6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KEY INFORMATION</w:t>
              </w:r>
            </w:hyperlink>
          </w:p>
        </w:tc>
        <w:tc>
          <w:tcPr>
            <w:tcW w:w="7540" w:type="dxa"/>
            <w:vAlign w:val="bottom"/>
            <w:tcBorders>
              <w:bottom w:val="single" w:sz="8" w:color="CCEEFF"/>
            </w:tcBorders>
            <w:gridSpan w:val="2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4.</w:t>
            </w:r>
          </w:p>
        </w:tc>
        <w:tc>
          <w:tcPr>
            <w:tcW w:w="9200" w:type="dxa"/>
            <w:vAlign w:val="bottom"/>
            <w:gridSpan w:val="26"/>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INFORMATION ON THE COMPANY</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4A.</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5.</w:t>
            </w:r>
          </w:p>
        </w:tc>
        <w:tc>
          <w:tcPr>
            <w:tcW w:w="9200" w:type="dxa"/>
            <w:vAlign w:val="bottom"/>
            <w:gridSpan w:val="26"/>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OPERATING AND FINANCIAL REVIEW AND PROSPECT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DIRECTORS, SENIOR MANAGEMENT AND EMPLOYEES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7.</w:t>
            </w:r>
          </w:p>
        </w:tc>
        <w:tc>
          <w:tcPr>
            <w:tcW w:w="9200" w:type="dxa"/>
            <w:vAlign w:val="bottom"/>
            <w:gridSpan w:val="26"/>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MAJOR SHAREHOLDERS AND RELATED PARTY TRANSACTIONS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22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FINANCIAL INFORMATION</w:t>
              </w:r>
            </w:hyperlink>
          </w:p>
        </w:tc>
        <w:tc>
          <w:tcPr>
            <w:tcW w:w="694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9.</w:t>
            </w:r>
          </w:p>
        </w:tc>
        <w:tc>
          <w:tcPr>
            <w:tcW w:w="9200" w:type="dxa"/>
            <w:vAlign w:val="bottom"/>
            <w:gridSpan w:val="26"/>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THE OFFER AND LISTING</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ADDITIONAL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11.</w:t>
            </w:r>
          </w:p>
        </w:tc>
        <w:tc>
          <w:tcPr>
            <w:tcW w:w="9200" w:type="dxa"/>
            <w:vAlign w:val="bottom"/>
            <w:gridSpan w:val="26"/>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QUANTITATIVE AND QUALITATIVE DISCLOSURE ABOUT MARKET RISK</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DESCRIPTION OF SECURITIES OTHER THAN EQUITY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0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DEFAULTS, DIVIDEND ARREARAGES AND DELINQUENCIES</w:t>
              </w:r>
            </w:hyperlink>
          </w:p>
        </w:tc>
        <w:tc>
          <w:tcPr>
            <w:tcW w:w="41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14.</w:t>
            </w:r>
          </w:p>
        </w:tc>
        <w:tc>
          <w:tcPr>
            <w:tcW w:w="9200" w:type="dxa"/>
            <w:vAlign w:val="bottom"/>
            <w:gridSpan w:val="26"/>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MATERIAL MODIFICATIONS TO THE RIGHTS OF SECURITY HOLDERS AND USE OF PROCEEDS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16.</w:t>
            </w:r>
          </w:p>
        </w:tc>
        <w:tc>
          <w:tcPr>
            <w:tcW w:w="26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RESERVED</w:t>
              </w:r>
            </w:hyperlink>
          </w:p>
        </w:tc>
        <w:tc>
          <w:tcPr>
            <w:tcW w:w="6600" w:type="dxa"/>
            <w:vAlign w:val="bottom"/>
            <w:tcBorders>
              <w:top w:val="single" w:sz="8" w:color="CCEEFF"/>
            </w:tcBorders>
            <w:gridSpan w:val="1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16A.</w:t>
            </w:r>
          </w:p>
        </w:tc>
        <w:tc>
          <w:tcPr>
            <w:tcW w:w="34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8"/>
              </w:rPr>
            </w:pPr>
            <w:hyperlink w:anchor="page114">
              <w:r>
                <w:rPr>
                  <w:rFonts w:ascii="Arial" w:cs="Arial" w:eastAsia="Arial" w:hAnsi="Arial"/>
                  <w:sz w:val="18"/>
                  <w:szCs w:val="18"/>
                  <w:color w:val="0000EE"/>
                  <w:w w:val="98"/>
                </w:rPr>
                <w:t>AUDIT COMMITTEE FINANCIAL EXPERT.</w:t>
              </w:r>
            </w:hyperlink>
          </w:p>
        </w:tc>
        <w:tc>
          <w:tcPr>
            <w:tcW w:w="576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16B.</w:t>
            </w:r>
          </w:p>
        </w:tc>
        <w:tc>
          <w:tcPr>
            <w:tcW w:w="9200" w:type="dxa"/>
            <w:vAlign w:val="bottom"/>
            <w:gridSpan w:val="26"/>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CODE OF ETHICS.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16C.</w:t>
            </w:r>
          </w:p>
        </w:tc>
        <w:tc>
          <w:tcPr>
            <w:tcW w:w="4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PRINCIPAL ACCOUNTANT FEES AND SERVICES.</w:t>
              </w:r>
            </w:hyperlink>
          </w:p>
        </w:tc>
        <w:tc>
          <w:tcPr>
            <w:tcW w:w="518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16D.</w:t>
            </w:r>
          </w:p>
        </w:tc>
        <w:tc>
          <w:tcPr>
            <w:tcW w:w="9200" w:type="dxa"/>
            <w:vAlign w:val="bottom"/>
            <w:gridSpan w:val="26"/>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EXEMPTIONS FROM THE LISTING STANDARDS FOR AUDIT COMMITTEES.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16E.</w:t>
            </w:r>
          </w:p>
        </w:tc>
        <w:tc>
          <w:tcPr>
            <w:tcW w:w="72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PURCHASES OF EQUITY SECURITIES BY THE ISSUER AND AFFILIATED PURCHASERS.</w:t>
              </w:r>
            </w:hyperlink>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16F.</w:t>
            </w:r>
          </w:p>
        </w:tc>
        <w:tc>
          <w:tcPr>
            <w:tcW w:w="9200" w:type="dxa"/>
            <w:vAlign w:val="bottom"/>
            <w:gridSpan w:val="26"/>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CHANGES IN REGISTRANT’S CERTIFYING ACCOUNTANT.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16G.</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CORPORATE GOVERNANCE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III</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17.</w:t>
            </w:r>
          </w:p>
        </w:tc>
        <w:tc>
          <w:tcPr>
            <w:tcW w:w="21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116">
              <w:r>
                <w:rPr>
                  <w:rFonts w:ascii="Arial" w:cs="Arial" w:eastAsia="Arial" w:hAnsi="Arial"/>
                  <w:sz w:val="18"/>
                  <w:szCs w:val="18"/>
                  <w:color w:val="0000EE"/>
                  <w:w w:val="97"/>
                </w:rPr>
                <w:t>FINANCIAL STATEMENTS</w:t>
              </w:r>
            </w:hyperlink>
          </w:p>
        </w:tc>
        <w:tc>
          <w:tcPr>
            <w:tcW w:w="7040" w:type="dxa"/>
            <w:vAlign w:val="bottom"/>
            <w:tcBorders>
              <w:bottom w:val="single" w:sz="8" w:color="CCEEFF"/>
            </w:tcBorders>
            <w:gridSpan w:val="2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18.</w:t>
            </w:r>
          </w:p>
        </w:tc>
        <w:tc>
          <w:tcPr>
            <w:tcW w:w="9200" w:type="dxa"/>
            <w:vAlign w:val="bottom"/>
            <w:gridSpan w:val="26"/>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FINANCIAL STATEMENTS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19.</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CERTAIN INFORMATION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where the context otherwise requires and for purposes of this Annual Report only:</w:t>
      </w:r>
    </w:p>
    <w:p>
      <w:pPr>
        <w:spacing w:after="0" w:line="225"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“JAJI China” refers to JAJI (Shanghai) Co., Ltd., formerly Judge (Shanghai)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“JAJI HR” refers to JAJI (Shanghai) Human Resource Co., Ltd. formerly Judge (Shanghai) Human Resource Co., Ltd., a PRC company;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“CLPS-Ridik AU” refers to CLPS-Ridik Technology (Australia) Pty. Ltd., an Australian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Hong Kong” refers to CLPS Technology (HK)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US” refers to CLPS Technology (US) Ltd., a Delaware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California” refers to CLPS Technology (California) Inc., a California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ind w:left="324"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Lihong” refers to CLPS Lihong Financial Information Services Co., Ltd., formerly Lihong Financial Information Services Co., Ltd. before the investment, a PRC company.</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“Infogain” refers to Infogain Solutions PTE. Ltd., a Singaporean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“EMIT” refers to Economic Modeling Information Technology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Hangzhou” refers to CLPS Hangzhou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Guangdong Zhichuang” refers to CLPS Guangdong Zhichuang Software Technology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Shenzhen Robotics” refers to CLPS Shenzhen Robotics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Pte.” refers to Ridik Pte. Ltd., a Singaporean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Consulting” refers to Ridik Consulting Private Limited, an Indian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Sdn.” refers to Ridik Sdn. Bhd., a Malaysian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Software Pte.” refers to Ridik Software Solutions Pte. Ltd., a Singaporean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Software” refers to Ridik Software Solutions Ltd., a UK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“Suzhou Ridik” refers to Suzhou Ridik Information Technology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Japan” refers to CLPS Technology Japan, a Japanese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“Qinson” refers to Qinson Credit Card Services Limited, a Hong Kong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Hainan” refers to Hainan Qincheng Software Technology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“SSIT” refers to Shanghai Shier Information Technology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“CareerWin” refers to CareerWin Executive Search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Xi’an” refers to CLPS Xi’an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Ring” refers to Growth Ring Ltd., a British Virgin Islands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“Arabian Jasmine” refers to Arabian Jasmine Ltd., a British Virgin Islands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“Shanghai Chenqin” refers to Shanghai Chenqin Information Technology Services Co., Ltd., a PRC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 Singapore” refers to Noni (Singapore) Pte. Ltd., a Singaporean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“CLPS-Beefinance” refers to CLPS-Beefinance Holding Limited, a British Virgin Islands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“Qinson Ltd.” refers to Qinson Ltd., a British Virgin Islands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“LQE” refers to LQE Ltd., a British Virgin Islands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“LinkCrypto” refers to LinkCrypto Finance Technology Limited, a Hong Kong company.</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81" w:right="339" w:bottom="1440" w:gutter="0" w:footer="0" w:header="0"/>
        </w:sectPr>
      </w:pPr>
    </w:p>
    <w:bookmarkStart w:id="5" w:name="page6"/>
    <w:bookmarkEnd w:id="5"/>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“MNYC” refers to MNYC HOLDINGS (HK)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“MSCT” refers to MSCT Investment Holdings Limited, a British Virgin Islands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“CLPS Philippines” refers to CLPS TECHNOLOGY (PHILIPPINES) CORP., a Philippine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“Beijing Bozhuo”refers to Beijing Bozhuo Education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“Haikou Huaqin” refers to Haikou Huaqin Minshang Software Development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“UniDev” refers to Beijing UniDev Software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“Fuson” refers to Fuson Group Limited, a Hong Kong company.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excluding, for the purposes of this Annual Report only, Macau, Taiwan and Hong Kong;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6.4566 to USD1.00, the noon buying rate on June 30, 2021,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Annual Report should be read in conjunction with our audited financial statements and the accompanying notes thereto, which are included in Item 18 of this Annual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1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1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0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0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selected consolidated financial data as of and for the years ended June 30, 2021, 2020 and 2019 have been derived from the audited consolidated financial statements of the Company included in this Annual Report. This information is only a summary and should be read together with the consolidated financial statements, the related notes, the section entitled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other financial information included in this Annual Report. The Company’s results of operations in any period may not necessarily be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indicative of the results that may be expected for any future period. See “Risk Factors” included elsewhere in this Annual Report.</w:t>
      </w:r>
    </w:p>
    <w:p>
      <w:pPr>
        <w:spacing w:after="0" w:line="3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following table presents our summary consolidated statements of comprehensive (loss) income for the fiscal years ended June 30, 2021, 2020 and 2019, respectively.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Comprehensive Income (Loss)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03"/>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126,061,693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89,415,798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64,932,937</w:t>
            </w:r>
          </w:p>
        </w:tc>
      </w:tr>
      <w:tr>
        <w:trPr>
          <w:trHeight w:val="209"/>
        </w:trPr>
        <w:tc>
          <w:tcPr>
            <w:tcW w:w="7320" w:type="dxa"/>
            <w:vAlign w:val="bottom"/>
          </w:tcPr>
          <w:p>
            <w:pPr>
              <w:spacing w:after="0"/>
              <w:rPr>
                <w:sz w:val="20"/>
                <w:szCs w:val="20"/>
                <w:color w:val="auto"/>
              </w:rPr>
            </w:pPr>
            <w:r>
              <w:rPr>
                <w:rFonts w:ascii="Arial" w:cs="Arial" w:eastAsia="Arial" w:hAnsi="Arial"/>
                <w:sz w:val="16"/>
                <w:szCs w:val="16"/>
                <w:color w:val="auto"/>
              </w:rPr>
              <w:t>Less: Cost of revenues</w:t>
            </w:r>
          </w:p>
        </w:tc>
        <w:tc>
          <w:tcPr>
            <w:tcW w:w="200" w:type="dxa"/>
            <w:vAlign w:val="bottom"/>
          </w:tcPr>
          <w:p>
            <w:pPr>
              <w:spacing w:after="0"/>
              <w:rPr>
                <w:sz w:val="18"/>
                <w:szCs w:val="18"/>
                <w:color w:val="auto"/>
              </w:rPr>
            </w:pPr>
          </w:p>
        </w:tc>
        <w:tc>
          <w:tcPr>
            <w:tcW w:w="1180" w:type="dxa"/>
            <w:vAlign w:val="bottom"/>
            <w:gridSpan w:val="2"/>
          </w:tcPr>
          <w:p>
            <w:pPr>
              <w:jc w:val="right"/>
              <w:ind w:right="99"/>
              <w:spacing w:after="0"/>
              <w:rPr>
                <w:sz w:val="20"/>
                <w:szCs w:val="20"/>
                <w:color w:val="auto"/>
              </w:rPr>
            </w:pPr>
            <w:r>
              <w:rPr>
                <w:rFonts w:ascii="Arial" w:cs="Arial" w:eastAsia="Arial" w:hAnsi="Arial"/>
                <w:sz w:val="16"/>
                <w:szCs w:val="16"/>
                <w:color w:val="auto"/>
              </w:rPr>
              <w:t>(85,890,757)</w:t>
            </w:r>
          </w:p>
        </w:tc>
        <w:tc>
          <w:tcPr>
            <w:tcW w:w="20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(58,296,097)</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(41,178,356)</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40,170,936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31,119,701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23,754,581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2"/>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(expenses):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Selling and marketing expenses</w:t>
            </w:r>
          </w:p>
        </w:tc>
        <w:tc>
          <w:tcPr>
            <w:tcW w:w="200" w:type="dxa"/>
            <w:vAlign w:val="bottom"/>
          </w:tcPr>
          <w:p>
            <w:pPr>
              <w:spacing w:after="0"/>
              <w:rPr>
                <w:sz w:val="17"/>
                <w:szCs w:val="17"/>
                <w:color w:val="auto"/>
              </w:rPr>
            </w:pPr>
          </w:p>
        </w:tc>
        <w:tc>
          <w:tcPr>
            <w:tcW w:w="1180" w:type="dxa"/>
            <w:vAlign w:val="bottom"/>
            <w:gridSpan w:val="2"/>
          </w:tcPr>
          <w:p>
            <w:pPr>
              <w:jc w:val="right"/>
              <w:ind w:right="99"/>
              <w:spacing w:after="0"/>
              <w:rPr>
                <w:sz w:val="20"/>
                <w:szCs w:val="20"/>
                <w:color w:val="auto"/>
              </w:rPr>
            </w:pPr>
            <w:r>
              <w:rPr>
                <w:rFonts w:ascii="Arial" w:cs="Arial" w:eastAsia="Arial" w:hAnsi="Arial"/>
                <w:sz w:val="16"/>
                <w:szCs w:val="16"/>
                <w:color w:val="auto"/>
              </w:rPr>
              <w:t>(3,753,236)</w:t>
            </w:r>
          </w:p>
        </w:tc>
        <w:tc>
          <w:tcPr>
            <w:tcW w:w="2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(3,059,877)</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(2,179,029)</w:t>
            </w:r>
          </w:p>
        </w:tc>
      </w:tr>
      <w:tr>
        <w:trPr>
          <w:trHeight w:val="20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(13,337,913)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(10,436,975)</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(7,978,883)</w:t>
            </w: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17"/>
                <w:szCs w:val="17"/>
                <w:color w:val="auto"/>
              </w:rPr>
            </w:pPr>
          </w:p>
        </w:tc>
        <w:tc>
          <w:tcPr>
            <w:tcW w:w="1180" w:type="dxa"/>
            <w:vAlign w:val="bottom"/>
            <w:gridSpan w:val="2"/>
          </w:tcPr>
          <w:p>
            <w:pPr>
              <w:jc w:val="right"/>
              <w:ind w:right="99"/>
              <w:spacing w:after="0"/>
              <w:rPr>
                <w:sz w:val="20"/>
                <w:szCs w:val="20"/>
                <w:color w:val="auto"/>
              </w:rPr>
            </w:pPr>
            <w:r>
              <w:rPr>
                <w:rFonts w:ascii="Arial" w:cs="Arial" w:eastAsia="Arial" w:hAnsi="Arial"/>
                <w:sz w:val="16"/>
                <w:szCs w:val="16"/>
                <w:color w:val="auto"/>
              </w:rPr>
              <w:t>(16,784,688)</w:t>
            </w:r>
          </w:p>
        </w:tc>
        <w:tc>
          <w:tcPr>
            <w:tcW w:w="2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(16,343,936)</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(17,384,393)</w:t>
            </w: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Subsidies and other operating income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2,080,087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1,927,230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697,370</w:t>
            </w:r>
          </w:p>
        </w:tc>
      </w:tr>
      <w:tr>
        <w:trPr>
          <w:trHeight w:val="197"/>
        </w:trPr>
        <w:tc>
          <w:tcPr>
            <w:tcW w:w="7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(31,795,750</w:t>
            </w:r>
          </w:p>
        </w:tc>
        <w:tc>
          <w:tcPr>
            <w:tcW w:w="240" w:type="dxa"/>
            <w:vAlign w:val="bottom"/>
            <w:tcBorders>
              <w:top w:val="single" w:sz="8" w:color="CCEEFF"/>
              <w:bottom w:val="single" w:sz="8" w:color="CCEEFF"/>
            </w:tcBorders>
          </w:tcPr>
          <w:p>
            <w:pPr>
              <w:jc w:val="right"/>
              <w:ind w:right="9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(27,913,558</w:t>
            </w:r>
          </w:p>
        </w:tc>
        <w:tc>
          <w:tcPr>
            <w:tcW w:w="220" w:type="dxa"/>
            <w:vAlign w:val="bottom"/>
            <w:tcBorders>
              <w:top w:val="single" w:sz="8" w:color="CCEEFF"/>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(26,844,935</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8,375,186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3,206,143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(3,090,354)</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296,319</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608,638</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82,138</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(351,045)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(107,322)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(92,429)</w:t>
            </w:r>
          </w:p>
        </w:tc>
      </w:tr>
      <w:tr>
        <w:trPr>
          <w:trHeight w:val="202"/>
        </w:trPr>
        <w:tc>
          <w:tcPr>
            <w:tcW w:w="7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before income tax and share of income (loss) in equity investees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8,320,460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3,707,459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(3,100,645)</w:t>
            </w:r>
          </w:p>
        </w:tc>
      </w:tr>
      <w:tr>
        <w:trPr>
          <w:trHeight w:val="210"/>
        </w:trPr>
        <w:tc>
          <w:tcPr>
            <w:tcW w:w="73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1,257,124</w:t>
            </w:r>
          </w:p>
        </w:tc>
        <w:tc>
          <w:tcPr>
            <w:tcW w:w="20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835,444</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186,615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before share of income (loss) in equity investees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7,063,336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(3,287,260</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197"/>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(loss) income in equity investees, net of tax</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(44,121</w:t>
            </w:r>
          </w:p>
        </w:tc>
        <w:tc>
          <w:tcPr>
            <w:tcW w:w="24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207,363</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(145,329</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7,019,215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3,079,378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(3,432,589)</w:t>
            </w:r>
          </w:p>
        </w:tc>
        <w:tc>
          <w:tcPr>
            <w:tcW w:w="100" w:type="dxa"/>
            <w:vAlign w:val="bottom"/>
            <w:shd w:val="clear" w:color="auto" w:fill="CCEEFF"/>
          </w:tcPr>
          <w:p>
            <w:pPr>
              <w:spacing w:after="0"/>
              <w:rPr>
                <w:sz w:val="17"/>
                <w:szCs w:val="17"/>
                <w:color w:val="auto"/>
              </w:rPr>
            </w:pPr>
          </w:p>
        </w:tc>
      </w:tr>
      <w:tr>
        <w:trPr>
          <w:trHeight w:val="209"/>
        </w:trPr>
        <w:tc>
          <w:tcPr>
            <w:tcW w:w="7320" w:type="dxa"/>
            <w:vAlign w:val="bottom"/>
          </w:tcPr>
          <w:p>
            <w:pPr>
              <w:ind w:left="180"/>
              <w:spacing w:after="0"/>
              <w:rPr>
                <w:sz w:val="20"/>
                <w:szCs w:val="20"/>
                <w:color w:val="auto"/>
              </w:rPr>
            </w:pPr>
            <w:r>
              <w:rPr>
                <w:rFonts w:ascii="Arial" w:cs="Arial" w:eastAsia="Arial" w:hAnsi="Arial"/>
                <w:sz w:val="16"/>
                <w:szCs w:val="16"/>
                <w:color w:val="auto"/>
              </w:rPr>
              <w:t>Less: Net income (loss) attributable to noncontrolling interests</w:t>
            </w:r>
          </w:p>
        </w:tc>
        <w:tc>
          <w:tcPr>
            <w:tcW w:w="2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202,643</w:t>
            </w:r>
          </w:p>
        </w:tc>
        <w:tc>
          <w:tcPr>
            <w:tcW w:w="20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141,139</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(162,813)</w:t>
            </w:r>
          </w:p>
        </w:tc>
      </w:tr>
      <w:tr>
        <w:trPr>
          <w:trHeight w:val="235"/>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income (loss) attributable to CLPS Incorporation’s shareholders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6,816,572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2,938,239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(3,269,776</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ind w:left="180"/>
              <w:spacing w:after="0"/>
              <w:rPr>
                <w:sz w:val="20"/>
                <w:szCs w:val="20"/>
                <w:color w:val="auto"/>
              </w:rPr>
            </w:pPr>
            <w:r>
              <w:rPr>
                <w:rFonts w:ascii="Arial" w:cs="Arial" w:eastAsia="Arial" w:hAnsi="Arial"/>
                <w:sz w:val="16"/>
                <w:szCs w:val="16"/>
                <w:color w:val="auto"/>
              </w:rPr>
              <w:t>Foreign currency translation income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2,695,223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(571,943)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(429,348)</w:t>
            </w:r>
          </w:p>
        </w:tc>
      </w:tr>
      <w:tr>
        <w:trPr>
          <w:trHeight w:val="20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foreign currency translation income (loss) attributable to noncontrolling interest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102,475</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(22,928)</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(17,375)</w:t>
            </w:r>
          </w:p>
        </w:tc>
      </w:tr>
      <w:tr>
        <w:trPr>
          <w:trHeight w:val="203"/>
        </w:trPr>
        <w:tc>
          <w:tcPr>
            <w:tcW w:w="7320" w:type="dxa"/>
            <w:vAlign w:val="bottom"/>
          </w:tcPr>
          <w:p>
            <w:pPr>
              <w:ind w:left="180"/>
              <w:spacing w:after="0"/>
              <w:rPr>
                <w:sz w:val="20"/>
                <w:szCs w:val="20"/>
                <w:color w:val="auto"/>
              </w:rPr>
            </w:pPr>
            <w:r>
              <w:rPr>
                <w:rFonts w:ascii="Arial" w:cs="Arial" w:eastAsia="Arial" w:hAnsi="Arial"/>
                <w:sz w:val="16"/>
                <w:szCs w:val="16"/>
                <w:color w:val="auto"/>
              </w:rPr>
              <w:t>Other comprehensive income (loss) attributable to CLPS Incorporation’s shareholders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2,592,748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(549,015)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(411,973)</w:t>
            </w:r>
          </w:p>
        </w:tc>
      </w:tr>
      <w:tr>
        <w:trPr>
          <w:trHeight w:val="20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Comprehensive income (loss) attributable to CLPS Incorporation shareholders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9,409,320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2,389,224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(3,681,749)</w:t>
            </w:r>
          </w:p>
        </w:tc>
      </w:tr>
      <w:tr>
        <w:trPr>
          <w:trHeight w:val="202"/>
        </w:trPr>
        <w:tc>
          <w:tcPr>
            <w:tcW w:w="732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305,118</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118,211</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(180,188)</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9,714,438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2,507,435</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(3,861,937)</w:t>
            </w:r>
          </w:p>
        </w:tc>
      </w:tr>
      <w:tr>
        <w:trPr>
          <w:trHeight w:val="203"/>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(loss) per common share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0.39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0.20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(0.24)</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Weighted average number of share outstanding – basic</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17,279,443</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14,689,224</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13,843,764</w:t>
            </w:r>
          </w:p>
        </w:tc>
      </w:tr>
      <w:tr>
        <w:trPr>
          <w:trHeight w:val="20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(loss) per common share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0.39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0.20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(0.24)</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Weighted average number of share outstanding – diluted</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17,569,440</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14,692,299</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13,843,764</w:t>
            </w:r>
          </w:p>
        </w:tc>
      </w:tr>
      <w:tr>
        <w:trPr>
          <w:trHeight w:val="202"/>
        </w:trPr>
        <w:tc>
          <w:tcPr>
            <w:tcW w:w="7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income before income tax and share of income (loss) of equity investees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13,449,156</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7,711,539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3,915,444</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Non-GAAP net income</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12,147,911</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7,083,458</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3,583,500</w:t>
            </w:r>
          </w:p>
        </w:tc>
      </w:tr>
      <w:tr>
        <w:trPr>
          <w:trHeight w:val="20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net income attributable to CLPS Incorporation’s shareholders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11,945,268</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6,942,319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3,746,313</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Non-GAAP basic earnings per common share</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0.69</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0.47</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0.27</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 outstanding – basic</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17,279,443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14,689,224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13,843,764</w:t>
            </w:r>
          </w:p>
        </w:tc>
      </w:tr>
      <w:tr>
        <w:trPr>
          <w:trHeight w:val="203"/>
        </w:trPr>
        <w:tc>
          <w:tcPr>
            <w:tcW w:w="7320" w:type="dxa"/>
            <w:vAlign w:val="bottom"/>
          </w:tcPr>
          <w:p>
            <w:pPr>
              <w:ind w:left="180"/>
              <w:spacing w:after="0"/>
              <w:rPr>
                <w:sz w:val="20"/>
                <w:szCs w:val="20"/>
                <w:color w:val="auto"/>
              </w:rPr>
            </w:pPr>
            <w:r>
              <w:rPr>
                <w:rFonts w:ascii="Arial" w:cs="Arial" w:eastAsia="Arial" w:hAnsi="Arial"/>
                <w:sz w:val="16"/>
                <w:szCs w:val="16"/>
                <w:color w:val="auto"/>
              </w:rPr>
              <w:t>Non-GAAP diluted earnings per common share</w:t>
            </w:r>
          </w:p>
        </w:tc>
        <w:tc>
          <w:tcPr>
            <w:tcW w:w="20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0.68</w:t>
            </w:r>
          </w:p>
        </w:tc>
        <w:tc>
          <w:tcPr>
            <w:tcW w:w="200" w:type="dxa"/>
            <w:vAlign w:val="bottom"/>
          </w:tcPr>
          <w:p>
            <w:pPr>
              <w:spacing w:after="0"/>
              <w:rPr>
                <w:sz w:val="17"/>
                <w:szCs w:val="17"/>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0.47</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0.27</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 outstanding – diluted</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17,569,440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14,692,299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13,969,436</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97"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The following table presents our consolidated balance sheet data as of June 30, 2021 and 2020,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24,739,382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12,652,120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4,158,535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636,934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44,138,997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25,753,856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2,530,458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1,280,967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546,128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169,185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76,113,500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40,508,842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600,791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452,472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1,050,499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2,444,950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2,118,700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1,014,784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896,145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244,387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607,773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82,728,442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45,352,358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Bank loans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7,536,839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2,161,239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559,450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268,661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245,408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220,382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1,715,009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326,912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12,466,921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11,522,268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Amounts due to related party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183,148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23,033,687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16,354,342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Bank loans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163,163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1,799,383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194,939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24,997,747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16,734,998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100,000,000 shares authorized; 20,293,552 shares issued and outstanding as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2021; 15,930,330 shares issued and outstanding as of June 30, 2020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48,516,695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28,586,048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4,214,075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2,803,811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Retained earnings (Accumulated deficits)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2,726,165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(2,680,143)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1,230,083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(1,362,665)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56,689,047</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27,348,644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1,041,648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1,268,716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57,730,695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28,617,360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82,728,442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45,352,358</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 w:name="page10"/>
    <w:bookmarkEnd w:id="9"/>
    <w:p>
      <w:pPr>
        <w:ind w:firstLine="648"/>
        <w:spacing w:after="0" w:line="277"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September 30, 2021, the buying rate announced by the Federal Reserve Statistical Release was RMB 6.4434 to $1.00.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Spot Exchange Rate</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410"/>
              <w:spacing w:after="0" w:line="198" w:lineRule="exact"/>
              <w:rPr>
                <w:sz w:val="20"/>
                <w:szCs w:val="20"/>
                <w:color w:val="auto"/>
              </w:rPr>
            </w:pPr>
            <w:r>
              <w:rPr>
                <w:rFonts w:ascii="Arial" w:cs="Arial" w:eastAsia="Arial" w:hAnsi="Arial"/>
                <w:sz w:val="18"/>
                <w:szCs w:val="18"/>
                <w:b w:val="1"/>
                <w:bCs w:val="1"/>
                <w:color w:val="auto"/>
              </w:rPr>
              <w:t>Period</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Ended</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Average (1)</w:t>
            </w: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6.8755</w:t>
            </w:r>
          </w:p>
        </w:tc>
        <w:tc>
          <w:tcPr>
            <w:tcW w:w="14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6.6090</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6.2649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6.9618</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6.9081</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6.6822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7.1786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6.5250</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6.9043</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6.5208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6.4282</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6.4672</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6.4282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6.4822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February</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6.4730</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6.4601</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6.4344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6.4869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6.5518</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6.5109</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6.4648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April</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6.4749</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6.5186</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6.4710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6.5649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May</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6.3674</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6.4321</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6.3674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6.4749</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June</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6.4566</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6.4250</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6.3796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6.4811</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6.4609</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6.4763</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6.4562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August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6.4604</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6.4768</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6.4604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6.5012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6.4434</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6.4563</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6.4320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5" w:lineRule="exact"/>
        <w:rPr>
          <w:sz w:val="20"/>
          <w:szCs w:val="20"/>
          <w:color w:val="auto"/>
        </w:rPr>
      </w:pPr>
    </w:p>
    <w:p>
      <w:pPr>
        <w:ind w:left="660" w:right="1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significantly grown and expanded our business recently. Our revenues grew from $64.9 million in fiscal 2019 to $89.4 million in fiscal 2020 and to $126.1 million in fiscal 2021. We maintain nineteen delivery and/or R&amp;D centers, of which eleven are located in Mainland China (Shanghai, Beijing, Dalian, Tianjin, Baoding, Xi’an, Chengdu, Guangzhou, Shenzhen, Hangzhou, and Hainan) and eight are located globally (Hong Kong SAR, the United States of America, the Philippines, Japan, Singapore, Malaysia, Australia, and India), to serve different customers in various geographic locations. The number of our total employees grew from 2,085 in fiscal 2019 to 2,746 in fiscal 2020. As of June 30, 2021 we had 3,352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6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IT talent and management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adhering to and further improving our high quality and process execution standards and maintaining high levels of client satisfaction.</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annual voluntarily attrition rates were 16% and 16.6% in fiscal 2019 and fiscal 2020, respectively; in fiscal 2021, this rate was 15%.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2021, 2020 and 2019, Citibank and its affiliates accounted for 19.1%, 21.5% and 25.7% of the Company’s total revenues, respectively. For fiscal 2021 and 2020, substantially all the service provided by the Company to Citibank was IT consulting services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depends on our ability to successfully obtain payment from our clients of the amounts they owe us for work performed. As of June 30, 2021 and 2020, our accounts receivable balance, net of allowance, amounted to approximately $44.1 million and $25.8 million, respectively. As of the years ended June 30, 2021 and 2020, Citibank accounted for 23.1% and 30.1% of the Company’s total accounts receivable balance.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4" w:lineRule="exact"/>
        <w:rPr>
          <w:sz w:val="20"/>
          <w:szCs w:val="20"/>
          <w:color w:val="auto"/>
        </w:rPr>
      </w:pPr>
    </w:p>
    <w:p>
      <w:pPr>
        <w:ind w:left="5580" w:right="4580" w:hanging="4924"/>
        <w:spacing w:after="0" w:line="778" w:lineRule="auto"/>
        <w:tabs>
          <w:tab w:leader="none" w:pos="9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95" w:lineRule="exact"/>
        <w:rPr>
          <w:sz w:val="20"/>
          <w:szCs w:val="20"/>
          <w:color w:val="auto"/>
        </w:rPr>
      </w:pPr>
    </w:p>
    <w:p>
      <w:pPr>
        <w:ind w:left="5580" w:right="3520" w:hanging="4924"/>
        <w:spacing w:after="0" w:line="778" w:lineRule="auto"/>
        <w:tabs>
          <w:tab w:leader="none" w:pos="9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implementing our strategy and modifying it from time to time to respond effectively to competition and changes in client preferences;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potentially adverse tax consequences, such as scrutiny of transfer pricing arrangements by authorities in the countries in which we operate;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jc w:val="both"/>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9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losses resulting from business interruptions resulting from occurrence of natural disasters, health epidemics and other outbreaks or events.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negatively impacted by the COVID-19 outbreak.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2019, the 2019 novel coronavirus (COVID-19) surfaced in Wuhan, China. The World Health Organization declared a global emergency on January 30, 2020 with respect to the outbreak then characterized it as a pandemic on March 11, 2020. The outbreak has spread throughout Europe and the Middle East, and there have been many cases of COVID-19 in Canada and the United States, causing companies and various international jurisdictions to impose restrictions, such as quarantines, closures, cancellations and travel restrictions. While these effects are expected to be temporary, the duration of the business disruptions internationally and related financial impact cannot be reasonably estimated at this time. Similarly, we cannot estimate whether or to what extent this outbreak and potential financial impact may extend to countries outside of those currently impacted. At this point, the extent to which the coronavirus may impact our results is uncertain; however, it is possible that our consolidated results in 2021 may be negatively impacted by this event. The impacts of the outbreak are unknown and rapidly evolving.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Australian dollar, Indian rupee, Malaysian ringgit and Japanese yen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the course of auditing our consolidated financial statements as of June 30, 2019 and for the year ended June 30, 2019, we and our independent registered public accounting firm identified one material weakness in our internal control over financial reporting as well as other control deficiencies. The material weakness identified is the Company’s lack of sufficient financial accounting and reporting personnel with requisite knowledge and experience in the application of the United States generally accepted accounting principles (“U.S. GAAP”) and Securities and Exchange Commission (“SEC”) rules and lack of sufficient controls and procedures that are commensurate with U.S. GAAP and SEC reporting requirements.</w:t>
      </w:r>
    </w:p>
    <w:p>
      <w:pPr>
        <w:spacing w:after="0" w:line="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implemented a number of measures to improve our internal control over financial reporting to address the material weakness that have been identified. For details about remediation, refer to “Item 15. Controls and Procedures.” As of June 30, 2021, based on an assessment performed by our management on the performance of the remediation measures, we determined that the material weakness previously identified in our internal control over financial reporting had been remediated.</w:t>
      </w:r>
    </w:p>
    <w:p>
      <w:pPr>
        <w:spacing w:after="0" w:line="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spacing w:after="0" w:line="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Our management concluded that our internal control over financial reporting is effective as of June 30, 2021. In addition, once we cease to be an “emerging growth company” as such term is defined in the JOBS Act, our independent registered public accounting firm must attest to and report on the effectiveness of our internal control over financial reporting.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8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Company Law of P.R. China (2018 Revision), Foreign Investment Law of the People’s Republic of China (2020) and Implementing Regulations of the Foreign Investment Law of the People’s Republic of China (2020),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1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According to the Catalogue of Industries for Encouraging Foreign Investment (2020)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Cyber Security Law as well as any impact it may have on our business operations.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1, 2015, the Standing Committee of the National People’s Congress issued the National Security Law, which came into effect on the same day. The National Security Law provides that the state shall safeguard its sovereignty, security and cybersecurity development interests, and that the government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July 30, 2021, the the State Council of the People’s Republic of China issued the Regulations on Security Protection of Critical Information Infrastructures, which came into effect on September 1, 2021. The Regulations on Security Protection of Critical Information Infrastructures provides that “critical information infrastructure” shall be identified by the “protection work departments” (the competent departments and supervision and administration departments of the important industries and fields, such as public communication and information service, energy, transportation, water resources, finance, public services, e-government affairs, science, technology and industry for national defense as well as other important network facilities and information system, etc. of which the destruction, loss of function and data divulgence may seriously endanger national security, people’s livelihood and public interests). A “protection work department” shall, in light of the actualities of the industry or field concerned, formulate the rules for identification of “critical information infrastructure” and submit the same to the public security department of the State Council for record-filing, and shall take the following factors into consideration in the rule formulating work: 1) Degree of importance of the network facilities and information system to the critical and core business of the industry or field concerned; 2) Extent of harm likely to be caused once the network facilities and information system, etc. are destroyed, lose functions or divulge data; and; 3) Correlation effect on other industries and fields. However, no official guidelines as to the scope of “critical information infrastructure” or identification rules of the “critical information infrastructure” of our industry or field have been formally issued.</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believe that we are an operator of “critical information infrastructure” as defined in the Cyber Security Law and the Regulations on Security Protection of Critical Information Infrastructures. However, there is no assurance that we may not be considered an operator of “critical information infrastructure” in the future as the definition is not precise, and there are substantial uncertainties as to the ultimate interpretation and implementation of the Cyber Security Law and the Regulations on Security Protection of Critical Information Infrastructures. If we are identified as an operator of “critical information infrastructure” accordingly, it could cause us to incur substantial costs or require us to change our business practices in a manner materially adverse to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As a result, recognition and enforcement in China of these judgments in relation to any matter, including U.S. securities laws and the laws of the Cayman Islands, may be difficult or impossible.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uncertainty regarding the PRC tax reporting obligations and consequences for certain indirect transfers of the stock of our operating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April 23, 2019,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3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both"/>
        <w:ind w:firstLine="648"/>
        <w:spacing w:after="0" w:line="287" w:lineRule="auto"/>
        <w:rPr>
          <w:sz w:val="20"/>
          <w:szCs w:val="20"/>
          <w:color w:val="auto"/>
        </w:rPr>
      </w:pPr>
      <w:r>
        <w:rPr>
          <w:rFonts w:ascii="Arial" w:cs="Arial" w:eastAsia="Arial" w:hAnsi="Arial"/>
          <w:sz w:val="16"/>
          <w:szCs w:val="16"/>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is prepared by an auditor who is not inspected by the Public Company Accounting Oversight Board, and as such, you are deprived of the benefits of such inspection.</w:t>
      </w:r>
    </w:p>
    <w:p>
      <w:pPr>
        <w:spacing w:after="0" w:line="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independent registered public accounting firm that issues the audit report included in this annual report, as auditors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restricted by China’s own law,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NYSE of issuers included on the SEC’s list for three consecutive years. Enactment of this legislation or other efforts to increase U.S. regulatory access to audit information could cause investor uncertainty for affected issuers, including us, and the market price of our shares could be adversely affected. It is unclear if this proposed legislation would be enacted. Furthermore, there has been recent media reports on deliberations within the U.S. government regarding potentially limiting or restricting China-based companies from accessing U.S. capital markets. If any such deliberations should materialize, the resulting legislation may have material and adverse impact on the stock performance of China-based issuers listed in the United States including us.</w:t>
      </w:r>
    </w:p>
    <w:p>
      <w:pPr>
        <w:spacing w:after="0" w:line="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and practices of accounting firms in China with respect to their audit work of U.S. reporting companies. Inspections of other accounting firms that the PCAOB has conducted have identified deficiencies in those firms’ audit procedures and quality control procedures, which may be addressed as part of the inspection process to improve future audit quality. The lack of PCAOB inspections of audit work undertaken in China prevents the PCAOB from regularly evaluating our auditor’s audits and its quality control procedures. As a result, investors of our ordinary shares do not derive the benefits of PCAOB inspections, and may lose confidence in our reported financial information and procedures and the quality of our financial statements.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we could be unable to timely file future financial statements in compliance with the requirements of the Exchange Act.</w:t>
      </w:r>
    </w:p>
    <w:p>
      <w:pPr>
        <w:spacing w:after="0" w:line="1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Ernst &amp; Young Hua Ming LLP, our independent registered public accounting firm, is required under U.S. law to undergo regular inspections by the PCAOB. However, without approval from the Chinese government authorities, the PCAOB is currently unable to conduct inspections of the audit work and practices of PCAOB-registered audit firms within the PRC on a basis comparable to other non-U.S. jurisdictions. Since we have substantial operations in the PRC, our independent registered public accounting firm and its audit work are currently not fully inspected by the PCAOB.</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SEC previously instituted proceedings against mainland Chinese affiliates of the “big four” accounting firms, including the affiliate of our auditor, for failing to produce audit work papers under Section 106 of the Sarbanes-Oxley Act because of restrictions under PRC law. Each of the “big four” accounting firms in mainland China agreed to a censure and to pay a fine to the SEC to settle the dispute and stay the proceedings for four years, until the proceedings were deemed dismissed with prejudice on February 6, 2019. It remains unclear whether the SEC will commence a new administrative proceeding against the four mainland China-based accounting firms. Any such new proceedings or similar action against our audit firm for failure to provide access to audit work papers could result in the imposition of penalties, such as suspension of our auditor’s ability to practice before the SEC. The audit committee is aware of the policy restriction and regularly communicated with our independent auditor to ensure compliance. If additional remedial measures are imposed on the China-based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 If our independent registered public accounting firm, or its affiliate, was denied, even temporarily, the ability to practice before the SEC, and it was determined that our financial statements or audit reports were not in compliance with the requirements of the U.S. Exchange Act, we could be at risk of delisting or become subject to other penalties that would adversely affect our ability to remain listed on the Nasdaq.</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both"/>
        <w:ind w:firstLine="648"/>
        <w:spacing w:after="0" w:line="268" w:lineRule="auto"/>
        <w:rPr>
          <w:sz w:val="20"/>
          <w:szCs w:val="20"/>
          <w:color w:val="auto"/>
        </w:rPr>
      </w:pPr>
      <w:r>
        <w:rPr>
          <w:rFonts w:ascii="Arial" w:cs="Arial" w:eastAsia="Arial" w:hAnsi="Arial"/>
          <w:sz w:val="17"/>
          <w:szCs w:val="17"/>
          <w:color w:val="auto"/>
        </w:rPr>
        <w:t>In recent years, U.S. regulators have continued to express their concerns about challenges in their oversight of financial statement audits of U.S.-listed companies with significant operations in China. More recently, as part of increased regulatory focus in the U.S. on access to audit information, on December 18, 2020, the President of the United States signed into law the Holding Foreign Companies Accountable Act (the “HFCAA”), which includes requirements for the SEC to identify issuers whose audit reports are prepared by auditors that the PCAOB is unable to inspect or investigate completely because of a restriction imposed by a non-U.S. authority in the auditor’s local jurisdiction. On March 24, 2021, the SEC issued rule amendments to implement submission and disclosure requirements mandated by HFCAA, one of which requires the SEC to identify issuers whose audit reports are prepared by an accounting firm that is located in a foreign jurisdiction and the PCAOB has determined it is unable to inspect due to legal restrictions of that foreign jurisdiction. PCAOB publishes its own list of issuers whose audit reports it cannot duly inspect. As of January 1, 2021, the PCAOB list consists of 197 issuers located in Mainland China, and our Company is one of them. If our Company becomes an SEC-identified issuer when the SEC identified list becomes available, our securities may be prohibited from trading on the Nasdaq or other U.S. stock exchanges if our auditor is not inspected by the PCAOB for three consecutive years, and this ultimately could result in our ordinary shares being delisted. Delisting of our ordinary shares would force our U.S.-based shareholders to sell their shares. The market prices of our ordinary shares could be adversely affected as a result of anticipated negative impacts of the HFCAA upon, as well as negative investor sentiment towards, China-based companies listed in the United States, regardless of whether the HFCAA is enacted and regardless of our actual operating performance.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September 22, 2021 the PCAOB adopted a final rule implementing the HFCAA, which awaits the SEC approval before going into effect. In the final rule the PCAOB is currently unable to inspect or investigate accounting firm due to a position of the local authority in China, which is the office location of our independent auditors. Any resulting actions, proceedings or new rules could adversely affect the listing and compliance status of China-based issuers listed in the United States, such as our company, and may have a material and adverse impact on the trading prices of the securities of such issuers, including our ordinary shares, and substantially reduce or effectively terminate the trading of our ordinary shares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meet continued listing standards on the NASDAQ Global Market.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70" w:lineRule="exact"/>
        <w:rPr>
          <w:sz w:val="20"/>
          <w:szCs w:val="20"/>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jc w:val="both"/>
        <w:ind w:firstLine="648"/>
        <w:spacing w:after="0" w:line="293"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determination of our status as a foreign private issuer is made annually on the last business day of our most recently completed second fiscal quarter and, accordingly, the next determination will be made with respect to us on or after December 31, 2020.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“emerging growth company” under the JOBS Act, we are permitted to, and intend to, rely on exemptions from certain disclosure requirements. We are an emerging growth company until the earliest of:</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$1.07 billion or more;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the IPO.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 </w:t>
      </w:r>
      <w:r>
        <w:rPr>
          <w:rFonts w:ascii="Arial" w:cs="Arial" w:eastAsia="Arial" w:hAnsi="Arial"/>
          <w:sz w:val="17"/>
          <w:szCs w:val="17"/>
          <w:b w:val="1"/>
          <w:bCs w:val="1"/>
          <w:i w:val="1"/>
          <w:iCs w:val="1"/>
          <w:color w:val="auto"/>
        </w:rPr>
        <w:t>increased costs</w:t>
      </w:r>
      <w:r>
        <w:rPr>
          <w:rFonts w:ascii="Arial" w:cs="Arial" w:eastAsia="Arial" w:hAnsi="Arial"/>
          <w:sz w:val="17"/>
          <w:szCs w:val="17"/>
          <w:color w:val="auto"/>
        </w:rPr>
        <w:t xml:space="preserve"> vice upon Chinese citizens in China.</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geopolitical conditions, U.S.-China trade relations and other factors beyond the Company’s control may adversely impact our business and operating results.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65" w:lineRule="exact"/>
        <w:rPr>
          <w:sz w:val="20"/>
          <w:szCs w:val="20"/>
          <w:color w:val="auto"/>
        </w:rPr>
      </w:pPr>
    </w:p>
    <w:p>
      <w:pPr>
        <w:jc w:val="both"/>
        <w:ind w:left="9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or similar factors could result in reduced demand for our services which, in turn, could have material adverse effects on our business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Southeast Asia, and Hong Kong and their PRC-based IT centers.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nineteen delivery and/or R&amp;D centers, of which eleven are located in Mainland China (Shanghai, Beijing, Dalian, Tianjin, Baoding, Xi’an, Chengdu, Guangzhou, Shenzhen, Hangzhou, and Hainan) and eight are located globally (Hong Kong SAR, the United States of America, the Philippines,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History and Background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 2005.</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RMB500,000 (approximately US$61,835) for 50% shares of CLPS Shanghai. After this share transfer, Yan Pan and Xiaochun Deng respectively held 50% shares of CLPS Shanghai.</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On October 30, 2013, Xiao Feng Yang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Yan Pan to purchase all of Yan Pan’s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Xiao Feng Yang paid RMB2,500,000 (approximately US$399,993) for 50% shares of CLPS Shanghai. After this share transfer, Xiao Feng Yang and Raymond Ming Hui Lin respectively held 50% shares of CLPS Shanghai.</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23, 2015, Raymond Ming Hui Lin paid RMB6,163,560 (approximately US$994,523)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27, 2015, Raymond Ming Hui Lin paid RMB42,377 (approximately US$6,615)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1000" w:type="dxa"/>
            <w:vAlign w:val="bottom"/>
          </w:tcPr>
          <w:p>
            <w:pPr>
              <w:spacing w:after="0"/>
              <w:rPr>
                <w:sz w:val="20"/>
                <w:szCs w:val="20"/>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b w:val="1"/>
                <w:bCs w:val="1"/>
                <w:color w:val="auto"/>
              </w:rPr>
              <w:t>PLACE OF REGISTRATION</w:t>
            </w:r>
          </w:p>
        </w:tc>
        <w:tc>
          <w:tcPr>
            <w:tcW w:w="122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3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000" w:type="dxa"/>
            <w:vAlign w:val="bottom"/>
          </w:tcPr>
          <w:p>
            <w:pPr>
              <w:spacing w:after="0"/>
              <w:rPr>
                <w:sz w:val="20"/>
                <w:szCs w:val="20"/>
                <w:color w:val="auto"/>
              </w:rPr>
            </w:pPr>
            <w:r>
              <w:rPr>
                <w:rFonts w:ascii="Arial" w:cs="Arial" w:eastAsia="Arial" w:hAnsi="Arial"/>
                <w:sz w:val="18"/>
                <w:szCs w:val="18"/>
                <w:color w:val="auto"/>
              </w:rPr>
              <w:t>Hong Kong</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Shanghai Qinzhi Investment Partnership (LLP)</w:t>
            </w:r>
          </w:p>
        </w:tc>
        <w:tc>
          <w:tcPr>
            <w:tcW w:w="1000" w:type="dxa"/>
            <w:vAlign w:val="bottom"/>
          </w:tcPr>
          <w:p>
            <w:pPr>
              <w:spacing w:after="0"/>
              <w:rPr>
                <w:sz w:val="20"/>
                <w:szCs w:val="20"/>
                <w:color w:val="auto"/>
              </w:rPr>
            </w:pPr>
            <w:r>
              <w:rPr>
                <w:rFonts w:ascii="Arial" w:cs="Arial" w:eastAsia="Arial" w:hAnsi="Arial"/>
                <w:sz w:val="18"/>
                <w:szCs w:val="18"/>
                <w:color w:val="auto"/>
              </w:rPr>
              <w:t>PRC</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1,270,000</w:t>
            </w:r>
          </w:p>
        </w:tc>
        <w:tc>
          <w:tcPr>
            <w:tcW w:w="80" w:type="dxa"/>
            <w:vAlign w:val="bottom"/>
          </w:tcPr>
          <w:p>
            <w:pPr>
              <w:spacing w:after="0"/>
              <w:rPr>
                <w:sz w:val="18"/>
                <w:szCs w:val="18"/>
                <w:color w:val="auto"/>
              </w:rPr>
            </w:pPr>
          </w:p>
        </w:tc>
      </w:tr>
      <w:tr>
        <w:trPr>
          <w:trHeight w:val="23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Shanghai Qinshang Software Technology Counsel Partnership (LLP)</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900,000</w:t>
            </w:r>
          </w:p>
        </w:tc>
        <w:tc>
          <w:tcPr>
            <w:tcW w:w="80" w:type="dxa"/>
            <w:vAlign w:val="bottom"/>
            <w:shd w:val="clear" w:color="auto" w:fill="CCEEFF"/>
          </w:tcPr>
          <w:p>
            <w:pPr>
              <w:spacing w:after="0"/>
              <w:rPr>
                <w:sz w:val="20"/>
                <w:szCs w:val="20"/>
                <w:color w:val="auto"/>
              </w:rPr>
            </w:pPr>
          </w:p>
        </w:tc>
      </w:tr>
      <w:tr>
        <w:trPr>
          <w:trHeight w:val="210"/>
        </w:trPr>
        <w:tc>
          <w:tcPr>
            <w:tcW w:w="53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33,870,000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Agreements</w:t>
      </w:r>
      <w:r>
        <w:rPr>
          <w:rFonts w:ascii="Arial" w:cs="Arial" w:eastAsia="Arial" w:hAnsi="Arial"/>
          <w:sz w:val="18"/>
          <w:szCs w:val="18"/>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jc w:val="both"/>
        <w:ind w:firstLine="648"/>
        <w:spacing w:after="0" w:line="263" w:lineRule="auto"/>
        <w:rPr>
          <w:sz w:val="20"/>
          <w:szCs w:val="20"/>
          <w:color w:val="auto"/>
        </w:rPr>
      </w:pPr>
      <w:r>
        <w:rPr>
          <w:rFonts w:ascii="Arial" w:cs="Arial" w:eastAsia="Arial" w:hAnsi="Arial"/>
          <w:sz w:val="18"/>
          <w:szCs w:val="18"/>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On October 31, 2017, CLPS Incorporation entered into a </w:t>
      </w:r>
      <w:r>
        <w:rPr>
          <w:rFonts w:ascii="Arial" w:cs="Arial" w:eastAsia="Arial" w:hAnsi="Arial"/>
          <w:sz w:val="16"/>
          <w:szCs w:val="16"/>
          <w:i w:val="1"/>
          <w:iCs w:val="1"/>
          <w:color w:val="auto"/>
        </w:rPr>
        <w:t>SOLD NOTE</w:t>
      </w:r>
      <w:r>
        <w:rPr>
          <w:rFonts w:ascii="Arial" w:cs="Arial" w:eastAsia="Arial" w:hAnsi="Arial"/>
          <w:sz w:val="16"/>
          <w:szCs w:val="16"/>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6"/>
          <w:szCs w:val="16"/>
          <w:i w:val="1"/>
          <w:iCs w:val="1"/>
          <w:color w:val="auto"/>
        </w:rPr>
        <w:t>Circular of the State Administration of Foreign Exchange on Issues concerning Foreign Exchange Administration 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Overseas Investment and Financing and Round-trip Investment by Domestic Residents via Special Purpose Vehicles </w:t>
      </w:r>
      <w:r>
        <w:rPr>
          <w:rFonts w:ascii="Arial" w:cs="Arial" w:eastAsia="Arial" w:hAnsi="Arial"/>
          <w:sz w:val="16"/>
          <w:szCs w:val="16"/>
          <w:color w:val="auto"/>
        </w:rPr>
        <w:t>(SAFE 2014 No. 37). After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registrations, CLPS QC (WOFE) entered into 46 </w:t>
      </w:r>
      <w:r>
        <w:rPr>
          <w:rFonts w:ascii="Arial" w:cs="Arial" w:eastAsia="Arial" w:hAnsi="Arial"/>
          <w:sz w:val="16"/>
          <w:szCs w:val="16"/>
          <w:i w:val="1"/>
          <w:iCs w:val="1"/>
          <w:color w:val="auto"/>
        </w:rPr>
        <w:t>Share Purchase Agreements</w:t>
      </w:r>
      <w:r>
        <w:rPr>
          <w:rFonts w:ascii="Arial" w:cs="Arial" w:eastAsia="Arial" w:hAnsi="Arial"/>
          <w:sz w:val="16"/>
          <w:szCs w:val="16"/>
          <w:color w:val="auto"/>
        </w:rPr>
        <w:t xml:space="preserve"> with all 46 Chinese individual shareholders of which the 46 Chinese individual shareholders in total held 18,731,261 shares of CLPS Shanghai. The aforementioned share transfer was part of a reorganization of the group.</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2, 2017, the transfer between the 46 Chinese individual shareholders and CLPS QC (WOFE) has completed the record-filing of changes of Foreign-invested Company and got the record receipt.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September 15, 2020, Shanghai Qincheng Information Technology Co., Ltd. and Qiner Co., Limited subscribed new shares issued by CLPS Shanghai. After the above-mentioned subscription, the shareholding structure of CLPS Shanghai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1000" w:type="dxa"/>
            <w:vAlign w:val="bottom"/>
          </w:tcPr>
          <w:p>
            <w:pPr>
              <w:spacing w:after="0"/>
              <w:rPr>
                <w:sz w:val="20"/>
                <w:szCs w:val="20"/>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b w:val="1"/>
                <w:bCs w:val="1"/>
                <w:color w:val="auto"/>
              </w:rPr>
              <w:t>PLACE OF REGISTRATION</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3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27,651,699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Qiner Co., Limited</w:t>
            </w:r>
          </w:p>
        </w:tc>
        <w:tc>
          <w:tcPr>
            <w:tcW w:w="1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Hong Kong</w:t>
            </w:r>
          </w:p>
        </w:tc>
        <w:tc>
          <w:tcPr>
            <w:tcW w:w="3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22,348,301</w:t>
            </w:r>
          </w:p>
        </w:tc>
        <w:tc>
          <w:tcPr>
            <w:tcW w:w="100" w:type="dxa"/>
            <w:vAlign w:val="bottom"/>
            <w:tcBorders>
              <w:bottom w:val="single" w:sz="8" w:color="CCEEFF"/>
            </w:tcBorders>
          </w:tcPr>
          <w:p>
            <w:pPr>
              <w:spacing w:after="0"/>
              <w:rPr>
                <w:sz w:val="20"/>
                <w:szCs w:val="20"/>
                <w:color w:val="auto"/>
              </w:rPr>
            </w:pPr>
          </w:p>
        </w:tc>
      </w:tr>
      <w:tr>
        <w:trPr>
          <w:trHeight w:val="25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Annual Report, CLPS Shanghai has three wholly-owned subsidiaries: CLPS RC, CLPS Huanyu, and CLPS Hangzhou Co., Ltd., Besides the three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49% of equity interest in CLPS Beijing,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JAJI China </w:t>
      </w:r>
      <w:r>
        <w:rPr>
          <w:rFonts w:ascii="Arial" w:cs="Arial" w:eastAsia="Arial" w:hAnsi="Arial"/>
          <w:sz w:val="18"/>
          <w:szCs w:val="18"/>
          <w:color w:val="auto"/>
        </w:rPr>
        <w:t>— CLPS Shanghai holds a 60% of equity interest in JAJI China,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Dalian </w:t>
      </w:r>
      <w:r>
        <w:rPr>
          <w:rFonts w:ascii="Arial" w:cs="Arial" w:eastAsia="Arial" w:hAnsi="Arial"/>
          <w:sz w:val="18"/>
          <w:szCs w:val="18"/>
          <w:color w:val="auto"/>
        </w:rPr>
        <w:t>— CLPS Shanghai holds 49% of equity interest in CLPS Dalian, a PRC limited liability company.</w:t>
      </w:r>
    </w:p>
    <w:p>
      <w:pPr>
        <w:spacing w:after="0" w:line="225" w:lineRule="exact"/>
        <w:rPr>
          <w:rFonts w:ascii="Arial" w:cs="Arial" w:eastAsia="Arial" w:hAnsi="Arial"/>
          <w:sz w:val="18"/>
          <w:szCs w:val="18"/>
          <w:b w:val="1"/>
          <w:bCs w:val="1"/>
          <w:color w:val="auto"/>
        </w:rPr>
      </w:pPr>
    </w:p>
    <w:p>
      <w:pPr>
        <w:ind w:left="980" w:right="20" w:hanging="324"/>
        <w:spacing w:after="0" w:line="282" w:lineRule="auto"/>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Guangdong Zhichuang </w:t>
      </w:r>
      <w:r>
        <w:rPr>
          <w:rFonts w:ascii="Arial" w:cs="Arial" w:eastAsia="Arial" w:hAnsi="Arial"/>
          <w:sz w:val="18"/>
          <w:szCs w:val="18"/>
          <w:color w:val="auto"/>
        </w:rPr>
        <w:t>— CLPS Shanghai holds 10% of equity interest in CLPS Guangdong Zhichuang, a PRC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1"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CLPS Shenzhen Robotics — </w:t>
      </w:r>
      <w:r>
        <w:rPr>
          <w:rFonts w:ascii="Arial" w:cs="Arial" w:eastAsia="Arial" w:hAnsi="Arial"/>
          <w:sz w:val="16"/>
          <w:szCs w:val="16"/>
          <w:color w:val="auto"/>
        </w:rPr>
        <w:t>CLPS Shanghai holds 10% of equity interest in CLPS Shenzhen Robotics, a PRC limited liability company.</w:t>
      </w:r>
    </w:p>
    <w:p>
      <w:pPr>
        <w:spacing w:after="0" w:line="248" w:lineRule="exact"/>
        <w:rPr>
          <w:rFonts w:ascii="Arial" w:cs="Arial" w:eastAsia="Arial" w:hAnsi="Arial"/>
          <w:sz w:val="16"/>
          <w:szCs w:val="16"/>
          <w:b w:val="1"/>
          <w:bCs w:val="1"/>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SSIT </w:t>
      </w:r>
      <w:r>
        <w:rPr>
          <w:rFonts w:ascii="Arial" w:cs="Arial" w:eastAsia="Arial" w:hAnsi="Arial"/>
          <w:sz w:val="18"/>
          <w:szCs w:val="18"/>
          <w:color w:val="auto"/>
        </w:rPr>
        <w:t>— CLPS Shanghai holds 35% of equity interest in SSIT, a PRC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UniDev </w:t>
      </w:r>
      <w:r>
        <w:rPr>
          <w:rFonts w:ascii="Arial" w:cs="Arial" w:eastAsia="Arial" w:hAnsi="Arial"/>
          <w:sz w:val="18"/>
          <w:szCs w:val="18"/>
          <w:color w:val="auto"/>
        </w:rPr>
        <w:t>— CLPS Shanghai holds 15% of equity interest in UniDev, a PRC limited liability company.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15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CLPS Dalian provides both consulting and solution services. CLPS Dalian services clients in China’s north east region, including Dalian.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CLPS RC provides consulting services. CLPS RC focuses on small and medium domestic financial institutions.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CLPS Beijing provides both consulting and solution services. CLPS Beijing services clients in China’s central east region, including Beijing and Tianjin.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CLPS-Ridik AU currently only provides consulting services. CLPS-Ridik AU services clients in Australia.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Infogain currently only provides consulting services. Infogain services clients in South East Asia region, including Singapore.</w:t>
      </w:r>
    </w:p>
    <w:p>
      <w:pPr>
        <w:spacing w:after="0" w:line="22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JAJI China is a joint venture with The Judge Group in the US. JAJI China continues to service The Judge Group’s clients in China. JAJI China focuses on expanding its client bases with collaboration efforts with The Judge Group. On April 2, 2021, as part of business strategy, the Company changed the English entity name of its majority-owned subsidiary, JAJI (Shanghai) Co., Ltd. and its wholly-owned subsidiary JAJI (Shanghai) Human Resource Co., Ltd., to JAJI (Shanghai) Co., Ltd. (“JAJI China”) and JAJI (Shanghai) Human Resource Co., Ltd. (“JAJI HR”), respectively.</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CLPS Hong Kong currently only provides consulting services. CLPS Hong Kong services clients in East Asia region, including Hong Kong.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Shenzhen currently only provides consulting services. CLPS Shenzhen services clients in Shenzhen.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Ridik Pte. currently only provides consulting services. Ridik Pte. services in South East Asia region, including Singapore.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Ridik Software Pte currently only provides consulting services. Ridik Software Pte services in South East Asia region, including Singapore.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Ridik Sdn. currently only provides consulting services. Ridik Sdn. services in South East Asia region, including Malaysia.</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Shanghai holds 100% of equity interest in Huanyu which was incorporated in September 2017 for the purposes of providing Internet technology services and products to clients. CLPS Shanghai, CLPS Dalian, CLPS RC, CLPS Beijing and JAJI China all contribute material amounts of the Company’s total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2021, we relocated our principal executive office to Unit 1102, 11th Floor, Millennium City III, 370 Kwun Tong Road, Kwun Tong, Kowloon, Hong Kong SAR from Unit 702, 7th Floor, Millennium City II, 378 Kwun Tong Road, Kwun Tong, Kowloon, Hong Kong SAR. Our telephone number is (852)3707-3600. Our website is as follows www.clpsglobal.com. The information on our website is not part of this Annual Report.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151765</wp:posOffset>
            </wp:positionV>
            <wp:extent cx="6429375" cy="4637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2937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754"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The Initial Public Offering</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83"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Southeast Asia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nineteen delivery and/or R&amp;D centers, of which eleven are located in Mainland China (Shanghai, Beijing, Dalian, Tianjin, Baoding, Xi’an, Chengdu, Guangzhou, Shenzhen, Hangzhou, and Hainan) and eight are located globally (Hong Kong SAR, the United States of America, the Philippines, Japan, Singapore, Malaysia, Australia, and India.)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According to the 2020 annual report of China Banking and Insurance Regulatory Commission (CBIRC), China’s banking financial institutions had total assets of RMB 312.7 trillion (USD 48.4 trillion) at the end of 2020, a year-on-year increase of RMB 30.2 trillion (USD 4.7 trillion), or 10.5%. Total liabilities equalled to RMB 286.2 trillion (USD 44.3 trillion), a year-on-year increase of RMB 28.0 trillion (USD 4.3 trillion), or 10.7%. The total assets of banking financial institutions were RMB 94.3 trillion (USD 14.6 trillion) in 2010. Over the past 10 years, total assets of China’s banking financial institutions grew at a compound annual growth rate of more than 10%.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Since 2018, the CBIRC has announced three rounds of 34 new measures to further open up China to the outside world, such as abolishing or relaxing restrictions on foreign ownership, relaxing access conditions for foreign institutions and businesses, expanding the business scope of foreign institutions, optimizing regulatory rules for foreign institutions and simplifying administrative licensing procedures. By the end of 2020, foreign banks had set up 41 foreign legal entities, 116 branches of foreign banks and 144 representative offices in China, with a total asset of RMB 3.78 trillion (USD 0.6 trillion).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According to the 2020 Economic Performance of the Software Industry report of Ministry of Industry and Information Technology (MIIT), China’s software and information technology service industry continued to recover, gradually overcame the impacts of the COVID-19 pandemic and showed a steady development trend. Both revenue and profits maintained rapid growth momentum, and the number of employees increased in a stable rate. Information technology services shifted to cloud-based, and software applications became more service-oriented and platform-based. The growth rate of the software industry in the western region grew rapidly, while the eastern region maintained a concentrated and leading development trend.</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China’s software and information technology services industry has developed and grown rapidly in recent years. The MIIT data showed that the industry’s revenue reached RMB 8.2 trillion (USD 1.3 trillion) in 2020, an increase of 13.3% compared to 2019, with the same growth rate. Industry profits grew steadily. In 2020, the industry achieved a total profit of RMB 1.1 trillion (USD 0.17 trillion), an increase of 7.8% over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-33020</wp:posOffset>
            </wp:positionV>
            <wp:extent cx="5349240" cy="290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Data Source: The Ministry of Industry and Information Technology, National Bureau of Statistics of China.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Software products —In 2020, the industry’s revenue from software products reached RMB 2.28 trillion (USD 0.35 trillion), an increase of 10.1% over the previous year, accounting for 27.9% of the industry’s revenue. Among them, the revenues from industrial software products are RMB 197.4 billion (USD 30.6 billion), an increase of 11.2%. playing an important role in supporting the independent and controllable development of the industrial sector.</w:t>
      </w:r>
    </w:p>
    <w:p>
      <w:pPr>
        <w:spacing w:after="0" w:line="186"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Information technology services —Stayed ahead and continued to evolve towards cloud computing. In 2020, the industry’s revenue from information technology services reached RMB 5.0 trillion (USD 0.77 trillion), an increase of 15.2% over the previous year. The growth rate was 1.9% higher than the industry’s average, accounting for 61.1% of the industry’s revenue. Among them, e-commerce platform technical services revenues reached RMB 0.9 trillion (USD 0.14 trillion), an increase of 10.5% over the previous year. The aggregate revenues from cloud services and big data services were RMB 411.6 billion (USD 63.7 billion), up by 11.1% year-on-year.</w:t>
      </w:r>
    </w:p>
    <w:p>
      <w:pPr>
        <w:spacing w:after="0" w:line="176" w:lineRule="exact"/>
        <w:rPr>
          <w:rFonts w:ascii="Arial" w:cs="Arial" w:eastAsia="Arial" w:hAnsi="Arial"/>
          <w:sz w:val="17"/>
          <w:szCs w:val="17"/>
          <w:i w:val="1"/>
          <w:iCs w:val="1"/>
          <w:color w:val="auto"/>
        </w:rPr>
      </w:pPr>
    </w:p>
    <w:p>
      <w:pPr>
        <w:jc w:val="both"/>
        <w:ind w:left="980" w:hanging="324"/>
        <w:spacing w:after="0" w:line="286" w:lineRule="auto"/>
        <w:tabs>
          <w:tab w:leader="none" w:pos="98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Embedded system software – </w:t>
      </w:r>
      <w:r>
        <w:rPr>
          <w:rFonts w:ascii="Arial" w:cs="Arial" w:eastAsia="Arial" w:hAnsi="Arial"/>
          <w:sz w:val="17"/>
          <w:szCs w:val="17"/>
          <w:color w:val="auto"/>
        </w:rPr>
        <w:t>In 2020, the revenue of embedded system software reached RMB 749.2 billion (USD 116 billion),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12% over the previous year, accounting for 9.2% of the industry’s revenue. Embedded system software has become a key driving technology for digital transformation of products and equipment and intelligent value-added in various fields.</w:t>
      </w:r>
    </w:p>
    <w:p>
      <w:pPr>
        <w:spacing w:after="0" w:line="165" w:lineRule="exact"/>
        <w:rPr>
          <w:rFonts w:ascii="Arial" w:cs="Arial" w:eastAsia="Arial" w:hAnsi="Arial"/>
          <w:sz w:val="17"/>
          <w:szCs w:val="17"/>
          <w:i w:val="1"/>
          <w:iCs w:val="1"/>
          <w:color w:val="auto"/>
        </w:rPr>
      </w:pPr>
    </w:p>
    <w:p>
      <w:pPr>
        <w:jc w:val="both"/>
        <w:ind w:left="980" w:hanging="324"/>
        <w:spacing w:after="0" w:line="273" w:lineRule="auto"/>
        <w:tabs>
          <w:tab w:leader="none" w:pos="98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Development on regional level </w:t>
      </w:r>
      <w:r>
        <w:rPr>
          <w:rFonts w:ascii="Arial" w:cs="Arial" w:eastAsia="Arial" w:hAnsi="Arial"/>
          <w:sz w:val="17"/>
          <w:szCs w:val="17"/>
          <w:color w:val="auto"/>
        </w:rPr>
        <w:t>— The eastern and western regions grew rapidly. In 2020, revenue from software business completed in</w:t>
      </w:r>
      <w:r>
        <w:rPr>
          <w:rFonts w:ascii="Arial" w:cs="Arial" w:eastAsia="Arial" w:hAnsi="Arial"/>
          <w:sz w:val="17"/>
          <w:szCs w:val="17"/>
          <w:i w:val="1"/>
          <w:iCs w:val="1"/>
          <w:color w:val="auto"/>
        </w:rPr>
        <w:t xml:space="preserve"> </w:t>
      </w:r>
      <w:r>
        <w:rPr>
          <w:rFonts w:ascii="Arial" w:cs="Arial" w:eastAsia="Arial" w:hAnsi="Arial"/>
          <w:sz w:val="17"/>
          <w:szCs w:val="17"/>
          <w:color w:val="auto"/>
        </w:rPr>
        <w:t>eastern regions reached RMB 6.5 trillion (USD 1 trillion), with a growth rate of 14.2% year-on-year, accounting for 80.0% of the national software industry. Revenue from software business completed in central and western regions was RMB 372.6 billion (USD 57.7 billion) and RMB 999.9 billion (USD 154.9 billion), with a growth rate of 3.9% and 14.6%, accounting for 5.0% and 12.0 % of the national software industry, respectively, from the previous year. Software business revenue in northeast China reached RMB 233.0 billion (USD 36.1 billion), accounting for 3.0% of the national software industry, an increase of 1.9% year-on-year.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jc w:val="both"/>
        <w:ind w:firstLine="648"/>
        <w:spacing w:after="0" w:line="263" w:lineRule="auto"/>
        <w:rPr>
          <w:sz w:val="20"/>
          <w:szCs w:val="20"/>
          <w:color w:val="auto"/>
        </w:rPr>
      </w:pPr>
      <w:r>
        <w:rPr>
          <w:rFonts w:ascii="Arial" w:cs="Arial" w:eastAsia="Arial" w:hAnsi="Arial"/>
          <w:sz w:val="18"/>
          <w:szCs w:val="18"/>
          <w:color w:val="auto"/>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 of China’s Banking IT Solution Industry from 2010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125730</wp:posOffset>
            </wp:positionV>
            <wp:extent cx="5349240" cy="2768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IDC data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IDC’s 2020 China Banking IT Solution Market Share report, the banking industry’s market demand for IT solutions will show a relatively stable development trend. In the first half of 2020, the bank’s IT solution procurement and project advancement were delayed due to the impact of the epidemic, but in the second half of the year, the demand for related orders showed a significant upward trend, and the digital transformation continued to advance.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the overall market size of China’s banking IT solution market reached RMB 50.24 billion (USD 7.78 billion), an increase of 18.0% over 2019. IDC forecasts that the market will grow at a CAGR of 14.64% from 2021 to 2025. IDC predicts that by 2025, the IT solution market for China’s banking industry will reach RMB 118.56 billion (USD 18.36 billion).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IDC research found that the overall banking IT solution market presents the following characteristics: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Distributed core upgrades and peripheral system upgrades are still key areas invested by major banks. The market scale of banks in China’s core business system will continue to grow steadily in the next five years, and will show a rapid growth trend in the next two years. The current main driving factor comes from the downward construction of the mainframe in the distributed transformation; at the same time, the credit operating system enters an update iteration. During the window period, the demand for the centralization and reconstruction of credit system has increased along with the architecture of distributed core system.</w:t>
      </w:r>
    </w:p>
    <w:p>
      <w:pPr>
        <w:spacing w:after="0" w:line="18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investment in data capacity building to achieve refined operation and management of various businesses. Big data, artificial intelligence, blockchain and other technologies will be used to empower marketing, customer acquisition and risk control capabilities, improve the level of data management and analysis and utilization, and accelerate the construction of various business capabilities such as retail transformation and transaction banking.</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an opportunity for banks to expand, ecological scene construction is valued. Especially under the impact of the pandemic, the demand for the construction of ecological scenes serving online channels has been improved, and banks are actively exploring more innovative service models to improve the level of open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Providing professional IT consulting and solutions for the banking industry is one of the traditional competitive advantages of CLPS. With more than 15 years of experience in helping leading global banks to implement banking systems, CLPS is committed to innovating and optimizing traditional banking system by utilizing cutting-edge fintech technology to enable institutions embrace banking.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CLPS has formed strategic partnerships with several global financial MNCs to provide banking IT services, help leading global banks to implement banking system and to enable them to test and enhance multiple functions such as loans, saving, deposit, general ledger, account management, anti-money-laundering, risk control and credit card system. Whether traditional or online banking, CLPS has a wide array of business modules at its disposal.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CLPS has a deep understanding of the market supply and demand buoyed by its more than a decade experience in traditional banking business. CLPS provides IT services in the banking industry, including but not limited to bank channel services such as mobile banking and online banking; business services such as marketing and risk control, among others; management services such as customer relationship management, business intelligence, and information security management, to name a few.</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By integrating its internal resources, CLPS has been able to continue to invest and develop series of R&amp;D products, including credit card system, integrated transaction acquiring platform, reward points terminal, and virtual bank training platform, among others. These products have achieved positive feedback from the market.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June 30, 2021, revenues from our banking area were approximately $60.0 million compared to $44.5 million for the year ended June 30,2020. Revenues from our banking area accounted for 47.6% and 49.8% of our total revenues in fiscal 2021 and 2020 respectively.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portion of our services caters the banking clients.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Card Area</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service in the credit card area. The IT consulting professional teams provides service in the credit card area from Shanghai, Dalian and Hong Kong. We offer this experience and expertise in various currencies, across different geographical regions, including, but not limited to China, Singapore, UK, the Philippines, Indonesia, and Latin America. In addition, we have developed a series of credit card solutions in order to meet the needs of our clients better.</w:t>
      </w:r>
    </w:p>
    <w:p>
      <w:pPr>
        <w:spacing w:after="0" w:line="19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year ended June 30, 2021, revenues from our credit card area were approximately $11.2 million compared to $9.5 million for the year ended June 30,2020. Revenues from our credit card area accounted for 18.7% and 21.3% of our banking revenues in fiscal 2021 and 2020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i w:val="1"/>
          <w:iCs w:val="1"/>
          <w:color w:val="auto"/>
        </w:rPr>
        <w:t>Core Banking Area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June 30, 2021, revenues from our core banking area were approximately $48.8 million compared to $35.0 million for the year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this annual report, “wealth management” refers to the segments of financial industry except banking, including but not limited to investment banking, funds, insurance, securities, futures, clearing, consumer financing, online financing, and supply chain financing. CLPS has in-depth industry knowledge and solutions in the field of wealth management, and constantly develops and innovates according to the needs of clients.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past years, we have successfully developed and managed a variety of IT systems for Chinese and global clients, including the development of asset management system, core insurance system, pension system for well-known international investment bank, large international insurance group, and leading asset management corporation. We also provided development, operation, and maintenance for data analysis and business management systems of China’s national financial information platform, China’s national clearing house, stock exchange, and several large security institutions in China. In addition, we have developed mobile terminal for multiple comprehensive financial service providers and consumer finance platforms both in China and globally.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year ended June 30, 2021, revenues from our wealth management area were approximately $25.2million compared to $19.2 million for the year ended June 30,2020. Revenues from our wealth management area accounted for 20.0% and 21.5% of our total revenues in fiscal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By constantly improving our capabilities, we have gradually extended our main service offerings from banking and financial institutions to e-Commerce industry. We have rapidly developed and accumulated certain skills in online platforms, cross-border e-commerce, logistics, and back-end technology such as big data analysis, and intelligent decision-making among others. In the past years, we have successfully provided IT system development delivery for domestic and international clients, including a global online trading project for a top US e-Commerce company. We have also developed the global terminal, payment, and risk control system for a well-known online ticketing website. In addition, CLPS has developed the website and product market data analysis for a leading and international travel e-commerce platform, and the e-Commerce platform for a large investment holding group in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p>
      <w:pPr>
        <w:jc w:val="both"/>
        <w:ind w:right="20" w:firstLine="648"/>
        <w:spacing w:after="0" w:line="342" w:lineRule="auto"/>
        <w:rPr>
          <w:sz w:val="20"/>
          <w:szCs w:val="20"/>
          <w:color w:val="auto"/>
        </w:rPr>
      </w:pPr>
      <w:r>
        <w:rPr>
          <w:rFonts w:ascii="Arial" w:cs="Arial" w:eastAsia="Arial" w:hAnsi="Arial"/>
          <w:sz w:val="16"/>
          <w:szCs w:val="16"/>
          <w:color w:val="auto"/>
        </w:rPr>
        <w:t>For the year ended June 30, 2021, revenues from our e-Commerce area were approximately $19.2 million compared to $11.1 million for the year ended June 30, 2020. Revenues from our e-Commerce area accounted for 15.2% and 12.4% of our total revenues in fiscal 2021 and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the extensive experience of CLPS in the IT services application in the financial and e-commerce industries, and its innovative implementation of cutting-edge technology such as big data, artificial intelligence and robotic process automation (RPA), it has also extended its business to automotive industry.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is a high demand of intelligent technology application in automobile industry in the recent years. Aside from providing internal management system development for several international automobile enterprises, we also get deeply involved in the development of autonomous driving, automatic control, and other AI-driven technology projects with several major clients. This includes the development of a new-energy vehicle intelligent platform for a large automotive group company in China and a car’s multimedia software for a Chinese automotive information system company. Moreover, we also provide development of internet auto finance platform for several Chinese enterprises.</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June 30, 2021, revenues from our automotive area were approximately $8.5 million compared to $3.6 million for the year ended June 30, 2020. Revenues from our automotive area accounted for 6.7% and 4.1% of our total revenues in fiscal 2021 and 2020 respectively.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scope in terms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from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provide consulting services to our clients in the banking, wealth management, e-commerce, and automotive industries, among others.</w:t>
      </w:r>
    </w:p>
    <w:p>
      <w:pPr>
        <w:spacing w:after="0" w:line="23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years ended June 30, 2021 and 2020, revenues from our IT consulting services were approximately USD 122.3 million and USD 87.1 million, respectively. Revenues from our IT consulting services accounted for 97.0% and 97.5% of our total revenues in fiscal 2021 and 2020,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CLPS provides customized solution services to our clients in the banking, wealth management, e-commerce, and automotive industries, among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also an IT solution services provider in China and globally. We offer our clients over a decade of experience providing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been working with a number of Chinese domestic banks to assist them in leveraging blockchain technology. Using this technology, a loyalty reward solution for the bank’s customers was developed allowing domestic banks to track and trace transactions in real-time. It was recently implemented in Jiangnan Rural Commercial Bank. Also, the pilot phase of this solution was completed for Taicang Rural Commercial Bank.</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signed a blockchain-related contract with a leading university of finance and economics in Shanghai. The project utilizes blockchain technology in the university’s online technical training platform for finance majors. In addition, this project also applies blockchain technology to the teaching management system for students. The management system offers an incentive mechanism that motivates students towards better study habits. This concept is similar to the loyalty reward programs offered in the financial industry. The project passed the testing conducted by the university on December 18, 2018.</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 We will continue to develop our new IT solutions to meet the evolving needs of our Chinese and global financial institutional clientele drawing upon the forward-looking research of our R&amp;D center.</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years ended June 30, 2021 and 2020, revenues from our customized IT solution services were approximately USD 3.1 million and USD 1.8 million, respectively. Revenues from our customized IT solution services accounted for 2.5% and 2.1% of our total revenues in fiscal years 2021 and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CLPS Virtual Banking Platform (CLB)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Recruitment and Headhunting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per client’s request, we are capable of providing the most suitable person for a position. The Company maintains more than 100 talent acquisition staff with rich industry background and knowledge. Our recruitment centers are well equipped of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Fee-For-Service Training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developed and intend to implement the following strategies to expand and grow the revenue, the number of employees, and the number of service locations of our Company:</w:t>
      </w:r>
    </w:p>
    <w:p>
      <w:pPr>
        <w:spacing w:after="0" w:line="170" w:lineRule="exact"/>
        <w:rPr>
          <w:sz w:val="20"/>
          <w:szCs w:val="20"/>
          <w:color w:val="auto"/>
        </w:rPr>
      </w:pPr>
    </w:p>
    <w:p>
      <w:pPr>
        <w:jc w:val="both"/>
        <w:ind w:left="980" w:hanging="324"/>
        <w:spacing w:after="0" w:line="254" w:lineRule="auto"/>
        <w:tabs>
          <w:tab w:leader="none" w:pos="9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Grow revenue with existing and new clients </w:t>
      </w:r>
      <w:r>
        <w:rPr>
          <w:rFonts w:ascii="Arial" w:cs="Arial" w:eastAsia="Arial" w:hAnsi="Arial"/>
          <w:sz w:val="18"/>
          <w:szCs w:val="18"/>
          <w:color w:val="auto"/>
        </w:rPr>
        <w:t>— We intend to pursue additional revenue opportunities from existing Chinese and global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94" w:lineRule="exact"/>
        <w:rPr>
          <w:rFonts w:ascii="Arial" w:cs="Arial" w:eastAsia="Arial" w:hAnsi="Arial"/>
          <w:sz w:val="18"/>
          <w:szCs w:val="18"/>
          <w:i w:val="1"/>
          <w:iCs w:val="1"/>
          <w:color w:val="auto"/>
        </w:rPr>
      </w:pPr>
    </w:p>
    <w:p>
      <w:pPr>
        <w:jc w:val="both"/>
        <w:ind w:left="980" w:hanging="324"/>
        <w:spacing w:after="0" w:line="296" w:lineRule="auto"/>
        <w:tabs>
          <w:tab w:leader="none" w:pos="98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research and development, deepen domain expertise and develop specific solutions for target industry verticals </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61" w:lineRule="exact"/>
        <w:rPr>
          <w:rFonts w:ascii="Arial" w:cs="Arial" w:eastAsia="Arial" w:hAnsi="Arial"/>
          <w:sz w:val="16"/>
          <w:szCs w:val="16"/>
          <w:i w:val="1"/>
          <w:iCs w:val="1"/>
          <w:color w:val="auto"/>
        </w:rPr>
      </w:pPr>
    </w:p>
    <w:p>
      <w:pPr>
        <w:jc w:val="both"/>
        <w:ind w:left="980" w:hanging="324"/>
        <w:spacing w:after="0" w:line="269" w:lineRule="auto"/>
        <w:tabs>
          <w:tab w:leader="none" w:pos="98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jc w:val="both"/>
        <w:ind w:left="980" w:hanging="324"/>
        <w:spacing w:after="0" w:line="272" w:lineRule="auto"/>
        <w:tabs>
          <w:tab w:leader="none" w:pos="98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efficiencies through ongoing improvements in operational excellence </w:t>
      </w:r>
      <w:r>
        <w:rPr>
          <w:rFonts w:ascii="Arial" w:cs="Arial" w:eastAsia="Arial" w:hAnsi="Arial"/>
          <w:sz w:val="17"/>
          <w:szCs w:val="17"/>
          <w:color w:val="auto"/>
        </w:rPr>
        <w:t>— We strive to gain significant operating efficiencies by</w:t>
      </w:r>
      <w:r>
        <w:rPr>
          <w:rFonts w:ascii="Arial" w:cs="Arial" w:eastAsia="Arial" w:hAnsi="Arial"/>
          <w:sz w:val="17"/>
          <w:szCs w:val="17"/>
          <w:i w:val="1"/>
          <w:iCs w:val="1"/>
          <w:color w:val="auto"/>
        </w:rPr>
        <w:t xml:space="preserve"> </w:t>
      </w:r>
      <w:r>
        <w:rPr>
          <w:rFonts w:ascii="Arial" w:cs="Arial" w:eastAsia="Arial" w:hAnsi="Arial"/>
          <w:sz w:val="17"/>
          <w:szCs w:val="17"/>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77" w:lineRule="exact"/>
        <w:rPr>
          <w:rFonts w:ascii="Arial" w:cs="Arial" w:eastAsia="Arial" w:hAnsi="Arial"/>
          <w:sz w:val="17"/>
          <w:szCs w:val="17"/>
          <w:i w:val="1"/>
          <w:iCs w:val="1"/>
          <w:color w:val="auto"/>
        </w:rPr>
      </w:pPr>
    </w:p>
    <w:p>
      <w:pPr>
        <w:jc w:val="both"/>
        <w:ind w:left="980" w:hanging="324"/>
        <w:spacing w:after="0" w:line="257" w:lineRule="auto"/>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187" w:lineRule="exact"/>
        <w:rPr>
          <w:rFonts w:ascii="Arial" w:cs="Arial" w:eastAsia="Arial" w:hAnsi="Arial"/>
          <w:sz w:val="18"/>
          <w:szCs w:val="18"/>
          <w:i w:val="1"/>
          <w:iCs w:val="1"/>
          <w:color w:val="auto"/>
        </w:rPr>
      </w:pPr>
    </w:p>
    <w:p>
      <w:pPr>
        <w:jc w:val="both"/>
        <w:ind w:left="980" w:hanging="324"/>
        <w:spacing w:after="0" w:line="286" w:lineRule="auto"/>
        <w:tabs>
          <w:tab w:leader="none" w:pos="98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implement our global expansion strategy </w:t>
      </w:r>
      <w:r>
        <w:rPr>
          <w:rFonts w:ascii="Arial" w:cs="Arial" w:eastAsia="Arial" w:hAnsi="Arial"/>
          <w:sz w:val="17"/>
          <w:szCs w:val="17"/>
          <w:color w:val="auto"/>
        </w:rPr>
        <w:t>— We remain focused on investing in our long-term sustainable growth and delivering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dual-engine strategy of horizontal and vertical expansion. We will continue to pursue growth in our global footprint and market share as well as in technological and talent development. By delivering on our strategy, we expect to drive shareholder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 success.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 Breadth and depth of digital transformation service offerings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CLPS provides staffing-based consulting services, turn-key financial solutions, and implementation of advanced technologies, enabling clients to build new or enhance their existing systems. We are fully committed of providing digital transformation services with focused on financial and technology in the banking, wealth management, e-commerce, and automotive industries, among others, through the utilization of innovative technology to achieve our client’s goals.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dedicated to providing a full range of services and solutions across technology needs in finance. We are able to provide both development and implementation of core banking, credit card, online and e-commerce systems, as well as expertise across technology stacks. More recently, we have tested and piloted leading edge technologies including cloud transitions, robotic process automation, big data and blockchain. We are also exploring applications in artificial intelligence.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 Talent Creation Program and Talent Development Program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jc w:val="both"/>
        <w:ind w:firstLine="648"/>
        <w:spacing w:after="0" w:line="279"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65" w:lineRule="exact"/>
        <w:rPr>
          <w:sz w:val="20"/>
          <w:szCs w:val="20"/>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Leading provider of human capital in the financial and technology industry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so support the client’s communication need, which is vital for a business’ success.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fiscal year 2021, CLPS maintained more than 3,352 employees, of which, more than 3,107 IT talents serve our customers. Among them, more than 97% work full-time for customers and the rest of the 3% work on project-based such as IT engineers, project managers, business analysts,</w:t>
      </w:r>
    </w:p>
    <w:p>
      <w:pPr>
        <w:ind w:left="660"/>
        <w:spacing w:after="0"/>
        <w:rPr>
          <w:sz w:val="20"/>
          <w:szCs w:val="20"/>
          <w:color w:val="auto"/>
        </w:rPr>
      </w:pPr>
      <w:r>
        <w:rPr>
          <w:rFonts w:ascii="Arial" w:cs="Arial" w:eastAsia="Arial" w:hAnsi="Arial"/>
          <w:sz w:val="18"/>
          <w:szCs w:val="18"/>
          <w:color w:val="auto"/>
        </w:rPr>
        <w:t>among others, or are involved in research of innovative projects.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greatest edge in terms of human capital is our employees’ English communication skills capability and are familiar with international financial business environment. In terms of our overall IT skills, we maintain even distribution and relatively adequate resources of talent pool with capabilities in Java, Cobol, quality control, and other cutting-edge technology such as data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Banking or their China-based IT centers </w:t>
      </w:r>
      <w:r>
        <w:rPr>
          <w:rFonts w:ascii="Arial" w:cs="Arial" w:eastAsia="Arial" w:hAnsi="Arial"/>
          <w:sz w:val="17"/>
          <w:szCs w:val="17"/>
          <w:color w:val="auto"/>
        </w:rPr>
        <w:t>— Citibank, Standard Chartered Bank (China) Ltd., ANZ Bank, and Bank of Communications.</w:t>
      </w:r>
    </w:p>
    <w:p>
      <w:pPr>
        <w:spacing w:after="0" w:line="236" w:lineRule="exact"/>
        <w:rPr>
          <w:rFonts w:ascii="Arial" w:cs="Arial" w:eastAsia="Arial" w:hAnsi="Arial"/>
          <w:sz w:val="17"/>
          <w:szCs w:val="17"/>
          <w:i w:val="1"/>
          <w:iCs w:val="1"/>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Wealth Management </w:t>
      </w:r>
      <w:r>
        <w:rPr>
          <w:rFonts w:ascii="Arial" w:cs="Arial" w:eastAsia="Arial" w:hAnsi="Arial"/>
          <w:sz w:val="18"/>
          <w:szCs w:val="18"/>
          <w:color w:val="auto"/>
        </w:rPr>
        <w:t>— AIA, China Life Insurance, First Data, Haitong Securities, and Orient Securities.</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 eBay, PayPal, Greendot Shanghai, Stubhub, and Gumtree.</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Automotive and Technology </w:t>
      </w:r>
      <w:r>
        <w:rPr>
          <w:rFonts w:ascii="Arial" w:cs="Arial" w:eastAsia="Arial" w:hAnsi="Arial"/>
          <w:sz w:val="16"/>
          <w:szCs w:val="16"/>
          <w:color w:val="auto"/>
        </w:rPr>
        <w:t>— SAIC Motors, Sony, Cisco, CRIF Information Technology, Experian, AGFA Healthcare, Neusoft, and Kodak.</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invested in building a broad sales force and marketing team. As of June 30, 2021, our business development teams consisted of 33 full-time sales and marketing personnel, including 25 sales managers, each of whom is responsible for a designated sales region or client account. We plan to enhance our sales efforts by recruiting more sales personnel both domestically and overseas.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Officially named the CLPS Innovation Lab (“CLPS i-Lab)”, our R&amp;D is an integral part of our continued growth. In order to serve our Chinese and global clients’ needs better, we are fully committed on researching and developing cutting-edge technology including distributed application systems, cloud computing, micro services, open API, robotic process automation (RPA), blockchain, artificial intelligence, and big data, among other technologies, with a focus on continuous scientific and technological innovation to provide clients with more comprehensive and efficient IT services.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a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upgraded our credit card system product, and it is currently in its pilot phase. Through the joint effort of CLPS Innovation Lab and Credit Card Service teams, the essential parts of the system will be migrated to the cloud platform. After the upgrade, the new product platform will leverage the advantages of cloud computing. Combined with the micro-service application, it paves the way to achieve dynamic horizontal and vertical expansions, resulting in improved performance, reliability, utilization of resources, and significantly reduced infrastructure costs. It also improves the display interface, gated launch and other features that enhance the user experience. In addition, the new product platform adopts the Open-API, or Application Program Interface, concept to provide ample APIs to facilitate the connection between channels, merchants and enterprises. The upgrade also includes an integrated monitoring platform that covers comprehensive monitoring and an early warning signal of basic settings and business transactions which allow clients to quickly locate and solve problems. The enterprise edition of this credit card system product is expected to be launched early next year.</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recent years, CLPS conducted extensive research and case studies to develop a comparable market-leading RPA solutions. After a series of internal implementation, the magnitude of the benefits brought about by successful automation of its daily operations has been directly proportional to the significant improvement in the manual processing issues. Such benefits include shortened processing time and simplified operations in key functions, including in financial, business, recruitment, administrative, and other management affairs. After CLPS successfully completed its RPA solutions, the same are offered to clients for customized services and maintenance. The RPA solutions have been introduced and implemented in various framework and projects of pharmaceutical and large state-owned enterprises, such as in financial accounting, credit investigation, procurement, logistics, and data migration. As a result of work process automation, the clients considerably improved operational efficiency with more accurate transaction results and reduced labor cost.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CLPS has been committed to promoting digital transformation integrated with secure, smooth, and efficient IT systems. The growing demand for customized and innovative marketing model has pushed CLPS to further enhance its digital marketing solution to achieve client’s business goals prompted by improved marketing performance metrics.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Many enterprises have seen growing online customer activity and engagements as a result of the COVID-19 pandemic, creating a sense of urgency for digital transformation. Moving forward, enterprises are accelerating digital marketing as a strategy to address the requirements of the expected trends including digital touchpoint, customer acquisition across digital platform, and customized value proposition. CLPS’s “technology+data” digital marketing solution which covers operation services through the utilization of marketing accounts, private online traffic, and media coverage, among others, serve as the major selling point for industry verticals such as in banking, wealth management, e-commerce, and automotive. By leveraging a user’s data activity, it enables enterprises to reduce marketing costs while gaining more customers. It also improves a user’s engagement and loyalty, which will contribute to sustainable sales growth. The latest digital marketing solution upgrade intends to provide CLPS’s existing and potential client base across industries with diversified service portfolio.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81" w:gutter="0" w:footer="0" w:header="0"/>
        </w:sectPr>
      </w:pPr>
    </w:p>
    <w:bookmarkStart w:id="52" w:name="page53"/>
    <w:bookmarkEnd w:id="52"/>
    <w:p>
      <w:pPr>
        <w:jc w:val="both"/>
        <w:ind w:firstLine="648"/>
        <w:spacing w:after="0" w:line="263" w:lineRule="auto"/>
        <w:rPr>
          <w:sz w:val="20"/>
          <w:szCs w:val="20"/>
          <w:color w:val="auto"/>
        </w:rPr>
      </w:pPr>
      <w:r>
        <w:rPr>
          <w:rFonts w:ascii="Arial" w:cs="Arial" w:eastAsia="Arial" w:hAnsi="Arial"/>
          <w:sz w:val="18"/>
          <w:szCs w:val="18"/>
          <w:color w:val="auto"/>
        </w:rPr>
        <w:t>We ran a successful internal pilot test of Robotic Process Automation (RPA), aiming to automate the in-house human resources department’s business processes, which cover more than 2,000 employees. Instead of manual work, the RPA mimics human activity that streamlines the internal management system and improve efficiency.</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integrated the Company’s successful applications of advanced technologies, such as cloud platforms, big data, and robotic process automation (RPA), to our recruitment centers, which enables the acceleration of talent acquisition process. As a result, CLPS will be able to obtain qualified talent, reduce talent acquisition costs, meet the growing demands of talent from its existing and potential clients, and achieve meaningful growth.</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CLPS i-Lab adheres to our strategy of promoting our products and solutions based on new technology and new research, application innovations, and our leading talent pool, while improving our technological innovation capability and market competitiveness. As the center of our research and development efforts, it will continue to be one of the most important drivers of CLPS’s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resource management and planning is critically important to supporting our growth, and we are committed to effectively recruiting, training, developing and retaining our human capital. Our total number of employees has grown from 2,746 employees in fiscal 2020 to 3,352 employees as of June 30, 2021. Approximately 70%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PRC Trademark Law, adopted in 1982 and revised in 2019, protects registered trademark. The Trademark Office of the State Administration of Industry and Commerce of the PRC, handles trademark registrations and grants trademark registrations for a term of ten years.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trademark portfolio consists of five trademarks.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Application</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260" w:type="dxa"/>
            <w:vAlign w:val="bottom"/>
            <w:gridSpan w:val="2"/>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0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peripherals; Computer software (recorded); Connector</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equipment); Monitor program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Electronic publications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(downloadable); Computer program (downloadable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software); Downloadable computer application software;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19289112</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Class 38: Information transmission; Computer terminal</w:t>
            </w:r>
          </w:p>
        </w:tc>
        <w:tc>
          <w:tcPr>
            <w:tcW w:w="178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communication; Computer-aided information and image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transmission; Information transmission equipment rental;</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 telecommunications link services to connect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with the global computer network; Telecommunications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routing and junction services; Provide access service for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global computer network users; Provide database access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19289503</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78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peripherals; Computer software (recorded); Connector</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equipment); Monitor program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Electronic publications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(downloadable); Computer program (downloadable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software); Downloadable computer application software;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19289341</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42: Technical research; Research or develop new</w:t>
            </w:r>
          </w:p>
        </w:tc>
        <w:tc>
          <w:tcPr>
            <w:tcW w:w="178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products for others; Computer programming; Computer</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design; Computer hardware design and</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consulting; Computer software rental;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 maintenance; Computer system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Computer software installation;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consulting</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19289214</w:t>
            </w:r>
          </w:p>
        </w:tc>
        <w:tc>
          <w:tcPr>
            <w:tcW w:w="10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Class 41: Teaching; Education; Training; Practical</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ChinaLink</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training (demonstration); Employment guidance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1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3"/>
              </w:rPr>
              <w:t>(education or training consultants); Arrange and organize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 Ltd.</w:t>
            </w:r>
          </w:p>
        </w:tc>
        <w:tc>
          <w:tcPr>
            <w:tcW w:w="112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academic seminars; Arrange and organize meetings;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-5348605</wp:posOffset>
            </wp:positionV>
            <wp:extent cx="61722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-4114165</wp:posOffset>
            </wp:positionV>
            <wp:extent cx="617220" cy="248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 cy="24828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-2879725</wp:posOffset>
            </wp:positionV>
            <wp:extent cx="634365"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-1645285</wp:posOffset>
            </wp:positionV>
            <wp:extent cx="634365"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960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color w:val="auto"/>
        </w:rPr>
        <w:t>Arrange and organize general meeting; Arrange and</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organize symposium; Arrange and organize training</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6"/>
          <w:szCs w:val="16"/>
          <w:color w:val="auto"/>
        </w:rPr>
        <w:t>The following is a list of the Company’s copyrights:</w:t>
      </w:r>
    </w:p>
    <w:p>
      <w:pPr>
        <w:sectPr>
          <w:pgSz w:w="11900" w:h="16838" w:orient="portrait"/>
          <w:cols w:equalWidth="0" w:num="1">
            <w:col w:w="11240"/>
          </w:cols>
          <w:pgMar w:left="320" w:top="881"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CLPS HR Management Platform Software V1.0</w:t>
            </w:r>
          </w:p>
        </w:tc>
        <w:tc>
          <w:tcPr>
            <w:tcW w:w="1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2009SR015975</w:t>
            </w:r>
          </w:p>
        </w:tc>
        <w:tc>
          <w:tcPr>
            <w:tcW w:w="1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Food and Beverage Report Analysis and</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2009SR060110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8"/>
              </w:rPr>
              <w:t>CLPS Apparel Industry POS Management Platform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2009SR060102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Express Information Interactive Platform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2009SR060112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Chain Store Information Interactive Platform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2009SR060108</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Project Analysis and Management Platform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2009SR060169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7"/>
              </w:rPr>
              <w:t>CLPS Payroll Accounting System Platform Software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2010SR043564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7"/>
              </w:rPr>
              <w:t>CLPS Fast Moving Consumer Goods Frontline Staff</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2010SR043561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Staff Management Platform Software V1.0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2010SR043562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Coal Mining Enterprise Information System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2010SR045449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8"/>
              </w:rPr>
              <w:t>CLPS Campus Expense Card Web Service System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2010SR045441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3"/>
              </w:rPr>
              <w:t>CLPS Campus Expense Card Bathroom Management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2010SR045444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Service 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4"/>
              </w:rPr>
              <w:t>CLPS Machinery Industry ERP Management Platform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2010SR045802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CLPS Assignment and Task Management Platform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2011SR076863</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(short name: Assignment and Task</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Management System)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5"/>
              </w:rPr>
              <w:t>CLPS Marketing Assistant System Platform Software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2012SR096727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3"/>
              </w:rPr>
              <w:t>CLPS Outsourcing Service Staff Management System</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2012SR096666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28"/>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-6581775</wp:posOffset>
            </wp:positionV>
            <wp:extent cx="71323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-5758815</wp:posOffset>
            </wp:positionV>
            <wp:extent cx="71323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-4935855</wp:posOffset>
            </wp:positionV>
            <wp:extent cx="71323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-4112895</wp:posOffset>
            </wp:positionV>
            <wp:extent cx="71323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713232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-2466975</wp:posOffset>
            </wp:positionV>
            <wp:extent cx="71323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-1644015</wp:posOffset>
            </wp:positionV>
            <wp:extent cx="71323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71323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Approval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500" w:type="dxa"/>
            <w:vAlign w:val="bottom"/>
          </w:tcPr>
          <w:p>
            <w:pPr>
              <w:jc w:val="center"/>
              <w:spacing w:after="0"/>
              <w:rPr>
                <w:sz w:val="20"/>
                <w:szCs w:val="20"/>
                <w:color w:val="auto"/>
              </w:rPr>
            </w:pPr>
            <w:r>
              <w:rPr>
                <w:rFonts w:ascii="Arial" w:cs="Arial" w:eastAsia="Arial" w:hAnsi="Arial"/>
                <w:sz w:val="18"/>
                <w:szCs w:val="18"/>
                <w:color w:val="auto"/>
                <w:w w:val="91"/>
              </w:rPr>
              <w:t>29</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April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37"/>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28</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December 2009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w:t>
            </w:r>
            <w:r>
              <w:rPr>
                <w:rFonts w:ascii="Arial" w:cs="Arial" w:eastAsia="Arial" w:hAnsi="Arial"/>
                <w:sz w:val="29"/>
                <w:szCs w:val="29"/>
                <w:color w:val="auto"/>
                <w:w w:val="86"/>
                <w:vertAlign w:val="superscript"/>
              </w:rPr>
              <w:t>nd</w:t>
            </w:r>
            <w:r>
              <w:rPr>
                <w:rFonts w:ascii="Arial" w:cs="Arial" w:eastAsia="Arial" w:hAnsi="Arial"/>
                <w:sz w:val="18"/>
                <w:szCs w:val="18"/>
                <w:color w:val="auto"/>
                <w:w w:val="86"/>
              </w:rPr>
              <w:t xml:space="preserve"> September 2010</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6"/>
              </w:rPr>
              <w:t>25</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October 2011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bl>
    <w:p>
      <w:pPr>
        <w:spacing w:after="0" w:line="267" w:lineRule="exact"/>
        <w:rPr>
          <w:sz w:val="20"/>
          <w:szCs w:val="20"/>
          <w:color w:val="auto"/>
        </w:rPr>
      </w:pPr>
    </w:p>
    <w:p>
      <w:pPr>
        <w:sectPr>
          <w:pgSz w:w="11900" w:h="16838" w:orient="portrait"/>
          <w:cols w:equalWidth="0" w:num="2">
            <w:col w:w="8420" w:space="100"/>
            <w:col w:w="272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180" w:type="dxa"/>
            <w:vAlign w:val="bottom"/>
          </w:tcPr>
          <w:p>
            <w:pPr>
              <w:spacing w:after="0" w:line="205" w:lineRule="exact"/>
              <w:rPr>
                <w:sz w:val="20"/>
                <w:szCs w:val="20"/>
                <w:color w:val="auto"/>
              </w:rPr>
            </w:pPr>
            <w:r>
              <w:rPr>
                <w:rFonts w:ascii="Arial" w:cs="Arial" w:eastAsia="Arial" w:hAnsi="Arial"/>
                <w:sz w:val="18"/>
                <w:szCs w:val="18"/>
                <w:color w:val="auto"/>
                <w:w w:val="98"/>
              </w:rPr>
              <w:t>CLPS Outsourcing Service Staff System Background</w:t>
            </w:r>
          </w:p>
        </w:tc>
        <w:tc>
          <w:tcPr>
            <w:tcW w:w="1080" w:type="dxa"/>
            <w:vAlign w:val="bottom"/>
          </w:tcPr>
          <w:p>
            <w:pPr>
              <w:ind w:left="340"/>
              <w:spacing w:after="0" w:line="205" w:lineRule="exact"/>
              <w:rPr>
                <w:sz w:val="20"/>
                <w:szCs w:val="20"/>
                <w:color w:val="auto"/>
              </w:rPr>
            </w:pPr>
            <w:r>
              <w:rPr>
                <w:rFonts w:ascii="Arial" w:cs="Arial" w:eastAsia="Arial" w:hAnsi="Arial"/>
                <w:sz w:val="18"/>
                <w:szCs w:val="18"/>
                <w:color w:val="auto"/>
              </w:rPr>
              <w:t>China</w:t>
            </w:r>
          </w:p>
        </w:tc>
        <w:tc>
          <w:tcPr>
            <w:tcW w:w="1700" w:type="dxa"/>
            <w:vAlign w:val="bottom"/>
          </w:tcPr>
          <w:p>
            <w:pPr>
              <w:ind w:left="300"/>
              <w:spacing w:after="0" w:line="205" w:lineRule="exact"/>
              <w:rPr>
                <w:sz w:val="20"/>
                <w:szCs w:val="20"/>
                <w:color w:val="auto"/>
              </w:rPr>
            </w:pPr>
            <w:r>
              <w:rPr>
                <w:rFonts w:ascii="Arial" w:cs="Arial" w:eastAsia="Arial" w:hAnsi="Arial"/>
                <w:sz w:val="18"/>
                <w:szCs w:val="18"/>
                <w:color w:val="auto"/>
              </w:rPr>
              <w:t>2012SR096731</w:t>
            </w:r>
          </w:p>
        </w:tc>
        <w:tc>
          <w:tcPr>
            <w:tcW w:w="1420" w:type="dxa"/>
            <w:vAlign w:val="bottom"/>
          </w:tcPr>
          <w:p>
            <w:pPr>
              <w:jc w:val="center"/>
              <w:spacing w:after="0" w:line="205" w:lineRule="exact"/>
              <w:rPr>
                <w:sz w:val="20"/>
                <w:szCs w:val="20"/>
                <w:color w:val="auto"/>
              </w:rPr>
            </w:pPr>
            <w:r>
              <w:rPr>
                <w:rFonts w:ascii="Arial" w:cs="Arial" w:eastAsia="Arial" w:hAnsi="Arial"/>
                <w:sz w:val="18"/>
                <w:szCs w:val="18"/>
                <w:color w:val="auto"/>
                <w:w w:val="97"/>
              </w:rPr>
              <w:t>ChinaLink</w:t>
            </w:r>
          </w:p>
        </w:tc>
        <w:tc>
          <w:tcPr>
            <w:tcW w:w="1740" w:type="dxa"/>
            <w:vAlign w:val="bottom"/>
          </w:tcPr>
          <w:p>
            <w:pPr>
              <w:ind w:left="220"/>
              <w:spacing w:after="0" w:line="204" w:lineRule="exact"/>
              <w:rPr>
                <w:sz w:val="20"/>
                <w:szCs w:val="20"/>
                <w:color w:val="auto"/>
              </w:rPr>
            </w:pPr>
            <w:r>
              <w:rPr>
                <w:rFonts w:ascii="Arial" w:cs="Arial" w:eastAsia="Arial" w:hAnsi="Arial"/>
                <w:sz w:val="15"/>
                <w:szCs w:val="15"/>
                <w:color w:val="auto"/>
              </w:rPr>
              <w:t>15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October 2012</w:t>
            </w:r>
          </w:p>
        </w:tc>
        <w:tc>
          <w:tcPr>
            <w:tcW w:w="940" w:type="dxa"/>
            <w:vAlign w:val="bottom"/>
          </w:tcPr>
          <w:p>
            <w:pPr>
              <w:ind w:left="180"/>
              <w:spacing w:after="0" w:line="205" w:lineRule="exact"/>
              <w:rPr>
                <w:sz w:val="20"/>
                <w:szCs w:val="20"/>
                <w:color w:val="auto"/>
              </w:rPr>
            </w:pPr>
            <w:r>
              <w:rPr>
                <w:rFonts w:ascii="Arial" w:cs="Arial" w:eastAsia="Arial" w:hAnsi="Arial"/>
                <w:sz w:val="18"/>
                <w:szCs w:val="18"/>
                <w:color w:val="auto"/>
                <w:w w:val="84"/>
              </w:rPr>
              <w:t>Registered</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7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8"/>
          <w:szCs w:val="18"/>
          <w:color w:val="auto"/>
        </w:rPr>
        <w:t>Services Co., Ltd.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CLPS Logistics Terminal Distribution Platform</w:t>
            </w:r>
          </w:p>
        </w:tc>
        <w:tc>
          <w:tcPr>
            <w:tcW w:w="1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2012SR096668</w:t>
            </w:r>
          </w:p>
        </w:tc>
        <w:tc>
          <w:tcPr>
            <w:tcW w:w="1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5"/>
              </w:rPr>
              <w:t>CLPS HR Background Support Management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2012SR098440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HR Management System Platform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2012SR098429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(short name: HR Management System)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1"/>
              </w:rPr>
              <w:t>CLPS Outsourcing Service Staff Resume Entry System</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2012SR098687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0"/>
              </w:rPr>
              <w:t>CLPS Bank Document Business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2013SR054800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(short name: Document Management)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Bank Monetary Transaction Management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2013SR054796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(short name: Monetary Transaction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Management)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Bank Expense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2014SR168125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Bank Repayment Process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2014SR168130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2"/>
              </w:rPr>
              <w:t>CLPS Bank Point Accumulative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2014SR168132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Bank Interest Process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2014SR168136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Bank Credit Application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2014SR168138</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8"/>
              </w:rPr>
              <w:t>CLPS Credit Card Risk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2015SR028695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8"/>
              </w:rPr>
              <w:t>CLPS Credit Card Account Establishment and Card</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2015SR029015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Making 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Credit Card Customer Service Management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2015SR029012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CLPS Credit Card Cleaning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2015SR028884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1"/>
              </w:rPr>
              <w:t>CLPS Credit Card Authorization Management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2015SR028914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2"/>
              </w:rPr>
              <w:t>CLPS Mortgage Loan Plan Spreadsheet Tool Software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2015SR198772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(short name: Loan Spreadsheet) V1.0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CLPS Bank Product Management Software V1.0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2015SR198610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30"/>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648"/>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-7817485</wp:posOffset>
            </wp:positionV>
            <wp:extent cx="7132320" cy="411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-6994525</wp:posOffset>
            </wp:positionV>
            <wp:extent cx="71323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Approval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46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37"/>
        </w:trPr>
        <w:tc>
          <w:tcPr>
            <w:tcW w:w="1460" w:type="dxa"/>
            <w:vAlign w:val="bottom"/>
          </w:tcPr>
          <w:p>
            <w:pPr>
              <w:jc w:val="center"/>
              <w:spacing w:after="0"/>
              <w:rPr>
                <w:sz w:val="20"/>
                <w:szCs w:val="20"/>
                <w:color w:val="auto"/>
              </w:rPr>
            </w:pPr>
            <w:r>
              <w:rPr>
                <w:rFonts w:ascii="Arial" w:cs="Arial" w:eastAsia="Arial" w:hAnsi="Arial"/>
                <w:sz w:val="18"/>
                <w:szCs w:val="18"/>
                <w:color w:val="auto"/>
                <w:w w:val="87"/>
              </w:rPr>
              <w:t>19</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19</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19</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5"/>
              </w:rPr>
              <w:t>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June 2013</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5"/>
              </w:rPr>
              <w:t>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June 2013</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November 2014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February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February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February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February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February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46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bl>
    <w:p>
      <w:pPr>
        <w:sectPr>
          <w:pgSz w:w="11900" w:h="16838" w:orient="portrait"/>
          <w:cols w:equalWidth="0" w:num="2">
            <w:col w:w="8440" w:space="120"/>
            <w:col w:w="2680"/>
          </w:cols>
          <w:pgMar w:left="320" w:top="877"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CLPS Bank Deposit and Withdrawal Services</w:t>
            </w:r>
          </w:p>
        </w:tc>
        <w:tc>
          <w:tcPr>
            <w:tcW w:w="12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2015SR198176</w:t>
            </w:r>
          </w:p>
        </w:tc>
        <w:tc>
          <w:tcPr>
            <w:tcW w:w="1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6"/>
              </w:rPr>
              <w:t>CLPS Bank Loan Application Management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2015SR198654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6"/>
              </w:rPr>
              <w:t>CLPS Bank Repayment Management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2015SR198649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8"/>
              </w:rPr>
              <w:t>CLPS Bank Exchange Rate Management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2015SR198774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Bank Interest Settlement Software V1.0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2015SR198246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5"/>
              </w:rPr>
              <w:t>CLPS Bank Foreign Exchange Transaction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2015SR198240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Bank Investment Management Securities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2016SR376924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Business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Bank Big Data Decision-making Platform</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2016SR382920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Customer Portrayal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Services Ca,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Internet Financial Cloud Mobile Banking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2016SR398821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Wantong Calculus Mall Software V2.0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2017SR118507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CLPS Beijing</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Hengtong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RC Rules Engine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2017SR169307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Internet Financing Collection Management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2017SR119266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Points Management Platform Software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2017SR119078</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Full-web Order Receiving Unified Platform</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2017SR202535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8"/>
              </w:rPr>
              <w:t>CLPS Quanxi Intelligent Marketing Platform Clients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2017SR565576</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Growth Center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5"/>
              </w:rPr>
              <w:t>CLPS Enterprise Recruitment Intelligent Cooperation</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2017SR646712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CLPS Intelligent Online Training Test Instructional</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2017SR646507</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9"/>
              </w:rPr>
              <w:t>CLPS Enterprise Internet Qinqin Loan Background</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2017SR647634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30"/>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648"/>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gridSpan w:val="2"/>
          </w:tcPr>
          <w:p>
            <w:pPr>
              <w:jc w:val="right"/>
              <w:ind w:right="10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-7131685</wp:posOffset>
            </wp:positionV>
            <wp:extent cx="71323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-6308725</wp:posOffset>
            </wp:positionV>
            <wp:extent cx="71323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Approval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37"/>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20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27</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April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8"/>
              </w:rPr>
              <w:t>9</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May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April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April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24</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May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13</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October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bl>
    <w:p>
      <w:pPr>
        <w:sectPr>
          <w:pgSz w:w="11900" w:h="16838" w:orient="portrait"/>
          <w:cols w:equalWidth="0" w:num="2">
            <w:col w:w="8400" w:space="120"/>
            <w:col w:w="2720"/>
          </w:cols>
          <w:pgMar w:left="320" w:top="877"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2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2017SR645676</w:t>
            </w:r>
          </w:p>
        </w:tc>
        <w:tc>
          <w:tcPr>
            <w:tcW w:w="1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Background Management Software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5"/>
              </w:rPr>
              <w:t>CLPS Enterprise Talent Information Intelligent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2017SR645650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Credit Card Big Data Integrated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2017SR645763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Management Background Software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Enterprise Recruitment Intelligent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2017SR647190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Cooperation Platform Software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7"/>
              </w:rPr>
              <w:t>CLPS General Points Platform and Business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2019SR0004653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Center Software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Online Financial Microloan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2019SR0004669</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6"/>
              </w:rPr>
              <w:t>CLPS Bank Customer Management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2019SR0004663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4"/>
              </w:rPr>
              <w:t>CLPS Online Financial Management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2019SR0140935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Talent Training One-Stop Platform</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2020SR0094641</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Project Management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2020SR0095716</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[PMS]V2.0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4"/>
              </w:rPr>
              <w:t>CLPS Online Financial Management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2020SR0095716</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Online Financial Microloan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2020SR0094745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6"/>
              </w:rPr>
              <w:t>CLPS Bank Customer Management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2020SR0095318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Online Financial Accounting</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2020SR0095725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64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gridSpan w:val="2"/>
          </w:tcPr>
          <w:p>
            <w:pPr>
              <w:jc w:val="right"/>
              <w:ind w:right="75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firstLine="184"/>
        <w:spacing w:after="0" w:line="407" w:lineRule="auto"/>
        <w:rPr>
          <w:sz w:val="20"/>
          <w:szCs w:val="20"/>
          <w:color w:val="auto"/>
        </w:rPr>
      </w:pPr>
      <w:r>
        <w:rPr>
          <w:rFonts w:ascii="Arial" w:cs="Arial" w:eastAsia="Arial" w:hAnsi="Arial"/>
          <w:sz w:val="15"/>
          <w:szCs w:val="15"/>
          <w:b w:val="1"/>
          <w:bCs w:val="1"/>
          <w:color w:val="auto"/>
        </w:rPr>
        <w:t xml:space="preserve">Approval Date </w:t>
      </w: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-333375</wp:posOffset>
            </wp:positionV>
            <wp:extent cx="1277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January 2019</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January 2019</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January 2019</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2019</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17145</wp:posOffset>
            </wp:positionV>
            <wp:extent cx="6343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ectPr>
          <w:pgSz w:w="11900" w:h="16838" w:orient="portrait"/>
          <w:cols w:equalWidth="0" w:num="3">
            <w:col w:w="8020" w:space="360"/>
            <w:col w:w="1500" w:space="480"/>
            <w:col w:w="760"/>
          </w:cols>
          <w:pgMar w:left="320" w:top="877" w:right="4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2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auto"/>
                <w:w w:val="90"/>
              </w:rPr>
              <w:t>2020SR0224622</w:t>
            </w:r>
          </w:p>
        </w:tc>
        <w:tc>
          <w:tcPr>
            <w:tcW w:w="1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CLPS Guangzhou</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Background Management Software 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Enterprise Recruitment Intelligent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2020SR0224616</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CLPS Guangzhou</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Cooperation Platform Software 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5"/>
              </w:rPr>
              <w:t>CLPS Enterprise Talent Information Intelligent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2020SR0224243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CLPS Guangzhou</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8"/>
              </w:rPr>
              <w:t>Management Software (“ERP System”) 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5"/>
              </w:rPr>
              <w:t>CLPS Ruicheng ERP-TRMS Software (“ERP-</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2020SR1691822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TRMS”)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3"/>
              </w:rPr>
              <w:t>CLPS Ruicheng BPM Organizational Structure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2020SR1691823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6"/>
              </w:rPr>
              <w:t>and Process Approval Software (“BPM”)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1"/>
              </w:rPr>
              <w:t>CLPS Ruicheng Timesheet CLPS Management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2020SR1691884</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Software(“Timesheet”)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Ruicheng WeChat Based Timesheet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2020SR1691802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Management Software (“Timesheet”)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JAJI China EKYC Based Mobile Banking</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2020SR1692693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JAJI (Shanghai)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Software(“Mobile Banking”)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7"/>
              </w:rPr>
              <w:t>CLPS Project Management Software(“PMS”)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2021SR0113240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4"/>
              </w:rPr>
              <w:t>CLPS Credit Card Comprehensive Information</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2021SR0113286</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Platform Software(“ChinaLinkV”) V2.1.1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1"/>
              </w:rPr>
              <w:t>CLPS Meeting Room Reservation Management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2021SR0113234</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Software(“Meeting”) V1,0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CLPS BPM Organizational Structure and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2021SR0216840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Process Approval Software(“BPM”)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6"/>
              </w:rPr>
              <w:t>CLPS EKYC Based Mobile Banking Software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2021SR0216890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(“Mobile Banking”)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4"/>
              </w:rPr>
              <w:t>Hainan Qincheng BPM Organization Structure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2021SR783928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Hainan Qincheng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7"/>
              </w:rPr>
              <w:t>and Process Approval Software(“BPM”)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Software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Technology Co.,</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4"/>
              </w:rPr>
              <w:t>Hainan Qincheng ERP-TRMS Software(“ERP-</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2021SR0783904</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Hainan Qincheng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TRMS”)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Software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Technology Co.,</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Hainan Qincheng Timesheet Management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2021SR0783929</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Hainan Qincheng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Software(“Timesheet”) V3.0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Software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Technology Co.,</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8"/>
              </w:rPr>
              <w:t>Hainan Qincheng WeChat Based Timesheet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2021SR0783905</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Hainan Qincheng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Management Software (“Timesheet”) V2.0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Software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Technology Co.,</w:t>
            </w: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64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gridSpan w:val="2"/>
          </w:tcPr>
          <w:p>
            <w:pPr>
              <w:jc w:val="right"/>
              <w:ind w:right="75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-6308725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-5760085</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548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548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17145</wp:posOffset>
            </wp:positionV>
            <wp:extent cx="1277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March 2020</w:t>
      </w:r>
    </w:p>
    <w:p>
      <w:pPr>
        <w:spacing w:after="0" w:line="99" w:lineRule="exact"/>
        <w:rPr>
          <w:sz w:val="20"/>
          <w:szCs w:val="20"/>
          <w:color w:val="auto"/>
        </w:rPr>
      </w:pPr>
    </w:p>
    <w:p>
      <w:pPr>
        <w:ind w:left="180" w:right="180" w:firstLine="12"/>
        <w:spacing w:after="0" w:line="429" w:lineRule="auto"/>
        <w:rPr>
          <w:sz w:val="20"/>
          <w:szCs w:val="20"/>
          <w:color w:val="auto"/>
        </w:rPr>
      </w:pPr>
      <w:r>
        <w:rPr>
          <w:rFonts w:ascii="Arial" w:cs="Arial" w:eastAsia="Arial" w:hAnsi="Arial"/>
          <w:sz w:val="16"/>
          <w:szCs w:val="16"/>
          <w:color w:val="auto"/>
        </w:rPr>
        <w:t>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March 2020 9th March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January 2021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January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January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February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February 2021</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17145</wp:posOffset>
            </wp:positionV>
            <wp:extent cx="6343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Registered</w:t>
      </w:r>
    </w:p>
    <w:p>
      <w:pPr>
        <w:sectPr>
          <w:pgSz w:w="11900" w:h="16838" w:orient="portrait"/>
          <w:cols w:equalWidth="0" w:num="3">
            <w:col w:w="8020" w:space="340"/>
            <w:col w:w="1540" w:space="460"/>
            <w:col w:w="760"/>
          </w:cols>
          <w:pgMar w:left="320" w:top="877"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March 2021, we relocated our principal executive office to Unit 1102, 11th Floor, Millennium City III, 370 Kwun Tong Road, Kwun Tong, Kowloon, Hong Kong SAR from Unit 702, 7th Floor, Millennium City II, 378 Kwun Tong Road, Kwun Tong, Kowloon, Hong Kong SAR. We leased the premise and the lease term has expired on May 5, 2021. On June 7, 2021, CLPS, through its wholly-owned subsidiary, entered into an agreement to acquire the real property for a consideration of US$3,860,000, which has been and will continue to be used as the Company’s principal executive office.</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the Company manages and operates several other facilities. We rent office space in Shanghai, Tianjin, Shenzhen, Guangzhou, Dalian, Xi’an, Chengdu, Beijing, Baoding, Hainan, Singapore, Hong Kong, Japan, India, and the U.S. Rent expenses amounted to $942,606, $944,645, and $827,593 for the years ended June 30, 2021, 2020 and 2019, respectively. We believe our facilities are adequate for our current needs.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7420" w:type="dxa"/>
            <w:vAlign w:val="bottom"/>
            <w:gridSpan w:val="2"/>
          </w:tcPr>
          <w:p>
            <w:pPr>
              <w:ind w:left="3340"/>
              <w:spacing w:after="0"/>
              <w:rPr>
                <w:sz w:val="20"/>
                <w:szCs w:val="20"/>
                <w:color w:val="auto"/>
              </w:rPr>
            </w:pPr>
            <w:r>
              <w:rPr>
                <w:rFonts w:ascii="Arial" w:cs="Arial" w:eastAsia="Arial" w:hAnsi="Arial"/>
                <w:sz w:val="18"/>
                <w:szCs w:val="18"/>
                <w:b w:val="1"/>
                <w:bCs w:val="1"/>
                <w:color w:val="auto"/>
              </w:rPr>
              <w:t>Address</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Space (m2)</w:t>
            </w:r>
          </w:p>
        </w:tc>
      </w:tr>
      <w:tr>
        <w:trPr>
          <w:trHeight w:val="242"/>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Office</w:t>
            </w:r>
          </w:p>
        </w:tc>
        <w:tc>
          <w:tcPr>
            <w:tcW w:w="120" w:type="dxa"/>
            <w:vAlign w:val="bottom"/>
            <w:tcBorders>
              <w:top w:val="single" w:sz="8" w:color="CCEEFF"/>
            </w:tcBorders>
            <w:shd w:val="clear" w:color="auto" w:fill="CCEEFF"/>
          </w:tcPr>
          <w:p>
            <w:pPr>
              <w:spacing w:after="0"/>
              <w:rPr>
                <w:sz w:val="21"/>
                <w:szCs w:val="21"/>
                <w:color w:val="auto"/>
              </w:rPr>
            </w:pPr>
          </w:p>
        </w:tc>
        <w:tc>
          <w:tcPr>
            <w:tcW w:w="7300" w:type="dxa"/>
            <w:vAlign w:val="bottom"/>
            <w:tcBorders>
              <w:top w:val="single" w:sz="8" w:color="auto"/>
            </w:tcBorders>
            <w:shd w:val="clear" w:color="auto" w:fill="CCEEFF"/>
          </w:tcPr>
          <w:p>
            <w:pPr>
              <w:spacing w:after="0" w:line="242" w:lineRule="exact"/>
              <w:rPr>
                <w:sz w:val="20"/>
                <w:szCs w:val="20"/>
                <w:color w:val="auto"/>
              </w:rPr>
            </w:pPr>
            <w:r>
              <w:rPr>
                <w:rFonts w:ascii="Arial" w:cs="Arial" w:eastAsia="Arial" w:hAnsi="Arial"/>
                <w:sz w:val="17"/>
                <w:szCs w:val="17"/>
                <w:color w:val="auto"/>
                <w:w w:val="98"/>
              </w:rPr>
              <w:t>2</w:t>
            </w:r>
            <w:r>
              <w:rPr>
                <w:rFonts w:ascii="Arial" w:cs="Arial" w:eastAsia="Arial" w:hAnsi="Arial"/>
                <w:sz w:val="28"/>
                <w:szCs w:val="28"/>
                <w:color w:val="auto"/>
                <w:w w:val="98"/>
                <w:vertAlign w:val="superscript"/>
              </w:rPr>
              <w:t>nd</w:t>
            </w:r>
            <w:r>
              <w:rPr>
                <w:rFonts w:ascii="Arial" w:cs="Arial" w:eastAsia="Arial" w:hAnsi="Arial"/>
                <w:sz w:val="17"/>
                <w:szCs w:val="17"/>
                <w:color w:val="auto"/>
                <w:w w:val="98"/>
              </w:rPr>
              <w:t xml:space="preserve"> Floor, Building 18, Shanghai Pudong Software Park, 498 Guoshoujing Road, Pudong District,</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1,259.94</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Office</w:t>
            </w:r>
          </w:p>
        </w:tc>
        <w:tc>
          <w:tcPr>
            <w:tcW w:w="742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 Building 18, Shanghai Pudong Software Park, 498 Guoshoujing Road, Pudong District,</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914.62</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Dalian Office</w:t>
            </w: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Room 01-03, 1/F, 1 Huixian Garden, New &amp; High-tech Industrial Park, Dalian, Liaoning Province,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917.11</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Dalian Office</w:t>
            </w: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Room 02-02/04, 2/F, 1 Huixian Garden, New &amp; High-tech Industrial Park, Dalian, Liaoning</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Province, 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933.25</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 Office</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Room 5601-8, F6, Building No.5, Xinhuan West Road, TEDA, Tianjin, 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56.07</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Shenzhen Office</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Room 516, 5 / F, Oriental Plaza, 1072 Jianshe Road, Luohu District, Shenzhen, 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Guangzhou Office</w:t>
            </w: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Room 409-411, Tower B, China Shine Plaza, No. 9 Linhe Xi Road, Tianhe District, Guangzhou,</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Guangdong, PRC</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331.16</w:t>
            </w: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Xi’an Office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Chengdu Office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Beijing Office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20"/>
                <w:szCs w:val="20"/>
                <w:color w:val="auto"/>
              </w:rPr>
            </w:pPr>
            <w:r>
              <w:rPr>
                <w:rFonts w:ascii="Arial" w:cs="Arial" w:eastAsia="Arial" w:hAnsi="Arial"/>
                <w:sz w:val="18"/>
                <w:szCs w:val="18"/>
                <w:color w:val="auto"/>
                <w:w w:val="98"/>
              </w:rPr>
              <w:t>Room 707, West Building of Kehuicheng, Xingjiapo Tengfei, 88 Tiangu 7th Road, Xi ‘an High-Tech</w:t>
            </w:r>
          </w:p>
        </w:tc>
        <w:tc>
          <w:tcPr>
            <w:tcW w:w="1000" w:type="dxa"/>
            <w:vAlign w:val="bottom"/>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Zone, Xian, PRC</w:t>
            </w:r>
          </w:p>
        </w:tc>
        <w:tc>
          <w:tcPr>
            <w:tcW w:w="1000" w:type="dxa"/>
            <w:vAlign w:val="bottom"/>
          </w:tcPr>
          <w:p>
            <w:pPr>
              <w:jc w:val="right"/>
              <w:spacing w:after="0"/>
              <w:rPr>
                <w:sz w:val="20"/>
                <w:szCs w:val="20"/>
                <w:color w:val="auto"/>
              </w:rPr>
            </w:pPr>
            <w:r>
              <w:rPr>
                <w:rFonts w:ascii="Arial" w:cs="Arial" w:eastAsia="Arial" w:hAnsi="Arial"/>
                <w:sz w:val="18"/>
                <w:szCs w:val="18"/>
                <w:color w:val="auto"/>
              </w:rPr>
              <w:t>243.52</w:t>
            </w:r>
          </w:p>
        </w:tc>
      </w:tr>
      <w:tr>
        <w:trPr>
          <w:trHeight w:val="595"/>
        </w:trPr>
        <w:tc>
          <w:tcPr>
            <w:tcW w:w="7760" w:type="dxa"/>
            <w:vAlign w:val="bottom"/>
          </w:tcPr>
          <w:p>
            <w:pPr>
              <w:spacing w:after="0"/>
              <w:rPr>
                <w:sz w:val="20"/>
                <w:szCs w:val="20"/>
                <w:color w:val="auto"/>
              </w:rPr>
            </w:pPr>
            <w:r>
              <w:rPr>
                <w:rFonts w:ascii="Arial" w:cs="Arial" w:eastAsia="Arial" w:hAnsi="Arial"/>
                <w:sz w:val="18"/>
                <w:szCs w:val="18"/>
                <w:color w:val="auto"/>
              </w:rPr>
              <w:t>Unit 10, 29/Floor, Tower 2, 88 Jitai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Road, Gaoxin District, Chengdu, Sichuan District, PRC</w:t>
            </w:r>
          </w:p>
        </w:tc>
        <w:tc>
          <w:tcPr>
            <w:tcW w:w="1000" w:type="dxa"/>
            <w:vAlign w:val="bottom"/>
          </w:tcPr>
          <w:p>
            <w:pPr>
              <w:jc w:val="right"/>
              <w:spacing w:after="0"/>
              <w:rPr>
                <w:sz w:val="20"/>
                <w:szCs w:val="20"/>
                <w:color w:val="auto"/>
              </w:rPr>
            </w:pPr>
            <w:r>
              <w:rPr>
                <w:rFonts w:ascii="Arial" w:cs="Arial" w:eastAsia="Arial" w:hAnsi="Arial"/>
                <w:sz w:val="18"/>
                <w:szCs w:val="18"/>
                <w:color w:val="auto"/>
              </w:rPr>
              <w:t>59.74</w:t>
            </w:r>
          </w:p>
        </w:tc>
      </w:tr>
      <w:tr>
        <w:trPr>
          <w:trHeight w:val="335"/>
        </w:trPr>
        <w:tc>
          <w:tcPr>
            <w:tcW w:w="7760" w:type="dxa"/>
            <w:vAlign w:val="bottom"/>
          </w:tcPr>
          <w:p>
            <w:pPr>
              <w:spacing w:after="0"/>
              <w:rPr>
                <w:sz w:val="20"/>
                <w:szCs w:val="20"/>
                <w:color w:val="auto"/>
              </w:rPr>
            </w:pPr>
            <w:r>
              <w:rPr>
                <w:rFonts w:ascii="Arial" w:cs="Arial" w:eastAsia="Arial" w:hAnsi="Arial"/>
                <w:sz w:val="18"/>
                <w:szCs w:val="18"/>
                <w:color w:val="auto"/>
              </w:rPr>
              <w:t>Room 1329-1332,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Building 2, Yard 26, Chengtong Road, Shijingshan District, Beijing,</w:t>
            </w:r>
          </w:p>
        </w:tc>
        <w:tc>
          <w:tcPr>
            <w:tcW w:w="1000" w:type="dxa"/>
            <w:vAlign w:val="bottom"/>
          </w:tcPr>
          <w:p>
            <w:pPr>
              <w:spacing w:after="0"/>
              <w:rPr>
                <w:sz w:val="24"/>
                <w:szCs w:val="24"/>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222.88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-1010920</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-599440</wp:posOffset>
            </wp:positionV>
            <wp:extent cx="71323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-299720</wp:posOffset>
            </wp:positionV>
            <wp:extent cx="7132320" cy="30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20"/>
            <w:col w:w="8860"/>
          </w:cols>
          <w:pgMar w:left="320" w:top="877" w:right="3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Baoding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Room 701, 7th Floor, Building A, Zhongguancun Innovation Center, 1799 North Chaoyang Street,</w:t>
            </w:r>
          </w:p>
        </w:tc>
        <w:tc>
          <w:tcPr>
            <w:tcW w:w="1100" w:type="dxa"/>
            <w:vAlign w:val="bottom"/>
            <w:shd w:val="clear" w:color="auto" w:fill="CCEEFF"/>
          </w:tcPr>
          <w:p>
            <w:pPr>
              <w:spacing w:after="0"/>
              <w:rPr>
                <w:sz w:val="18"/>
                <w:szCs w:val="18"/>
                <w:color w:val="auto"/>
              </w:rPr>
            </w:pPr>
          </w:p>
        </w:tc>
      </w:tr>
      <w:tr>
        <w:trPr>
          <w:trHeight w:val="230"/>
        </w:trPr>
        <w:tc>
          <w:tcPr>
            <w:tcW w:w="1860" w:type="dxa"/>
            <w:vAlign w:val="bottom"/>
            <w:shd w:val="clear" w:color="auto" w:fill="CCEEFF"/>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Baoding, PRC</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 UBI Crescent, #03-29, UBI Techpark, Singapore, 408564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141 Cecil Street, #06-07, Tung Ann Association Building, Singapore, 069541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Hong Kong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 1102, Level 11, Millennium City III, 370 Kwun Tong Road, Kwun Tong, Kowloon, Hong Kong</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210.15</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Japan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4F 1-36-3 Nihonbashi-Kakigara-cho,Chuo-ku,Tokyo, Japan, 103-0014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40.17</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India Office</w:t>
            </w:r>
          </w:p>
        </w:tc>
        <w:tc>
          <w:tcPr>
            <w:tcW w:w="82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Unit No. 222, DLF Cybercity, Idco Info Park, Technology Corridor, Chandaka Industrial Estate,</w:t>
            </w:r>
          </w:p>
        </w:tc>
        <w:tc>
          <w:tcPr>
            <w:tcW w:w="1100" w:type="dxa"/>
            <w:vAlign w:val="bottom"/>
            <w:shd w:val="clear" w:color="auto" w:fill="CCEEFF"/>
          </w:tcPr>
          <w:p>
            <w:pPr>
              <w:spacing w:after="0"/>
              <w:rPr>
                <w:sz w:val="17"/>
                <w:szCs w:val="17"/>
                <w:color w:val="auto"/>
              </w:rPr>
            </w:pPr>
          </w:p>
        </w:tc>
      </w:tr>
      <w:tr>
        <w:trPr>
          <w:trHeight w:val="230"/>
        </w:trPr>
        <w:tc>
          <w:tcPr>
            <w:tcW w:w="1860" w:type="dxa"/>
            <w:vAlign w:val="bottom"/>
            <w:shd w:val="clear" w:color="auto" w:fill="CCEEFF"/>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Bhubaneswar, Odisha, India, 751024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113.85</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US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1460 Mission Street, San Francisco, CA 94103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Hainan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Room B1013, Binhai Avenue, 109-9 Haihang Plaza, Hainan, PRC</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63.62</w:t>
            </w:r>
          </w:p>
        </w:tc>
      </w:tr>
      <w:tr>
        <w:trPr>
          <w:trHeight w:val="216"/>
        </w:trPr>
        <w:tc>
          <w:tcPr>
            <w:tcW w:w="18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Hangzhou Office</w:t>
            </w: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Room 6032, 6 / F, building 6, No. 970-1, Gaojiao Road, Wuchang Street, Yuhang District, Hangzhou</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655"/>
        </w:trPr>
        <w:tc>
          <w:tcPr>
            <w:tcW w:w="18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3680"/>
              <w:spacing w:after="0"/>
              <w:rPr>
                <w:sz w:val="20"/>
                <w:szCs w:val="20"/>
                <w:color w:val="auto"/>
              </w:rPr>
            </w:pPr>
            <w:r>
              <w:rPr>
                <w:rFonts w:ascii="Arial" w:cs="Arial" w:eastAsia="Arial" w:hAnsi="Arial"/>
                <w:sz w:val="18"/>
                <w:szCs w:val="18"/>
                <w:color w:val="auto"/>
              </w:rPr>
              <w:t>53</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According to the Catalogue of Industries for Encouraging Foreign Investment (2020)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u w:val="single" w:color="auto"/>
          <w:color w:val="auto"/>
        </w:rPr>
        <w:t>Foreign Currency Exchange.</w:t>
      </w:r>
      <w:r>
        <w:rPr>
          <w:rFonts w:ascii="Arial" w:cs="Arial" w:eastAsia="Arial" w:hAnsi="Arial"/>
          <w:sz w:val="16"/>
          <w:szCs w:val="16"/>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2018, the Foreign Investment Law of the People’s Republic of China (2020), and the Implementing Regulations of the Foreign Investment Law of the People’s Republic of China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Foreign Investment Law of the People’s Republic of China (2020)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right"/>
        <w:ind w:left="60"/>
        <w:spacing w:after="0" w:line="268"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Southeast Asia.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nineteen delivery and/or R&amp;D centers, of which eleven are located in Mainland China (Shanghai, Beijing, Dalian, Tianjin, Baoding, Xi’an, Chengdu, Guangzhou, Shenzhen, Hangzhou, and Hainan) and eight are located globally (Hong Kong SAR, the United States of America, the Philippines, Japan, Singapore, Malaysia, Australia, and India.)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 Results of subsidiaries and businesses acquired from third parties are consolidated from the date on which control is transferred to 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spacing w:after="0" w:line="178"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On August 15, 2018, the shareholders of CLPS SG and CLPS-Ridik AU were changed to Qiner from CLPS Shanghai pursuant to the share purchase agreements. Qiner purchased the 100% equity interest of CLPS SG and CLPS-Ridik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7"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On August 20, 2018, CLPS SG acquired an 80% interest in Infogain Solutions PTE. Ltd. (“Infogain”) located in Singapore from Sharma Devendra Prasad and Deepak Malhotra with the final purchase price of $0.4 million (or approximately 576,000 Singapore dollars).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3, 2019, Qiner purchased a 30% equity interest in Economic Modeling Information Technology Co., Ltd. (“EMIT”). The consideration is zero amount. Qiner subsequently made a capital contribution of $0.44 million (RMB 3 million) to EMIT directly. There is remaining capital contribution of $0.23 million not paid as of June 30,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7"/>
          <w:szCs w:val="17"/>
          <w:color w:val="auto"/>
        </w:rPr>
        <w:t>On July 31, 2019, the Company incorporated CLPS Hangzhou Co., Ltd. (“CLPS Hangzhou”), to develop the business in related areas.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13, 2019, the Company incorporated CLPS Technology Japan (“CLPS Japan”) to develop business in related areas.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26, 2019, Qiner acquired an 80% interest in Ridik Pte. Ltd. (“Ridik Pte.”) located in Singapore from Srustijeet Mishra and Routray Sibashis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Ridik Software Solutions Ltd. (“Ridik Software”), and Suzhou Ridik Information Technology Co., Ltd. (“Suzhou Ridik”) are all subsidiaries of Ridik Pte. Suzhou Ridik was liquidated on April 16,2021. Ridik Software was dissolved on May 11,2021.</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December 2019, CLPS Shanghai held a 70% equity interest in CLPS Shenzhen and an 80% equity interest in CLPS Hong Kong, which held the remaining 30% equity interest in CLPS Shenzhen. And the remaining 20% equity interest in CLPS Hong Kong and remaining 6% equity interest in CLPS Shenzhen were recorded as a noncontrolling interests on the Company’s consolidated balance sheet. On December 9, 2019, Qiner acquired the remaining 20% equity interest in CLPS Hong Kong from noncontrolling shareholder with the consideration of the Company’s 100,000 common shares, and became the sole shareholder of CLPS Hong Kong and CLPS Shenzhen.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31, 2019, the Company incorporated Qinson Credit Card Services Limited (“Qinson”) to develop business in related areas.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23, 2020, Qiner purchased the 80% equity interest in CLPS Hong Kong from CLPS Shanghai for consideration of $0.64 million (HKD 5,000,000). After the equity transfer, Qiner holds 100% of equity interest of CLPS Hong Kong. This transaction did not change the holding company’s ownership of the entity.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On January 20, 2021, the Company incorporated Hainan Qincheng Software Technology Co., Ltd. (“CLPS Hainan”) in Hainan to develop business in related areas.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January 2021, Qiner held 80% equity interest in Ridik Pte. The remaining 20% equity interest was recorded as a noncontrolling interest on the Company’s consolidated balance sheet. On January 29, 2021, CLPS SG acquired the remaining 20% equity interest from Srustijeet Mishra and Routray Sibashis with final purchase price of $0.62 million (or approximately SGD 828,135), in the form of cash of $0.44 million (or approximately SGD 579,695) and the Company’s common shares valued at $0.18 million (or approximately SGD 248,441). Ridik Pte. and its subsidiaries are now wholly-owned subsidiaries of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January 2021, JAJI China held a 70% equity interest in JAJI HR. The remaining 30% equity interest in JAJI HR was recorded as a noncontrolling interest on the Company’s consolidated balance sheet. On January 28, 2021, JAJI China acquired the remaining 30% equity interest from CareerWin Executive Search Co., Ltd. (“CareerWin”).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3, 2021, JAJI HR acquired 100% equity interest in CareerWin located in Shanghai from third-party selling shareholders with the purchase price in the form of cash of $0.29 million (RMB 1,877,044).</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11, 2021, the equity interest in Ridik Pte. was transferred to CLPS SG from Qiner pursuant to the share purchase agreements. CLPS SG purchased the 80% equity interest in Ridik Pte. from Qiner for consideration of $2.16 million (or approximately SGD 2,906,435). After the equity transfer, CLPS SG now holds 100% equity interest in Ridik Pte. This transaction did not change the holding company’s ownership of the entity.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 2021, as part of business strategy, the Company changed the English entity name of its majority-owned subsidiary, Judge (Shanghai)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 Ltd. and its wholly-owned subsidiary Judge (Shanghai) Human Resource Co., Ltd., to JAJI (Shanghai) Co., Ltd. (“JAJI China”) and JAJI (Shanghai)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Human Resource Co., Ltd. (“JAJI HR”),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14, 2021, the Company incorporated Growth Ring Ltd. (“Growth Ring”) in British Virgin Islands to develop business in related areas.</w:t>
      </w:r>
    </w:p>
    <w:p>
      <w:pPr>
        <w:spacing w:after="0" w:line="237"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On April 15, 2021, the Company incorporated CLPS Xi’an Co., Ltd. (“CLPS Xi’an”) in Shaanxi to develop business in related areas.</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May 11, 2021, JAJI China acquired 60% of equity interest in Beijing Bozhuo Education Technology Co., Ltd. (“Beijing Bozhuo”) located in Beijing from a third-party selling shareholder with the purchase price in the form of cash of $0.02 million (RMB 120,000).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25, 2021, the Company incorporated Arabian Jasmine Ltd. (“Arabian Jasmine”) in British Virgin Islands to develop business in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areas.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31, 2021, CLPS SG sold its 80% equity interest in Infogain to the noncontrolling interest shareholder Sharma Devendra Prasad for the sale price of $0.08 million (SGD 100,000). After the interest transfer, Infogain is no longer a subsidiary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31, 2021, the Company incorporated Shanghai Chenqin Information Technology Services Co., Ltd. (“Shanghai Chenqin”) in Shanghai to develop business in related areas.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22, 2021, the Company incorporated Noni (Singapore) Pte. Ltd. (“Noni Singapore”) in Singapore to develop business in related areas.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22, 2021, the Company and a noncontrolling interest shareholder incorporated CLPS-Beefinance Holding Limited (“CLPS-Beefinance”) in British Virgin Islands to develop and upgrade blockchain-based digital asset solutions for financial institutions.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8"/>
          <w:szCs w:val="18"/>
          <w:i w:val="1"/>
          <w:iCs w:val="1"/>
          <w:color w:val="auto"/>
        </w:rPr>
        <w:t>Enterprise Software Certification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High-tech Enterprise</w:t>
      </w:r>
      <w:r>
        <w:rPr>
          <w:rFonts w:ascii="Arial" w:cs="Arial" w:eastAsia="Arial" w:hAnsi="Arial"/>
          <w:sz w:val="18"/>
          <w:szCs w:val="18"/>
          <w:color w:val="auto"/>
        </w:rPr>
        <w:t>,</w:t>
      </w:r>
      <w:r>
        <w:rPr>
          <w:rFonts w:ascii="Arial" w:cs="Arial" w:eastAsia="Arial" w:hAnsi="Arial"/>
          <w:sz w:val="18"/>
          <w:szCs w:val="18"/>
          <w:i w:val="1"/>
          <w:iCs w:val="1"/>
          <w:color w:val="auto"/>
        </w:rPr>
        <w:t xml:space="preserve"> Little Giant Company for Science and Technology </w:t>
      </w:r>
      <w:r>
        <w:rPr>
          <w:rFonts w:ascii="Arial" w:cs="Arial" w:eastAsia="Arial" w:hAnsi="Arial"/>
          <w:sz w:val="18"/>
          <w:szCs w:val="18"/>
          <w:color w:val="auto"/>
        </w:rPr>
        <w:t>and</w:t>
      </w:r>
      <w:r>
        <w:rPr>
          <w:rFonts w:ascii="Arial" w:cs="Arial" w:eastAsia="Arial" w:hAnsi="Arial"/>
          <w:sz w:val="18"/>
          <w:szCs w:val="18"/>
          <w:i w:val="1"/>
          <w:iCs w:val="1"/>
          <w:color w:val="auto"/>
        </w:rPr>
        <w:t xml:space="preserve"> Professional Talent Development Training Camp</w:t>
      </w:r>
      <w:r>
        <w:rPr>
          <w:rFonts w:ascii="Arial" w:cs="Arial" w:eastAsia="Arial" w:hAnsi="Arial"/>
          <w:sz w:val="18"/>
          <w:szCs w:val="18"/>
          <w:color w:val="auto"/>
        </w:rPr>
        <w:t>. In addition, the Company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recognized as one of the recipients of </w:t>
      </w:r>
      <w:r>
        <w:rPr>
          <w:rFonts w:ascii="Arial" w:cs="Arial" w:eastAsia="Arial" w:hAnsi="Arial"/>
          <w:sz w:val="18"/>
          <w:szCs w:val="18"/>
          <w:i w:val="1"/>
          <w:iCs w:val="1"/>
          <w:color w:val="auto"/>
        </w:rPr>
        <w:t>2017 IDC China Top 25 FinTech Pioneers</w:t>
      </w:r>
      <w:r>
        <w:rPr>
          <w:rFonts w:ascii="Arial" w:cs="Arial" w:eastAsia="Arial" w:hAnsi="Arial"/>
          <w:sz w:val="18"/>
          <w:szCs w:val="18"/>
          <w:color w:val="auto"/>
        </w:rPr>
        <w:t xml:space="preserve"> during the award ceremony spearheaded by IDC on August 25, 2017. The Company has also received the </w:t>
      </w:r>
      <w:r>
        <w:rPr>
          <w:rFonts w:ascii="Arial" w:cs="Arial" w:eastAsia="Arial" w:hAnsi="Arial"/>
          <w:sz w:val="18"/>
          <w:szCs w:val="18"/>
          <w:i w:val="1"/>
          <w:iCs w:val="1"/>
          <w:color w:val="auto"/>
        </w:rPr>
        <w:t>2018 Fintech Brand Leadership Award</w:t>
      </w:r>
      <w:r>
        <w:rPr>
          <w:rFonts w:ascii="Arial" w:cs="Arial" w:eastAsia="Arial" w:hAnsi="Arial"/>
          <w:sz w:val="18"/>
          <w:szCs w:val="18"/>
          <w:color w:val="auto"/>
        </w:rPr>
        <w:t xml:space="preserve"> at the China Finance Summit Winter Forum on November 30, 2018, in Beijing, China.</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operations are primarily based in mainland China, where we derive a substantial portion of our revenues. For the years ended June 30, 2021, 2020 and 2019, our revenues were $126.1 million, $89.4 million and $64.9 million, respectively. Revenues generated outside of mainland China were approximately $13.6 million, $10.6 million and $4.5 million for fiscal 2021, 2020 and 2019, respectively. We had a net income of $7.0 million in fiscal 2021, a net income of $3.1 million in fiscal 2020, and a net loss of $3.4 million in fiscal 2019, respectively. We had a non-GAAP net income of $12.1 million in fiscal 2021. Our total assets as of June 30, 2021 were $82.7 million of which cash and cash equivalent amounted to $24.7 million. Our total liabilities as of June 30, 2021 were $25.0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929"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jc w:val="both"/>
        <w:ind w:left="980" w:hanging="324"/>
        <w:spacing w:after="0" w:line="271"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2021, our revenue derived from our IT consulting services increased by 40.3% or $35.2 million from fiscal 2020, mainly attributable to revenue growth from our existing clients. IT consulting services revenue from new clients amounted to approximately $8.4 million in fiscal 2021. During fiscal 2020, our revenue derived from our IT consulting services increased by 41.1% or $25.3 million from fiscal 2019, mainly attributable to revenue growth from our existing clients. IT consulting services revenue from new clients amounted to approximately $9.4 million in fiscal 2020.</w:t>
      </w:r>
    </w:p>
    <w:p>
      <w:pPr>
        <w:spacing w:after="0" w:line="178"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p>
      <w:pPr>
        <w:spacing w:after="0" w:line="186"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JAJI China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9, 2016, CLPS Shanghai acquired 60% of JAJI China and its 70% owned subsidiary JAJI HR from Judge Company Asia Limited (“Judge Asia”) with the final purchase price of $480,061 (RMB 3.25 million). The Company funded the acquisition with cash consideration of $454,388 (RMB 3.05 million) and a payable to Judge Asia of $128,928 (RMB 0.9 million), of which $103,255 (RMB 0.7 million) was subsequently offset with the Company’s receivables from Judge Asia.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5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 controlling interests</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consideration</w:t>
            </w:r>
          </w:p>
        </w:tc>
        <w:tc>
          <w:tcPr>
            <w:tcW w:w="57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480,061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740" w:type="dxa"/>
            <w:vAlign w:val="bottom"/>
            <w:vMerge w:val="restart"/>
          </w:tcPr>
          <w:p>
            <w:pPr>
              <w:jc w:val="right"/>
              <w:ind w:right="43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The intangible assets include customer contracts of $339,883, which were acquired by JAJI China in 2013 with an estimated useful life of 10 years. The goodwill is mainly attributable to the excess of the consideration paid over the fair value of the net assets acquired that cannot be recognized separately as identifiable assets under U.S. GAAP, and comprises (a) the assembled work force and (b) the expected but unidentifiable business growth as a result of the synergy resulting from the acquisition.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28, 2021, JAJI China acquired the remaining 30% equity interest of JAJI HR from CareerWin Executive Search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(“CareerWin”) with the purchase price of $0.02 million (RMB 122,956).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 2021, as part of business strategy, the Company changed the English entity name of its majority-owned subsidiary, Judge (Shanghai)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 Ltd. and its wholly-owned subsidiary Judge (Shanghai) Human Resource Co., Ltd., to JAJI (Shanghai) Co., Ltd. (“JAJI China”) and JAJI (Shanghai)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Human Resource Co., Ltd. (“JAJI HR”),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Huanyu</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87,674</w:t>
            </w: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3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50,045</w:t>
            </w:r>
          </w:p>
        </w:tc>
      </w:tr>
      <w:tr>
        <w:trPr>
          <w:trHeight w:val="203"/>
        </w:trPr>
        <w:tc>
          <w:tcPr>
            <w:tcW w:w="10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Previous held equity interests</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66,960</w:t>
            </w:r>
          </w:p>
        </w:tc>
      </w:tr>
      <w:tr>
        <w:trPr>
          <w:trHeight w:val="210"/>
        </w:trPr>
        <w:tc>
          <w:tcPr>
            <w:tcW w:w="10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219,272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84"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For the period from July 1, 2018 to the acquisition date of May 24, 2019 and for the year ended June 30, 2018, 30% of Huanyu’s results of operations was income of $35,049 (RMB 239,073) and loss of $8,684 (RMB56,461),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Acquisition and disposal of Infogain</w:t>
      </w:r>
    </w:p>
    <w:p>
      <w:pPr>
        <w:spacing w:after="0" w:line="225"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On August 20, 2018, CLPS SG acquired an 80% equity in Infogain located in Singapore from Sharma Devendra Prasad and Deepak Malhotra with the final purchase price of $0.4 million (or approximately 576,000 Singapore dollars).</w:t>
      </w:r>
    </w:p>
    <w:p>
      <w:pPr>
        <w:spacing w:after="0" w:line="170" w:lineRule="exact"/>
        <w:rPr>
          <w:sz w:val="20"/>
          <w:szCs w:val="20"/>
          <w:color w:val="auto"/>
        </w:rPr>
      </w:pPr>
    </w:p>
    <w:p>
      <w:pPr>
        <w:jc w:val="both"/>
        <w:ind w:firstLine="638"/>
        <w:spacing w:after="0" w:line="275"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ectPr>
          <w:pgSz w:w="11900" w:h="16838" w:orient="portrait"/>
          <w:cols w:equalWidth="0" w:num="1">
            <w:col w:w="11240"/>
          </w:cols>
          <w:pgMar w:left="320" w:top="881" w:right="339" w:bottom="349"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Prepayment and other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Other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Amounts</w:t>
      </w:r>
    </w:p>
    <w:p>
      <w:pPr>
        <w:spacing w:after="0" w:line="40" w:lineRule="exact"/>
        <w:rPr>
          <w:sz w:val="20"/>
          <w:szCs w:val="20"/>
          <w:color w:val="auto"/>
        </w:rPr>
      </w:pPr>
    </w:p>
    <w:p>
      <w:pPr>
        <w:ind w:left="480" w:hanging="479"/>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6,843</w:t>
      </w:r>
    </w:p>
    <w:p>
      <w:pPr>
        <w:spacing w:after="0" w:line="2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458,943</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14,454</w:t>
      </w:r>
    </w:p>
    <w:p>
      <w:pPr>
        <w:spacing w:after="0" w:line="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1,190</w:t>
      </w:r>
    </w:p>
    <w:p>
      <w:pPr>
        <w:spacing w:after="0" w:line="9"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337,685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(504,235)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(57,406)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(64,879)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227,506</w:t>
      </w:r>
    </w:p>
    <w:p>
      <w:pPr>
        <w:spacing w:after="0" w:line="49" w:lineRule="exact"/>
        <w:rPr>
          <w:sz w:val="20"/>
          <w:szCs w:val="20"/>
          <w:color w:val="auto"/>
        </w:rPr>
      </w:pPr>
    </w:p>
    <w:p>
      <w:pPr>
        <w:ind w:left="300" w:hanging="299"/>
        <w:spacing w:after="0"/>
        <w:tabs>
          <w:tab w:leader="none" w:pos="300"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420,101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56578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881" w:right="339" w:bottom="349" w:gutter="0" w:footer="0" w:header="0"/>
          <w:type w:val="continuous"/>
        </w:sectPr>
      </w:pPr>
    </w:p>
    <w:p>
      <w:pPr>
        <w:spacing w:after="0" w:line="93"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Identifiable intangible assets acquired include customer contracts, which were valued using an income approach and determined to carry estimated remaining useful lives of approximately three years. The goodwill recognized represents the expected synergies and is not tax deductible.</w:t>
      </w:r>
    </w:p>
    <w:p>
      <w:pPr>
        <w:spacing w:after="0" w:line="146" w:lineRule="exact"/>
        <w:rPr>
          <w:sz w:val="20"/>
          <w:szCs w:val="20"/>
          <w:color w:val="auto"/>
        </w:rPr>
      </w:pPr>
    </w:p>
    <w:p>
      <w:pPr>
        <w:jc w:val="both"/>
        <w:ind w:firstLine="638"/>
        <w:spacing w:after="0" w:line="271" w:lineRule="auto"/>
        <w:rPr>
          <w:sz w:val="20"/>
          <w:szCs w:val="20"/>
          <w:color w:val="auto"/>
        </w:rPr>
      </w:pPr>
      <w:r>
        <w:rPr>
          <w:rFonts w:ascii="Arial" w:cs="Arial" w:eastAsia="Arial" w:hAnsi="Arial"/>
          <w:sz w:val="17"/>
          <w:szCs w:val="17"/>
          <w:color w:val="auto"/>
        </w:rPr>
        <w:t xml:space="preserve">On May 31, 2021, CLPS SG entered into an agreement with Sharma Devendra Prasad to sell its 80% interests in Infogain at a cash consideration of $75,672 (SGD100,000). Sharma Devendra Prasad is the shareholder of the 20% noncontrolling interests in Infogain and was the original shareholder of the 80% interest in Infogain acquired by CLPS SG in 2019. After the disposal, the Company was no longer a shareholder of Infogain and deconsolidated Infogain’s financial results from the Company’s financial statements from June 1, 2021. The Company recognized a total gain of $9,022 (SGD 11,921) from the transaction in “Other income, net” in the consolidated statements of comprehensive income (loss) for the year ended June 30, 2021. The deconsolidation of Infogain did not meet the definition of a discontinued operation in accordance with ASC 205-20, </w:t>
      </w:r>
      <w:r>
        <w:rPr>
          <w:rFonts w:ascii="Arial" w:cs="Arial" w:eastAsia="Arial" w:hAnsi="Arial"/>
          <w:sz w:val="17"/>
          <w:szCs w:val="17"/>
          <w:i w:val="1"/>
          <w:iCs w:val="1"/>
          <w:color w:val="auto"/>
        </w:rPr>
        <w:t>Presentation of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(“ASC 205-20”), as the disposal of Infogain did not represent a shift in the Company’s strategy that has (or will have) a major</w:t>
      </w:r>
      <w:r>
        <w:rPr>
          <w:rFonts w:ascii="Arial" w:cs="Arial" w:eastAsia="Arial" w:hAnsi="Arial"/>
          <w:sz w:val="17"/>
          <w:szCs w:val="17"/>
          <w:i w:val="1"/>
          <w:iCs w:val="1"/>
          <w:color w:val="auto"/>
        </w:rPr>
        <w:t xml:space="preserve"> </w:t>
      </w:r>
      <w:r>
        <w:rPr>
          <w:rFonts w:ascii="Arial" w:cs="Arial" w:eastAsia="Arial" w:hAnsi="Arial"/>
          <w:sz w:val="17"/>
          <w:szCs w:val="17"/>
          <w:color w:val="auto"/>
        </w:rPr>
        <w:t>effect on an entity’s operations and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Lihong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 2019, the Company purchased a 36.84% equity interest in CLPS Lihong at a cash consideration of $0.15 (RMB 1) on the condition that the Company could inject capital of $1.01 million (RMB 7 million) into CLPS Lihong.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2020, the Company sold an 18.42% equity interest in CLPS Lihong to the third party for the consideration of $995,605 (RMB 7 million) which was received as of June 30, 2020. Concurrently CLPS Lihong raised additional capital from other third party investors, and the Company’s remaining equity interest in CLPS Lihong was diluted to 7% as of June 30, 2020. The Company recognized the remaining equity interest in CLPS Lihong as equity investment without readily determined fair value since May 2020. For the period from July 1, 2019 to April 30, 2020, the Company’s share of CLPS Lihong’s results of operations was income of $250,290 (RMB 1,759,764).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Beijing</w:t>
      </w:r>
    </w:p>
    <w:p>
      <w:pPr>
        <w:spacing w:after="0" w:line="225"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and became the sole shareholder of CLPS Beijing. The consideration was paid on July 5, 2018. Prior to June 2018, the remaining 30% equity interest of CLPS Beijing was recorded as a noncontrolling interests on the balance sheet. The Company engaged an independent valuation firm to assist management in assessing the enterprise value of CLPS Beijing. The enterprise value of CLPS Beijing as of June 27, 2018 was $1.94 million based on the third-party valuation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EMIT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3, 2019, Qiner purchased a 30% equity interest of EMIT at nil consideration. with a committed to invest $445,454.14 (RMB 3,000,000.00) in total within 20 years. During the years ended June 30, 2020 and 2019, the Company made capital contribution to EMIT of $143,299 (RMB 1,000,000.00) and $73,593 (RMB500,000.00), respectively. The Company accounts for the investment in EMIT as an equity method investment due to its significant influence over the entity. For the years ended June 30, 2020 and 2019, the Company’s share of EMIT’s results of operations was a loss of $42,927 (RMB 301,878) and $4,230 (RMB 28,853), respectively. As the end of June 30, 2020 and 2019, the committed but not yet made investment in EMIT was $228,561 (RMB 1,500,000.00) and $371,860 (RMB 2,500,000.00),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349"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Acquisition of Ridik Pte. and Ridik Consulting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September 26, 2019, Qiner acquired an 80% equity interest in Ridik Pte. Ltd. (“Ridik Pte.”) located in Singapore from third-party selling shareholders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and Ridik Software Solutions Ltd. (“Ridik Software”) are all subsidiaries of Ridik Pte.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Amounts</w:t>
            </w:r>
          </w:p>
        </w:tc>
      </w:tr>
      <w:tr>
        <w:trPr>
          <w:trHeight w:val="216"/>
        </w:trPr>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618,144</w:t>
            </w:r>
          </w:p>
        </w:tc>
        <w:tc>
          <w:tcPr>
            <w:tcW w:w="8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103,697</w:t>
            </w:r>
          </w:p>
        </w:tc>
        <w:tc>
          <w:tcPr>
            <w:tcW w:w="80" w:type="dxa"/>
            <w:vAlign w:val="bottom"/>
            <w:shd w:val="clear" w:color="auto" w:fill="CCEEFF"/>
          </w:tcPr>
          <w:p>
            <w:pPr>
              <w:spacing w:after="0"/>
              <w:rPr>
                <w:sz w:val="18"/>
                <w:szCs w:val="18"/>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904,748</w:t>
            </w:r>
          </w:p>
        </w:tc>
        <w:tc>
          <w:tcPr>
            <w:tcW w:w="80" w:type="dxa"/>
            <w:vAlign w:val="bottom"/>
            <w:shd w:val="clear" w:color="auto" w:fill="CCEEFF"/>
          </w:tcPr>
          <w:p>
            <w:pPr>
              <w:spacing w:after="0"/>
              <w:rPr>
                <w:sz w:val="18"/>
                <w:szCs w:val="18"/>
                <w:color w:val="auto"/>
              </w:rPr>
            </w:pP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Short-term bank loans and long-term bank loans, current portion</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(48,103)</w:t>
            </w: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(128,688)</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Tax payables</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(102,978)</w:t>
            </w: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(431,548)</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Long-term bank loans</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(44,201)</w:t>
            </w: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(162,855)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(411,351)</w:t>
            </w:r>
          </w:p>
        </w:tc>
      </w:tr>
      <w:tr>
        <w:trPr>
          <w:trHeight w:val="236"/>
        </w:trPr>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1,689,899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10240" w:type="dxa"/>
            <w:vAlign w:val="bottom"/>
          </w:tcPr>
          <w:p>
            <w:pPr>
              <w:spacing w:after="0"/>
              <w:rPr>
                <w:sz w:val="20"/>
                <w:szCs w:val="20"/>
                <w:color w:val="auto"/>
              </w:rPr>
            </w:pPr>
            <w:r>
              <w:rPr>
                <w:rFonts w:ascii="Arial" w:cs="Arial" w:eastAsia="Arial" w:hAnsi="Arial"/>
                <w:sz w:val="18"/>
                <w:szCs w:val="18"/>
                <w:color w:val="auto"/>
              </w:rPr>
              <w:t>Total consideration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2,462,580</w:t>
            </w:r>
          </w:p>
        </w:tc>
        <w:tc>
          <w:tcPr>
            <w:tcW w:w="80" w:type="dxa"/>
            <w:vAlign w:val="bottom"/>
          </w:tcPr>
          <w:p>
            <w:pPr>
              <w:spacing w:after="0"/>
              <w:rPr>
                <w:sz w:val="20"/>
                <w:szCs w:val="20"/>
                <w:color w:val="auto"/>
              </w:rPr>
            </w:pPr>
          </w:p>
        </w:tc>
      </w:tr>
      <w:tr>
        <w:trPr>
          <w:trHeight w:val="20"/>
        </w:trPr>
        <w:tc>
          <w:tcPr>
            <w:tcW w:w="10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January 29, 2021, Qiner acquired the remaining 20% equity interest from Srustijeet Mishra and Routray Sibashis with final purchase price of $0.62 million (or approximately SGD 828,135), in the form of cash of $0.43 million (or approximately SGD 579,695) and the Company’s common shares valued at $0.18 million (or approximately SGD 248,441). Ridik Pte. and its subsidiaries are now wholly-owned subsidiaries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Guangdong Zhichuang</w:t>
      </w:r>
    </w:p>
    <w:p>
      <w:pPr>
        <w:spacing w:after="0" w:line="225"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 The Company recognized the equity interest in CLPS Guangdong Zhichuang as equity investment without readily determined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Shenzhen Robotics</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 The Company recognized the equity interest in CLPS Guangdong Zhichuang as equity investment without readily determined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Acquisition of CareerWin</w:t>
      </w:r>
    </w:p>
    <w:p>
      <w:pPr>
        <w:spacing w:after="0" w:line="225"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17"/>
          <w:szCs w:val="17"/>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(RMB2 million). The total consideration was allocated to the acquisition of 100% equity interests in CareerWin and the acquisition of 30% noncontrolling interest in JAJI HR at $289,980 (RMB1.88 million) and $18,995 (RMB0.12 million), respectively.</w:t>
      </w:r>
    </w:p>
    <w:p>
      <w:pPr>
        <w:spacing w:after="0" w:line="178"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Customer contracts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126,680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payable and 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(71,488)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Wages payable</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(5,099)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(2,576)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(25,336)</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289,980</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46"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Pro forma financial information of CareerWin is not presented as the effects of the acquisition on the Company’s consolidated financial statements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SSIT</w:t>
      </w:r>
    </w:p>
    <w:p>
      <w:pPr>
        <w:spacing w:after="0" w:line="225"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 The Company accounts for the investment in SSIT as an equity method investment due to its significant influence over the entity. For the year ended June 30, 2021, the Company’s share in SSIT’s result of operations was a loss of $9,445 (RMB 62,537).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w:t>
      </w:r>
    </w:p>
    <w:p>
      <w:pPr>
        <w:spacing w:after="0" w:line="225"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During the year ended June 30, 2021, the Company also completed another insignificant business combination with total cash purchase consideration of $18,533 (RMB 0.12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Continuing Operations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8"/>
          </w:tcPr>
          <w:p>
            <w:pPr>
              <w:jc w:val="right"/>
              <w:ind w:right="821"/>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126,061,693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89,415,798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64,932,937</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w w:val="99"/>
              </w:rPr>
              <w:t>(85,890,757)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(58,296,097)</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(41,178,356)</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40,170,936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31,119,701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incomes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Selling and marketing expenses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(3,753,236)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(3,059,877)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(2,179,029)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9"/>
              </w:rPr>
              <w:t>(13,337,913)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(10,436,975)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(7,978,883)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w w:val="99"/>
              </w:rPr>
              <w:t>(16,784,688)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(16,343,936)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(17,384,393)</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Subsidies and other operating income</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2,080,087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1,927,230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697,370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(31,795,750</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(27,913,558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(26,844,935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8,375,186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3,206,143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296,319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608,638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82,138</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(351,045)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(107,322)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and share of income (loss) in equity investees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8,320,460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3,707,459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(3,100,645)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1,257,124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835,444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186,615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share of income (loss) in equity investees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7,063,336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2,872,015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(3,287,260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Share of (loss) income in equity investees, net of tax</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(44,121</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207,363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(145,329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3,079,378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202,643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141,139</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(162,813)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CLPS Incorporation’s shareholders</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6,816,572</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2,938,239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(3,269,776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17,279,443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14,689,224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13,843,764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17,569,440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14,692,299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13,843,764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before income tax and share of income (loss) of equity investees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13,449,156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7,711,539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3,915,444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Non-GAAP net income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12,147,911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7,083,458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3,583,500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CLPS Incorporation’s shareholders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11,945,268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6,942,319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3,746,313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Non-GAAP basic earnings per common share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0.47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17,279,443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14,689,224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13,843,764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Non-GAAP diluted earnings per common share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0.47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17,569,440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14,692,299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13,969,436</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131"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7"/>
          <w:szCs w:val="17"/>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income of equity investees, non-GAAP net income, non-GAAP net income attributable to CLPS Incorporation’s shareholders, and basic and diluted non-GAAP net income per share, which are non-GAAP financial measures. Non-GAAP income before income tax and share of loss income of equity investees is income before income tax and share of loss income of equity investees excluding share-based compensation expenses. Non-GAAP net income is net income excluding share-based compensation expenses. Non-GAAP net income attributable to CLPS Incorporation’s shareholders is net income attributable to CLPS Incorporation’s shareholders excluding share-based compensation expenses. Basic and diluted non-GAAP net income per share is non-GAAP net income attributable to CLPS Incorporation’s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578" w:gutter="0" w:footer="0" w:header="0"/>
        </w:sectPr>
      </w:pPr>
    </w:p>
    <w:bookmarkStart w:id="73" w:name="page74"/>
    <w:bookmarkEnd w:id="73"/>
    <w:p>
      <w:pPr>
        <w:jc w:val="both"/>
        <w:ind w:firstLine="638"/>
        <w:spacing w:after="0" w:line="279"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(85,890,757)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(8,403)</w:t>
            </w: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cost of revenues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(85,882,354)</w:t>
            </w: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(3,753,236)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(122,087)</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selling and marketing expenses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(3,631,149)</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(16,784,688)</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(4,998,206)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81" w:right="339" w:bottom="1440" w:gutter="0" w:footer="0" w:header="0"/>
        </w:sectPr>
      </w:pPr>
    </w:p>
    <w:p>
      <w:pPr>
        <w:spacing w:after="0"/>
        <w:rPr>
          <w:sz w:val="20"/>
          <w:szCs w:val="20"/>
          <w:color w:val="auto"/>
        </w:rPr>
      </w:pPr>
      <w:r>
        <w:rPr>
          <w:rFonts w:ascii="Arial" w:cs="Arial" w:eastAsia="Arial" w:hAnsi="Arial"/>
          <w:sz w:val="18"/>
          <w:szCs w:val="18"/>
          <w:b w:val="1"/>
          <w:bCs w:val="1"/>
          <w:color w:val="auto"/>
        </w:rPr>
        <w:t>Non-GAAP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right="4320"/>
        <w:spacing w:after="0" w:line="277" w:lineRule="auto"/>
        <w:rPr>
          <w:sz w:val="20"/>
          <w:szCs w:val="20"/>
          <w:color w:val="auto"/>
        </w:rPr>
      </w:pPr>
      <w:r>
        <w:rPr>
          <w:rFonts w:ascii="Arial" w:cs="Arial" w:eastAsia="Arial" w:hAnsi="Arial"/>
          <w:sz w:val="18"/>
          <w:szCs w:val="18"/>
          <w:color w:val="auto"/>
        </w:rPr>
        <w:t>Income before income tax and share of income (loss) in equity investees Add: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income before income tax and share of (income) loss of equity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(11,786,482)</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8,320,460</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5,128,696</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13,449,156</w:t>
      </w:r>
    </w:p>
    <w:p>
      <w:pPr>
        <w:spacing w:after="0" w:line="200" w:lineRule="exact"/>
        <w:rPr>
          <w:sz w:val="20"/>
          <w:szCs w:val="20"/>
          <w:color w:val="auto"/>
        </w:rPr>
      </w:pPr>
    </w:p>
    <w:p>
      <w:pPr>
        <w:sectPr>
          <w:pgSz w:w="11900" w:h="16838" w:orient="portrait"/>
          <w:cols w:equalWidth="0" w:num="2">
            <w:col w:w="9540" w:space="720"/>
            <w:col w:w="980"/>
          </w:cols>
          <w:pgMar w:left="320" w:top="881" w:right="339" w:bottom="1440" w:gutter="0" w:footer="0" w:header="0"/>
          <w:type w:val="continuous"/>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7,019,215</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5,128,696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12,147,911</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Net income attributable to CLPS Incorporation’s shareholders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6,816,572</w:t>
            </w: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5,128,696</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11,945,268</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GAAP and non-GAAP basic earnings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17,279,443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GAAP basic earnings per common share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r>
      <w:tr>
        <w:trPr>
          <w:trHeight w:val="236"/>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17,569,440</w:t>
            </w: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17,569,440</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GAAP diluted earnings per common share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0.68</w:t>
            </w:r>
          </w:p>
        </w:tc>
      </w:tr>
      <w:tr>
        <w:trPr>
          <w:trHeight w:val="642"/>
        </w:trPr>
        <w:tc>
          <w:tcPr>
            <w:tcW w:w="10020" w:type="dxa"/>
            <w:vAlign w:val="bottom"/>
            <w:tcBorders>
              <w:top w:val="single" w:sz="8" w:color="CCEEFF"/>
              <w:bottom w:val="single" w:sz="8" w:color="auto"/>
            </w:tcBorders>
          </w:tcPr>
          <w:p>
            <w:pPr>
              <w:ind w:left="5540"/>
              <w:spacing w:after="0"/>
              <w:rPr>
                <w:sz w:val="20"/>
                <w:szCs w:val="20"/>
                <w:color w:val="auto"/>
              </w:rPr>
            </w:pPr>
            <w:r>
              <w:rPr>
                <w:rFonts w:ascii="Arial" w:cs="Arial" w:eastAsia="Arial" w:hAnsi="Arial"/>
                <w:sz w:val="18"/>
                <w:szCs w:val="18"/>
                <w:color w:val="auto"/>
              </w:rPr>
              <w:t>67</w:t>
            </w: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For the Years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89"/>
              </w:rPr>
              <w:t>For the Year ended June 30,</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8"/>
        </w:trPr>
        <w:tc>
          <w:tcPr>
            <w:tcW w:w="2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1"/>
              </w:rPr>
              <w:t>% of total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3"/>
              </w:rPr>
              <w:t>% of total</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Variance</w:t>
            </w:r>
          </w:p>
        </w:tc>
      </w:tr>
      <w:tr>
        <w:trPr>
          <w:trHeight w:val="241"/>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Revenue</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3"/>
              </w:rPr>
              <w:t>Revenue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Revenue</w:t>
            </w:r>
          </w:p>
        </w:tc>
        <w:tc>
          <w:tcPr>
            <w:tcW w:w="10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3"/>
              </w:rPr>
              <w:t>Revenue</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Variance</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122,273,395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87,136,754</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35,136,641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3,130,646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1,844,891</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1,285,755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r>
      <w:tr>
        <w:trPr>
          <w:trHeight w:val="23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434,153</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223,499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r>
      <w:tr>
        <w:trPr>
          <w:trHeight w:val="210"/>
        </w:trPr>
        <w:tc>
          <w:tcPr>
            <w:tcW w:w="2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126,061,693</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89,415,798</w:t>
            </w: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36,645,895</w:t>
            </w: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41.0%</w:t>
            </w:r>
          </w:p>
        </w:tc>
      </w:tr>
      <w:tr>
        <w:trPr>
          <w:trHeight w:val="20"/>
        </w:trPr>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55"/>
        </w:trPr>
        <w:tc>
          <w:tcPr>
            <w:tcW w:w="2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75" w:name="page76"/>
    <w:bookmarkEnd w:id="75"/>
    <w:p>
      <w:pPr>
        <w:jc w:val="both"/>
        <w:ind w:firstLine="648"/>
        <w:spacing w:after="0" w:line="263" w:lineRule="auto"/>
        <w:rPr>
          <w:sz w:val="20"/>
          <w:szCs w:val="20"/>
          <w:color w:val="auto"/>
        </w:rPr>
      </w:pPr>
      <w:r>
        <w:rPr>
          <w:rFonts w:ascii="Arial" w:cs="Arial" w:eastAsia="Arial" w:hAnsi="Arial"/>
          <w:sz w:val="18"/>
          <w:szCs w:val="18"/>
          <w:color w:val="auto"/>
        </w:rPr>
        <w:t>Our total revenues increased by approximately $36.7 million, or 41.0%, to approximately $126.1 million for the fiscal year ended June 30, 2021 from approximately $89.4 million for the fiscal year ended June 30, 2020. The overall growth in our revenues reflects an increase in revenues from our IT consulting services and derived primarily from existing customers.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June 30, 2021, revenue derived from our IT consulting services increased by 40.3% to $122.3 million from $87.1 million in fiscal 2020, primarily reflecting the increasing demands for our IT consulting services from banks and other financial institutions. For fiscal 2021 and 2020, 40.1% and 40.0% of our IT consulting services revenue were from international banks, respectively. In fiscal 2021,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 from customized IT solution services increased by $1.3 million, or 69.7%, to $3.1 million for the year ended June 30, 2020, from $1.8 million in the same period of the previous year. The increase was primarily due to increasing demand from existing clients.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other services increased by $0.3 million, or 51.5%, to $0.7 million for the year ended June 30, 2021, from $0.4 million in the prior year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number of clients increased by 24, or 10.6%, to 251 for the year ended June 30, 2021 from 227 in the prior year period. Revenues from top five clients accounted for 45.7% and 47.3% of the Company’s total revenues for fiscal 2021 and 2020, respectively, which reflects decreased in revenue dependence from major clients.</w:t>
      </w:r>
    </w:p>
    <w:p>
      <w:pPr>
        <w:spacing w:after="0" w:line="184"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Revenue generated outside of mainland China for the year ended June 30, 2021 accounted for 10.7% of total revenue compared to 11.8%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cost of revenues mainly consisted of compensation benefit expenses for our IT professionals, travel expenses and material costs. Our cost of revenues increased by $27.6 million or 47.3% to approximately $85.9 million in fiscal 2021 from approximately $58.3 million in fiscal 2020 primarily as a result of increased revenue, therefore resulting in increased headcount, expanded office facilities to enable and match the growth of our business revenue. As a percentage of revenues, our cost of revenues was 68.1% and 65.2% for fiscal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gross profit increased by $9.1 million, or 29.1%, to approximately $40.2 million in fiscal 2021 from approximately $31.1 million in fiscal 2020. The higher gross profit in fiscal 2021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decreased to 31.9% in fiscal 2021 from 34.8% for the same period of last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expenses increased by $0.7 million or 22.7% to $3.8 million in fiscal 2021 from $3.1 million in fiscal 2020. Accordingly, as a percentage of sales, our selling expenses were 3.0% of revenues in fiscal 2021 compared to 3.4% in fiscal 2020. We expect our selling and marketing expenses to increase as we continue our business expansion, we expect these expenses to remain relatively steady as a percentage of our net revenues to support our business growth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R&amp;D expenses primarily consisted of compensation and benefit expenses relating to our research and development personnel as well as office overhead and other expenses relating to our R&amp;D activities. Our R&amp;D expenses were $13.3 million in fiscal 2021, which increased by $2.9 million or 27.8% compared to $10.4 million in fiscal 2020, representing 10.6% and 11.7% of our total revenues for fiscal 2021 and 2020, respectively. We expect to keep our investment in research and development relatively stable to enhance our industry knowledge, improve our competitiveness and enable us to identify attractive market opportunities for new and enhanced services and solutions.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4"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General and administrative expenses increased by $0.5 million, or 2.7%, to $16.8 million in fiscal 2021 from $16.3 million in the prior year. After the deduction of $5.1 million non-cash share-based compensation expenses related to the grants under the 2017 and 2019 Incentive Compensation Plan, non-GAAP general and administrative expenses decreased by $0.8 million, or 6.2%, to $11.8 million in fiscal 2021 from $12.6 million in the same period of the previous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operating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$2.1 million and $1.9 million in fiscal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Income(loss) before income taxes and share of income (loss) in equity investees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(loss) before income taxes and share of income (loss) in equity investees increased by $4.6 million to a $8.3 million income in fiscal 2021 from an income of $3.7 million in fiscal 2020. After the deduction of non-cash share-based compensation expenses, non-GAAP income before income taxes and share of income (loss) in equity investees increased by $5.7 million, or 74.4%, to $13.4 million in fiscal 2021 from $7.7 million in the same period of the previous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provision for income taxes in fiscal 2021 increased by $0.5 million to $1.3 million from $0.8 million provision for income taxes in fiscal 2020, mainly due to recognition of withholding tax related to the dividend of the Company’s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 income in equity investees, net of tax</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share of loss in equity investees, net of tax in fiscal 2021 was net equity investment loss of SSIT and EMIT. The share of income in equity investees, net of tax in fiscal 2020 was net equity investment income of Lihong and EMIT.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37"/>
        <w:spacing w:after="0" w:line="263" w:lineRule="auto"/>
        <w:rPr>
          <w:sz w:val="20"/>
          <w:szCs w:val="20"/>
          <w:color w:val="auto"/>
        </w:rPr>
      </w:pPr>
      <w:r>
        <w:rPr>
          <w:rFonts w:ascii="Arial" w:cs="Arial" w:eastAsia="Arial" w:hAnsi="Arial"/>
          <w:sz w:val="18"/>
          <w:szCs w:val="18"/>
          <w:color w:val="auto"/>
        </w:rPr>
        <w:t>Net income increased by $3.9 million or 127.9% to $7.0 million in fiscal 2021 from a net income of $3.1 million in fiscal 2020. After the deduction of $5.1 million non-cash share-based compensation expenses, non-GAAP net income increased by $5.0 million, or 71.5%, to $12.1 million in fiscal 2021 from $7.1 million in the previous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translation adjustments amounted to income of $2.6 and loss of $0.5 million for the years ended June 30, 2021 and 2020, respectively. The balance sheet amounts with the exception of equity as of June 30, 2021 were translated at 6.4566 RMB to 1.00 USD as compared to 7.0651 RMB to 1.00 USD as of June 30, 2020. The equity accounts were stated at their historical rate. The average translation rates applied to the income statements accounts for the years ended June 30, 2021 and 2020 were 6.6212 RMB to 1.00 USD and 7.0309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For the Years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b w:val="1"/>
                <w:bCs w:val="1"/>
                <w:color w:val="auto"/>
                <w:w w:val="89"/>
              </w:rPr>
              <w:t>For the Year ended June 30,</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20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8"/>
        </w:trPr>
        <w:tc>
          <w:tcPr>
            <w:tcW w:w="44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 of total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 of total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Variance</w:t>
            </w:r>
          </w:p>
        </w:tc>
      </w:tr>
      <w:tr>
        <w:trPr>
          <w:trHeight w:val="241"/>
        </w:trPr>
        <w:tc>
          <w:tcPr>
            <w:tcW w:w="44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200" w:type="dxa"/>
            <w:vAlign w:val="bottom"/>
            <w:gridSpan w:val="3"/>
          </w:tcPr>
          <w:p>
            <w:pPr>
              <w:ind w:left="140"/>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3"/>
              </w:rPr>
              <w:t>Revenue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Variance</w:t>
            </w: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$87,136,754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$61,755,355</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$25,381,399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1,844,891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3,041,482</w:t>
            </w:r>
          </w:p>
        </w:tc>
        <w:tc>
          <w:tcPr>
            <w:tcW w:w="6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(1,196,591)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(39.3)%</w:t>
            </w:r>
          </w:p>
        </w:tc>
      </w:tr>
      <w:tr>
        <w:trPr>
          <w:trHeight w:val="23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434,153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136,100</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298,053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10"/>
        </w:trPr>
        <w:tc>
          <w:tcPr>
            <w:tcW w:w="4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89,415,798</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64,932,937</w:t>
            </w: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24,482,861</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37.7%</w:t>
            </w:r>
          </w:p>
        </w:tc>
      </w:tr>
      <w:tr>
        <w:trPr>
          <w:trHeight w:val="21"/>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78" w:name="page79"/>
    <w:bookmarkEnd w:id="78"/>
    <w:p>
      <w:pPr>
        <w:jc w:val="both"/>
        <w:ind w:firstLine="648"/>
        <w:spacing w:after="0" w:line="263" w:lineRule="auto"/>
        <w:rPr>
          <w:sz w:val="20"/>
          <w:szCs w:val="20"/>
          <w:color w:val="auto"/>
        </w:rPr>
      </w:pPr>
      <w:r>
        <w:rPr>
          <w:rFonts w:ascii="Arial" w:cs="Arial" w:eastAsia="Arial" w:hAnsi="Arial"/>
          <w:sz w:val="18"/>
          <w:szCs w:val="18"/>
          <w:color w:val="auto"/>
        </w:rPr>
        <w:t>Our total revenues increased by approximately $24.5 million, or 37.7%, to approximately $89.4 million for the fiscal year ended June 30, 2020 from approximately $64.9 million for the fiscal year ended June 30, 2019. The overall growth in our revenues reflects an increase in revenues from our IT consulting services and derived primarily from existing customers.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June 30, 2020, revenue derived from our IT consulting services increased by 41.1% to $87.1 million from $61.8 million in fiscal 2019, primarily reflecting the increasing demands for our IT consulting services from banks and other financial institutions. For fiscal 2020 and 2019, 40.0% and 47.5% of our IT consulting services revenue were from international banks, respectively. In fiscal 2020,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customized IT solution services decreased by $1.2 million, or 39.3%, to $1.8 million for the year ended June 30, 2020, from $3.0 million in the same period of the previous year. The decrease was primarily due to decreasing demand from existing clients.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other services increased by $0.3 million, or 219.0%, to $0.4 million for the year ended June 30, 2020, from $0.1 million in the prior year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number of clients increased by 53, or 30%, to 227 for the year ended June 30, 2020 from 174 in the prior year period. Revenues from top five clients accounted for 47.3% and 50.7% of the Company’s total revenues for fiscal 2020 and 2019, respectively, which reflects decreased in revenue dependence from major clients.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 generated outside of mainland China for the year ended June 30, 2020 accounted for 11.8% of total revenue compared to 7.0% in the prior year period. The increase in revenue generated outside of mainland China reflects the Company’s successful and continuous global expansion strategy.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cost of revenues mainly consisted of compensation benefit expenses for our IT professionals, travel expenses and material costs. Our cost of revenues increased by $17.1 million or 41.6% to approximately $58.3 million in fiscal 2020 from approximately $41.2 million in fiscal 2019 primarily as a result of increased revenue, therefore resulting in increased headcount, expanded office facilities and increase of depreciation and amortization expenses to enable and match the growth of our business revenue. As a percentage of revenues, our cost of revenues was 65.2% and 63.4% for fiscal 2020 and 2019, respectively. Our total number of employees grew from 2,085 employees as of June 30, 2019 to 2,746 employees as of June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gross profit increased by $7.3 million, or 31.0%, to approximately $31.1 million in fiscal 2020 from approximately $23.8 million in fiscal 2019. The higher gross profit in fiscal 2020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decreased to 34.8% in fiscal 2020 from 36.6% for the same period of last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expenses increased by $0.9 million or 40.4% from $2.2 million in fiscal 2019 to $3.1 million in fiscal 2020. Accordingly, as a percentage of sales, our selling expenses were 3.4% of revenues in fiscal 2020 same as 3.4% in fiscal 2019. We expect our selling and marketing expenses to increase as we continue our business expansion, we expect these expenses to remain relatively steady as a percentage of our net revenues to support our business growth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R&amp;D expenses primarily consisted of compensation and benefit expenses relating to our research and development personnel as well as office overhead and other expenses relating to our R&amp;D activities. Our R&amp;D expenses were $10.4 million in fiscal 2020, which increased by $2.4 million or 30.8% compared to $8.0 million in fiscal 2019, representing 11.7% and 12.3% of our total revenues for fiscal 2020 and 2019, respectively. We expect to keep our investment in research and development relatively stable to enhance our industry knowledge, improve our competitiveness and enable us to identify attractive market opportunities for new and enhanced services and solutions.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4"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General and administrative expenses decreased by $1.1 million, or 6.0%, to $16.3 million in fiscal 2020 from $17.4 million in the prior year. After the deduction of $3.8 million non-cash share-based compensation expenses related to the grants under the 2017 and 2019 Incentive Compensation Plan, non-GAAP general and administrative expenses increased by $2.1 million, or 20.5%, to $12.6 million in fiscal 2020 from $10.4 million in the same period of the previous year. The increase in non-GAAP administrative expenses was primarily due to an increase in administrative personnel and M&amp;A related expenses as a result of business expansion.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operating income</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$1.9 million and $0.7 million in fiscal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 and share of income (loss) in equity investees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(loss) before income taxes and share of income (loss) in equity investees increased by $6.8 million to a $3.7 million income in fiscal 2020 from a loss of $3.1 million in fiscal 2019. After the deduction of non-cash share-based compensation expenses, non-GAAP income before income taxes and share of income in equity investees increased by $3.8 million, or 97%, to $7.7 million in fiscal 2020 from $3.9 million in the same period of the previous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provision for income taxes in fiscal 2020 increased by $0.6 million to $0.8 million from $0.2 million benefit for income taxes in fiscal 2019, mainly due to the increase of Company’s income before tax and the reversal of the beginning balances of deferred tax assets related to the net operating losses for some of the Company’s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income (loss) in equity investees, net of tax</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share of income in equity investees, net of tax in fiscal 2020 was net equity investment income of Lihong and EMIT. The share of loss in equity investees, net of tax in fiscal 2019 was equity investment loss of Huanyu, Lihong and EMIT.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37"/>
        <w:spacing w:after="0" w:line="263" w:lineRule="auto"/>
        <w:rPr>
          <w:sz w:val="20"/>
          <w:szCs w:val="20"/>
          <w:color w:val="auto"/>
        </w:rPr>
      </w:pPr>
      <w:r>
        <w:rPr>
          <w:rFonts w:ascii="Arial" w:cs="Arial" w:eastAsia="Arial" w:hAnsi="Arial"/>
          <w:sz w:val="18"/>
          <w:szCs w:val="18"/>
          <w:color w:val="auto"/>
        </w:rPr>
        <w:t>Net income increased by $6.5 million to an income of $3.1 million in fiscal 2020 from a loss of $3.4 million in fiscal 2019. After the deduction of $4.0 million non-cash share-based compensation expenses, non-GAAP net income increased by $3.5 million, or 97.7%, to $7.1 million in fiscal 2020 from $3.6 million in the previous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translation adjustments amounted to loss of $0.5 and $0.4 million for the years ended June 30, 2020 and 2019, respectively. The balance sheet amounts with the exception of equity as of June 30, 2020 were translated at 7.0651 RMB to 1.00 USD as compared to 6.8650 RMB to 1.00 USD as of June 30, 2019. The equity accounts were stated at their historical rate. The average translation rates applied to the income statements accounts for the years ended June 30, 2020 and 2019 were 7.0309 RMB to 1.00 USD and 6.8211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2021, we had cash and cash equivalents of approximately $24.7 million. Our current assets were approximately $76.1 million, and our current liabilities were approximately $23.0 million. Total shareholders’ equity as of June 30, 2021 was approximately $57.7 million. We believe that we will have sufficient working capital to operate our business for the next 12 months from the issuance date of this report.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2021, cash and cash equivalents of approximately $9.7 million, $0.8 million, $0.01 million, $14.0 million, $0.002 million, $0.07 million, $0.2 million and $0.01 million were held by the Company and its subsidiaries in Mainland China, Singapore, Australia, Hong Kong, India, Malaysia, Japan and the United States of America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negative for the year ended June 30, 2021.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5,931,124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(5,619,471)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173,229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(3,862,360)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19,340,588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466,782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975,918</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(178,930)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(147,080)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12,087,262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6,050,785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(3,141,551)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12,652,120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6,601,335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9,742,886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24,739,382</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12,652,120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6,601,335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operating activities was approximately $2.6 million in fiscal 2021, including net income of $7.0 million, adjusted for non-cash items of $5.7 million and negative adjustments for changes in operating assets and liabilities of $15.3 million. The adjustments for changes in operating assets and liabilities mainly included the increase in accounts receivable of $16.7 million due to increased sales in fiscal 2021. During fiscal 2021, our accounts receivable turnover was 100 days, an increase of 9 days from 91 days in fiscal 2020. The adjustments for changes in operating assets and liabilities also included an increase in salaries and benefits payable of $0.3 million and an increase in accounts payable and other payables of $0.4 million in fiscal 2021.</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$5.9 million in fiscal 2020, including net income of $3.1 million, adjusted for non-cash items of $4.4 million and negative adjustments for changes in operating assets and liabilities of $1.6 million. The adjustments for changes in operating assets and liabilities mainly included the increase in accounts receivable of $6.6 million due to increased sales in fiscal 2020. During fiscal 2020, our accounts receivable turnover was 91 days, stable with 99 days in fiscal 2019. The adjustments for changes in operating assets and liabilities also included offset with an increase in salaries and benefits payable of $3.6 million due to unpaid employee compensation and benefits, and an increase in accounts payable and other payables of $0.1 million in fiscal 2020.</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provided by operating activities was approximately $0.4 million in fiscal 2019, including net loss of $3.4 million, adjusted for non-cash items of $7.6 million and negative adjustments for changes in operating assets and liabilities of $3.8 million. The adjustments for changes in operating assets and liabilities mainly included an increase in accounts receivable of $3.1 million in fiscal 2019. During fiscal 2019, our accounts receivable turnover was 99 days, increased from 84 days in fiscal 2018 due to the longer payment approval process of the major customers compared with payment time of fiscal 2018. The adjustments for changes in operating assets and liabilities also included offset with an increase in salaries and benefits payable of $0.6 million due to unpaid employee compensation and benefits, and a decrease in accounts payable and other payables of $0.8 million in fiscal 2019.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73"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approximately $5.6 million in fiscal 2021, primarily due to our purchase of office building, office equipment and furniture of $1.1 million, disposition of subsidiary of $0.2 million, addition of long term investment of $0.3 million, loans provided to Infogain and related party of $0.3 million, our business acquisition of $0.3 million and short-term investments of $3.4 million in fiscal 2021, to better manage opportunities and capitalize on the growth potential in the human resource related industry.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investing activities was approximately $0.2 million in fiscal 2020, primarily due to our purchase of office equipment and furniture of $0.2 million, disposition of long term investment of $1.0 million, our business acquisition of $1.6 million and short-term investments of $1.1 million in fiscal 2020, to better manage opportunities and capitalize on the growth potential in the human resource related industry. In fiscal 2020, we paid $1,844,380 (2,496,000 Singapore dollars) and the Company’s common shares valued at $461,096 (624,000 Singapore dollars) for an 80% of equity interest in Ridik Pte. The Company also injected $0.14 million (RMB 1,000,000) in EMIT. The Company sold an 18.42% equity interest in CLPS Lihong for the consideration of $995,605 (RMB 7 million) to the third party.</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cash used in investing activities was approximately $3.9 million in fiscal 2019, primarily due to our purchase of office equipment and furniture of $0.5 million, long term investment of $1.1 million, our business acquisition of $0.4 million and short-term investments of $1.8 million in fiscal 2019, to better manage opportunities and capitalize on the growth potential in the human resource related industry. In fiscal 2019, we paid $0.07 million (RMB 462,000) for a 70% of equity interest in Huanyu, and $0.4 million (576,000 Singapore dollars) for an 80% of equity interest in Infogain, respectively. The Company also injected $0.07 million (RMB 500,000) in EMIT and $1.0 million (RMB 7,000,000) in CLPS Lihong,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approximately $19.3 million in fiscal 2021. During the fiscal 2021, we had bank loans of approximately $13.3 million, repaid loans of approximately $8.3 million, received capital contribution from private placement of $14.7 million, received capital contribution from option exercise of $0.1 million and purchase of noncontrolling interest of $0.5 million.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approximately $0.1 million in fiscal 2020. During the fiscal 2020, we had bank loans of approximately $3.8 million, repaid loans of approximately $3.9 million, and received the over-allotment proceeds of $0.2 million.</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provided by financing activities was approximately $0.5 million in fiscal 2019. During the fiscal 2019, we had bank loans of approximately $3.6 million, repaid loans of approximately $3.9 million, and received the over-allotment proceeds of $1.5 million and paid $0.6 million for purchase of noncontrolling interests in CLPS Beijing.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made capital expenditures of $1.1 million, $0.2 million and $0.5 million for the years ended June 30, 2021, 2020 and 2019, respectively. In these periods, our capital expenditures were mainly used for purchases of office building and office equipment. The Company will continue to make capital expenditures to meet the expected growth of its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2.5% in 2020 and 2.1%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$942,606, $944,645 and $827,593 for the years ended June 30, 2021, 2020 and 2019, respectively. The following table sets forth our contractual obligations and commercial commitments as of June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6"/>
              </w:rPr>
              <w:t>Payment Due by Period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0"/>
              </w:rPr>
              <w:t>Less than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 Year</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1-3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3 Years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1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2,114,131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1,045,953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Bank loans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7,757,687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7,747,798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 for fixed assets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3,302,944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3,302,944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Investment commitment obligations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500,304</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500,304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0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13,675,066</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12,596,999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1,078,067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June 7, 2021, the Company entered into a purchase agreement with a third party to purchase an office property in Hong Kong for self-use at a consideration of $ 3,669,937 (HKD28,500,000). The Company made the first payment of $ 183,497 (HKD1,425,000) on May 24,2021 and second payment of $183,497 (HKD1,425,000) on June 4,2021. Remaining balance of $3,302,943 (HKD25,650,000) was paid on July 21, 2021.</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July 8, 2021, the Company entered into a capital increase agreement with two third-party shareholders of the target company, Beijing UniDev Software Co., Ltd (“UniDev”), to obtain 15% of equity interest in UniDev with a capital injection of $261,593 (RMB 1,689,000). The Company made the payment of $ 78,478 (RMB 506,700) and $ 183,115 (RMB 1,182,300) on August 26,2021 and September 23,2021, respectively.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27, 2021, the Company sold 7% equity interest in CLPS Lihong to a third party for a consideration of $650,497 (RMB4,200,000). After the transaction, the Company no longer holds any interest in CLPS Lihong.</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July 31, 2021, the Company entered into a purchase agreement with a third party to acquire an office property in Singapore for self-use at a consideration of $4,644,243 (SGD6,247,900 million). The Company made the option payment of $46,442 (SGD62,479) on the same day.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 2021, the Company entered into an equity transfer and capital increase agreement with a third party shareholder of the target company, Fuson Group Limited (“Fuson”), to obtain 35.02% of equity interest in Fuson with a capital injection of $157,743 (HKD1,225,000). The Company made the first payment of $78,871 (HKD612,500) on August 16,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12, 2021, the Company entered into a purchase agreement with a third party to purchase an office property in Hong Kong for self-use at a consideration of $ 11,309,019 (HKD 88,000,000). The Company made the first payment of $ 565,182 (HKD 4,400,000) and second payment of $ 565,182 (HKD 4,400,000) on September 24, 2021and October 5,2021,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16, 2021, the Company entered into a capital increase agreement with a third party shareholder of the target company, MSCT Investment Holdings Limited (“MSCT”), to obtain 53.33% of equity interest in MCST with a capital injection $206,032 (HKD1,600,000). The Company made the payment of $206,032 (HKD 1,600,000) on the same day.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prepare our consolidated financial statements in conformity with U.S. GAAP, which requires us to make judgments, estimates and assumptions that affect our reported amount of assets, liabilities, revenue, costs and expenses, and any related disclosures.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Effective July 1, 2019, we adopted </w:t>
      </w:r>
      <w:r>
        <w:rPr>
          <w:rFonts w:ascii="Arial" w:cs="Arial" w:eastAsia="Arial" w:hAnsi="Arial"/>
          <w:sz w:val="16"/>
          <w:szCs w:val="16"/>
          <w:i w:val="1"/>
          <w:iCs w:val="1"/>
          <w:color w:val="auto"/>
        </w:rPr>
        <w:t>Accounting Standards Update (ASU) 2014-09, Revenue from contracts with Customers (Topic 606) (“ASC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w:t>
      </w:r>
      <w:r>
        <w:rPr>
          <w:rFonts w:ascii="Arial" w:cs="Arial" w:eastAsia="Arial" w:hAnsi="Arial"/>
          <w:sz w:val="16"/>
          <w:szCs w:val="16"/>
          <w:color w:val="auto"/>
        </w:rPr>
        <w:t>using the modified retrospective approach, which requires the recognition of a cumulative-effect adjustment to retained earnings as of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and applies the adoption only to contracts not completed as of July 1, 2019. The cumulative effect of initially applying ASC 606 resulted in a decrease to opening retained earnings of $138,644 as of July 1, 2019, with the impact primarily related to our customized IT solution services.</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provide a comprehensive range of IT services and solutions, which primarily are on a time-and-expense basis, or fixed-price basis. Revenue is recognized when control of promised goods or services is transferred to our customers in an amount of consideration to which an entity expects to be entitled to in exchange for those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series of IT services are substantially the same from day to day, and each day of the service is considered to be distinct and separately identifiable as it benefits the customer daily. Further, the uncertainty related to the service consideration is resolved on a daily basis as we satisfy our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Revenues from fixed-price customized solution contracts require us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we are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two performance obligations identified in the fixed-price basis contracts: the delivery of customized IT solution service and the completion of the PCS. The transaction price is allocated between the two performance obligations based on the relative standalone selling price, estimated using the cost plus method.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recognize revenue for the delivery of customized IT solution service at a point in time when the system is implemented and accepted by the customer. Where we have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contracts primarily comprise of the sale of consulting service or head-hunting service. Revenue for other contracts is recognized at a point in time when control transfers to the customer, which generally occurs when the service is accepted by customers.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receivable are carried at net realizable value. An allowance for doubtful accounts is recorded in the period when loss is probable. We determine the adequacy of a reserve for doubtful accounts based on individual account analysis and historical collection trends. We establish a provision for doubtful receivables when there is objective evidence that we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 We regularly review the adequacy and appropriateness of the allowance for doubtful accounts.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account for all business combinations under the purchase method of accounting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purchase method of accounting requires that the consideration transferred to be allocated to net assets including separately identifiable assets and liabilities we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income (loss). We adopted Accounting Standards Update (“ASU”) No. 2017-01, Business Combinations (Topic 802): Clarifying the Definition of a Business, in determining whether it has acquired a business from July 1, 2019 on a prospective basis and there was no material impact on the consolidated financial statements.</w:t>
      </w:r>
    </w:p>
    <w:p>
      <w:pPr>
        <w:spacing w:after="0" w:line="1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We determine discount rates to be used based on the risk inherent in the acquiree’s current business model and industry comparisons. Terminal values are based on the expected life of assets and forecasted cash flows over that period. Acquisition-related costs are recognized as general and administrative expenses in the consolidated statements of comprehensive income (loss) as incurred. Although we believe that the assumptions applied in the determination are reasonable based on information available at the date of acquisition, actual results may differ from forecasted amounts and the differences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we believe impairment indicators are present. We had only one reporting unit (that also represented our single operating segment) as of June 30, 2021 and 2020. Goodwill was allocated 100% to the single reporting unit as of June 30, 2021 and 2020. We have the option to assess qualitative factors first to determine whether it is necessary to perform the two-step test in accordance with ASC 350-20, Intangibles - Goodwill and Other. If we believe,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we consider primary factors such as industry and market considerations, overall financial performance of the reporting unit, and other specific information related to the operations.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we are not required to perform further testing. If the carrying value of the reporting unit exceeds the fair value of the reporting unit, then we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 was provided for the years ended June 30, 2021,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review our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When these events occur, we assess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we would recognize an impairment loss based on the excess of the carrying value over the fair value of the assets and record the impairment in earnings.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 was provided for the years ended June 30, 2021, 2020 and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65"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account for uncertainties in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(loss) in the period incurred. No significant penalties or interest relating to income taxes have been incurred during the years ended June 30, 2021, 2020 and 2019. All of the tax returns of our subsidiaries in China remain subject to examination by the tax authorities for five years from the date of filing through year 2025, and the examination period was extended to 10 years for entities qualified as High and New Technology Enterprises (“HNTEs”) in 2018 and thereafter.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Equity-classified warrants are initially measured at the grant date fair value. Subsequent changes in fair value are not recognized as long as the contract continues to be classified in equity. We,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account for share-based payment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Share awards issued to employees and directors, including employee stock option plans (“ESOPs”) and restricted share units (“RSUs”) are measured at fair value at the grant date. We, with the assistance of an independent third-party valuation firm, determined the fair value of the share options granted to employees. We use the binomial lattice model to estimate the fair value of ESOPs, and uses the closing stock price at the grant date to measure the fair value of RSUs. We recognize compensation expenses, net of forfeitures, using the accelerated method over the requisite service periods.</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We use historical data to estimate pre-vesting ESOPs and RSUs’ forfeitures and records share-based compensation expense only for those awards that are expected to vest.</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change in any of the terms or conditions of share-based payment awards is accounted for as a modification of awards. We measure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we recognize incremental compensation cost in the period the modification occurred. For unvested awards, we recognize, over the remaining requisite service period, the sum of the incremental compensation cost and the remaining unrecognized compensation cost for the original award on the modification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We have adopted the extended transition period.</w:t>
      </w:r>
    </w:p>
    <w:p>
      <w:pPr>
        <w:spacing w:after="0" w:line="165"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For detailed discussion on recent accounting pronouncements, please see Note 2 to our consolidated financial statements included elsewhere in this annual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6" w:name="page87"/>
    <w:bookmarkEnd w:id="86"/>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executive officers and directors, their ages and the positions held by them, as of the date of this Annual Report: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65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Yang</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Li Li</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Jin He Shao</w:t>
            </w:r>
            <w:r>
              <w:rPr>
                <w:rFonts w:ascii="Arial" w:cs="Arial" w:eastAsia="Arial" w:hAnsi="Arial"/>
                <w:sz w:val="29"/>
                <w:szCs w:val="29"/>
                <w:color w:val="auto"/>
                <w:vertAlign w:val="superscript"/>
              </w:rPr>
              <w:t>(1)(4)</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22"/>
                <w:szCs w:val="22"/>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Zhao Hui Feng</w:t>
            </w:r>
            <w:r>
              <w:rPr>
                <w:rFonts w:ascii="Arial" w:cs="Arial" w:eastAsia="Arial" w:hAnsi="Arial"/>
                <w:sz w:val="29"/>
                <w:szCs w:val="29"/>
                <w:color w:val="auto"/>
                <w:vertAlign w:val="superscript"/>
              </w:rPr>
              <w:t>(3)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2"/>
                <w:szCs w:val="22"/>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Kee Chong Seng</w:t>
            </w:r>
            <w:r>
              <w:rPr>
                <w:rFonts w:ascii="Arial" w:cs="Arial" w:eastAsia="Arial" w:hAnsi="Arial"/>
                <w:sz w:val="29"/>
                <w:szCs w:val="29"/>
                <w:color w:val="auto"/>
                <w:vertAlign w:val="superscript"/>
              </w:rPr>
              <w:t>(2)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22"/>
                <w:szCs w:val="22"/>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Xiao Feng Yang </w:t>
      </w:r>
      <w:r>
        <w:rPr>
          <w:rFonts w:ascii="Arial" w:cs="Arial" w:eastAsia="Arial" w:hAnsi="Arial"/>
          <w:sz w:val="17"/>
          <w:szCs w:val="17"/>
          <w:color w:val="auto"/>
        </w:rPr>
        <w:t>is the chairman of the board of the Company. Mr. Yang has over 20 years of executive management and operational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Raymond Ming Hui Lin</w:t>
      </w:r>
      <w:r>
        <w:rPr>
          <w:rFonts w:ascii="Arial" w:cs="Arial" w:eastAsia="Arial" w:hAnsi="Arial"/>
          <w:sz w:val="18"/>
          <w:szCs w:val="18"/>
          <w:color w:val="auto"/>
        </w:rPr>
        <w:t>, is the chief executive officer and director of the Company. Mr. Lin joined CLPS in February 2009 as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8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Rui Yang </w:t>
      </w:r>
      <w:r>
        <w:rPr>
          <w:rFonts w:ascii="Arial" w:cs="Arial" w:eastAsia="Arial" w:hAnsi="Arial"/>
          <w:sz w:val="16"/>
          <w:szCs w:val="16"/>
          <w:color w:val="auto"/>
        </w:rPr>
        <w:t>is the chief financial officer of the Company effective as of December 17, 2020. From November 1, 2019 to December 16, 2020, Ms.</w:t>
      </w:r>
      <w:r>
        <w:rPr>
          <w:rFonts w:ascii="Arial" w:cs="Arial" w:eastAsia="Arial" w:hAnsi="Arial"/>
          <w:sz w:val="16"/>
          <w:szCs w:val="16"/>
          <w:b w:val="1"/>
          <w:bCs w:val="1"/>
          <w:color w:val="auto"/>
        </w:rPr>
        <w:t xml:space="preserve"> </w:t>
      </w:r>
      <w:r>
        <w:rPr>
          <w:rFonts w:ascii="Arial" w:cs="Arial" w:eastAsia="Arial" w:hAnsi="Arial"/>
          <w:sz w:val="16"/>
          <w:szCs w:val="16"/>
          <w:color w:val="auto"/>
        </w:rPr>
        <w:t>Yang served as the Acting Chief Financial Officer of the Company.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Li Li </w:t>
      </w:r>
      <w:r>
        <w:rPr>
          <w:rFonts w:ascii="Arial" w:cs="Arial" w:eastAsia="Arial" w:hAnsi="Arial"/>
          <w:sz w:val="17"/>
          <w:szCs w:val="17"/>
          <w:color w:val="auto"/>
        </w:rPr>
        <w:t>is the chief operating officer of the Company. Mr. Li was appointed as the COO in June 2019. Mr. Li has 20 years of professional and IT</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financial and IT industry. From June 2017 to June 2019, Mr. Li served as Director, Head of Business Analysis &amp; Quality Engineering at a major credit card payment processing company in China. From July 2013 to June 2017, Mr. Li served as Executive Manager, Head of Business Solution and Quality Assurance at Commonwealth Bank of Australia China. Mr. Li graduated from Tianjin University, Tianjin China, with a Bachelor’s degree in Computer Science. Mr. Li holds MSE degree from Fu Dan University, Shanghai China.</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Jin He Shao </w:t>
      </w:r>
      <w:r>
        <w:rPr>
          <w:rFonts w:ascii="Arial" w:cs="Arial" w:eastAsia="Arial" w:hAnsi="Arial"/>
          <w:sz w:val="18"/>
          <w:szCs w:val="18"/>
          <w:color w:val="auto"/>
        </w:rPr>
        <w:t>is an independent director of the Company. From January 2002 to present, Mr. Shao has been a partner at Shanghai Huajin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Zhao Hui Feng </w:t>
      </w:r>
      <w:r>
        <w:rPr>
          <w:rFonts w:ascii="Arial" w:cs="Arial" w:eastAsia="Arial" w:hAnsi="Arial"/>
          <w:sz w:val="17"/>
          <w:szCs w:val="17"/>
          <w:color w:val="auto"/>
        </w:rPr>
        <w:t>is an independent director of the Company. From March 2017 to present, Mr. Feng has been the general manager at Dalian Wanda</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Kee Chong Seng </w:t>
      </w:r>
      <w:r>
        <w:rPr>
          <w:rFonts w:ascii="Arial" w:cs="Arial" w:eastAsia="Arial" w:hAnsi="Arial"/>
          <w:sz w:val="18"/>
          <w:szCs w:val="18"/>
          <w:color w:val="auto"/>
        </w:rPr>
        <w:t>is an independent director of the Company. Mr. Kee spent a career in the information technology industry, most recently as 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manager at Citibank from 2003 until his full retirement in 2015.</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Liability and Other Indemnification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ind w:left="660"/>
              <w:spacing w:after="0"/>
              <w:rPr>
                <w:sz w:val="20"/>
                <w:szCs w:val="20"/>
                <w:color w:val="auto"/>
              </w:rPr>
            </w:pPr>
            <w:r>
              <w:rPr>
                <w:rFonts w:ascii="Arial" w:cs="Arial" w:eastAsia="Arial" w:hAnsi="Arial"/>
                <w:sz w:val="18"/>
                <w:szCs w:val="18"/>
                <w:b w:val="1"/>
                <w:bCs w:val="1"/>
                <w:color w:val="auto"/>
              </w:rPr>
              <w:t>B.</w:t>
            </w:r>
          </w:p>
        </w:tc>
        <w:tc>
          <w:tcPr>
            <w:tcW w:w="310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ind w:left="160"/>
              <w:spacing w:after="0"/>
              <w:rPr>
                <w:sz w:val="20"/>
                <w:szCs w:val="20"/>
                <w:color w:val="auto"/>
              </w:rPr>
            </w:pPr>
            <w:r>
              <w:rPr>
                <w:rFonts w:ascii="Arial" w:cs="Arial" w:eastAsia="Arial" w:hAnsi="Arial"/>
                <w:sz w:val="18"/>
                <w:szCs w:val="18"/>
                <w:b w:val="1"/>
                <w:bCs w:val="1"/>
                <w:color w:val="auto"/>
                <w:w w:val="92"/>
              </w:rPr>
              <w:t>Executive Compensation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0" w:type="dxa"/>
            <w:vAlign w:val="bottom"/>
            <w:gridSpan w:val="15"/>
          </w:tcPr>
          <w:p>
            <w:pPr>
              <w:ind w:left="660"/>
              <w:spacing w:after="0"/>
              <w:rPr>
                <w:sz w:val="20"/>
                <w:szCs w:val="20"/>
                <w:color w:val="auto"/>
              </w:rPr>
            </w:pPr>
            <w:r>
              <w:rPr>
                <w:rFonts w:ascii="Arial" w:cs="Arial" w:eastAsia="Arial" w:hAnsi="Arial"/>
                <w:sz w:val="18"/>
                <w:szCs w:val="18"/>
                <w:color w:val="auto"/>
                <w:w w:val="99"/>
              </w:rPr>
              <w:t>The following table shows the annual compensation paid by us for the years ended June 30, 2021, 2020, and 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Salary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Compensation</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Total Paid</w:t>
            </w:r>
          </w:p>
        </w:tc>
        <w:tc>
          <w:tcPr>
            <w:tcW w:w="100" w:type="dxa"/>
            <w:vAlign w:val="bottom"/>
            <w:tcBorders>
              <w:bottom w:val="single" w:sz="8" w:color="CCEEFF"/>
            </w:tcBorders>
          </w:tcPr>
          <w:p>
            <w:pPr>
              <w:spacing w:after="0"/>
              <w:rPr>
                <w:sz w:val="20"/>
                <w:szCs w:val="20"/>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Xiao Feng Yang, Chairman of the Board</w:t>
            </w:r>
            <w:r>
              <w:rPr>
                <w:rFonts w:ascii="Arial" w:cs="Arial" w:eastAsia="Arial" w:hAnsi="Arial"/>
                <w:sz w:val="29"/>
                <w:szCs w:val="29"/>
                <w:color w:val="auto"/>
                <w:vertAlign w:val="superscript"/>
              </w:rPr>
              <w:t>(1)</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99,445</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112,762</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102,827</w:t>
            </w:r>
          </w:p>
        </w:tc>
      </w:tr>
      <w:tr>
        <w:trPr>
          <w:trHeight w:val="216"/>
        </w:trPr>
        <w:tc>
          <w:tcPr>
            <w:tcW w:w="440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Raymond Ming Hui Lin, CEO and Director</w:t>
            </w:r>
            <w:r>
              <w:rPr>
                <w:rFonts w:ascii="Arial" w:cs="Arial" w:eastAsia="Arial" w:hAnsi="Arial"/>
                <w:sz w:val="29"/>
                <w:szCs w:val="29"/>
                <w:color w:val="auto"/>
                <w:vertAlign w:val="superscript"/>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192,747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192,747</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112,449</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104,718</w:t>
            </w:r>
          </w:p>
        </w:tc>
      </w:tr>
      <w:tr>
        <w:trPr>
          <w:trHeight w:val="216"/>
        </w:trPr>
        <w:tc>
          <w:tcPr>
            <w:tcW w:w="1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1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87"/>
              </w:rPr>
              <w:t>Rui Yang, CFO</w:t>
            </w:r>
            <w:r>
              <w:rPr>
                <w:rFonts w:ascii="Arial" w:cs="Arial" w:eastAsia="Arial" w:hAnsi="Arial"/>
                <w:sz w:val="29"/>
                <w:szCs w:val="29"/>
                <w:color w:val="auto"/>
                <w:w w:val="87"/>
                <w:vertAlign w:val="superscript"/>
              </w:rPr>
              <w:t>(3)</w:t>
            </w:r>
          </w:p>
        </w:tc>
        <w:tc>
          <w:tcPr>
            <w:tcW w:w="3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75,742</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64,839</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Li Li, Chief Operating Officer</w:t>
            </w:r>
            <w:r>
              <w:rPr>
                <w:rFonts w:ascii="Arial" w:cs="Arial" w:eastAsia="Arial" w:hAnsi="Arial"/>
                <w:sz w:val="29"/>
                <w:szCs w:val="29"/>
                <w:color w:val="auto"/>
                <w:vertAlign w:val="superscript"/>
              </w:rPr>
              <w:t>(4)</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183,202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183,202</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150,594</w:t>
            </w:r>
          </w:p>
        </w:tc>
      </w:tr>
      <w:tr>
        <w:trPr>
          <w:trHeight w:val="216"/>
        </w:trPr>
        <w:tc>
          <w:tcPr>
            <w:tcW w:w="1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Chairman effective as of December 9, 2017 and President effective from December 9, 2017 to August 19,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17, 2020 and Acting Chief Financial Officer effective from November 1, 2019 to December 16, 2020.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Appointed Chief Operating Officer effective as of June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jc w:val="both"/>
        <w:ind w:firstLine="648"/>
        <w:spacing w:after="0" w:line="257"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Incentive Awards at Fiscal Year-End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2017 Equity Incentive Plan (the “2017 Plan”). The 2017 Plan is a stock-based compensation plan that provides for discretionary grants of, among others, stock options, stock awards and stock unit awards to key employees and directors of the Company. The purpose of the 2017 Plan is to recognize contributions made to our company and its subsidiaries by such individuals and to provide them with additional incentive to achieve the objectives of our Company. The Company granted an aggregate of 671,469 restricted shares (“RSUs”) to key employees and directors under the 2017 Plan on July 12, 2018. No grants were made in fiscal 2018. The following is a summary of the 2017 Plan and is qualified by the full text of the 2017 Plan.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2017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2017 Plan as the “Committee”).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2017 Plan is 2,210,000.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2017 Plan may be authorized but unissued shares or treasury shares. If there is a lapse, forfeiture, expiration, termination or cancellation of any award made under the 2017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2017 Plan. The number of common shares issuable under the 2017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2017 Plan may be transferred, except by will, the laws of descent and distribution.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2017 Plan.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2017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2017 Plan.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 options to participants and to set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2017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Amendment of Award Agreements; Amendment and Termination of the Plan; Term of the Plan</w:t>
      </w:r>
      <w:r>
        <w:rPr>
          <w:rFonts w:ascii="Arial" w:cs="Arial" w:eastAsia="Arial" w:hAnsi="Arial"/>
          <w:sz w:val="17"/>
          <w:szCs w:val="17"/>
          <w:color w:val="auto"/>
        </w:rPr>
        <w:t>. The Committee may amend any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2017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2017 Plan on or after the tenth anniversary of the effective date of the 2017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0" w:name="page91"/>
    <w:bookmarkEnd w:id="90"/>
    <w:p>
      <w:pPr>
        <w:jc w:val="both"/>
        <w:ind w:firstLine="648"/>
        <w:spacing w:after="0" w:line="291" w:lineRule="auto"/>
        <w:rPr>
          <w:sz w:val="20"/>
          <w:szCs w:val="20"/>
          <w:color w:val="auto"/>
        </w:rPr>
      </w:pPr>
      <w:r>
        <w:rPr>
          <w:rFonts w:ascii="Arial" w:cs="Arial" w:eastAsia="Arial" w:hAnsi="Arial"/>
          <w:sz w:val="16"/>
          <w:szCs w:val="16"/>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Our 2017 Plan was automatically terminated upon the 2020 Plan’s taking effect.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2019 Equity Incentive Plan (the “2019 Plan”). The 2019 Plan is a stock-based compensation plan that provides for discretionary grants of, among others, stock options, stock awards and stock unit awards to key employees and directors of the Company. The purpose of the 2019 Plan is to recognize contributions made to our company and its subsidiaries by such individuals and to provide them with additional incentive to achieve the objectives of our Company. The Company has granted no shares under the 2019 Plan yet. The following is a summary of the 2019 Plan and is qualified by the full text of the 2019 Plan.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2019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Plan as the “Committee”).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2019 Plan is 2,200,000.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2019 Plan may be authorized but unissued shares or treasury shares. If there is a lapse, forfeiture, expiration, termination or cancellation of any award made under the 2019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2019 Plan. No award granted under the 2019 Plan may be transferred, except by will, the laws of descent and distribution.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Selected employees, directors, and consultants of the Company are eligible to receive awards under the 2019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2019 Plan provides for discretionary awards of, among others, stock options, stock awards, stock unit awards, or SAR</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Each award made under the 2019 Plan will be evidenced by a written award agreement specifying the terms and conditions of the award as determined by the Committee in its sole discretion, consistent with the terms of the 2019 Plan.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 options to participants and to set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200,000, except that the aggregate maximum number of shares as to which a Key Employee may receive Stock Options and Stock Appreciation Rights in the calendar year in which such Key Employee begins employment with the Company or its Subsidiaries is 350,000.</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The Committee has the discretion to grant stock awards to participants. Shares granted under the 2019 Plan will be effective upon</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1" w:name="page92"/>
    <w:bookmarkEnd w:id="91"/>
    <w:p>
      <w:pPr>
        <w:jc w:val="both"/>
        <w:ind w:firstLine="648"/>
        <w:spacing w:after="0" w:line="273" w:lineRule="auto"/>
        <w:rPr>
          <w:sz w:val="20"/>
          <w:szCs w:val="20"/>
          <w:color w:val="auto"/>
        </w:rPr>
      </w:pPr>
      <w:r>
        <w:rPr>
          <w:rFonts w:ascii="Arial" w:cs="Arial" w:eastAsia="Arial" w:hAnsi="Arial"/>
          <w:sz w:val="17"/>
          <w:szCs w:val="17"/>
          <w:i w:val="1"/>
          <w:iCs w:val="1"/>
          <w:color w:val="auto"/>
        </w:rPr>
        <w:t>Stock Unit Awards</w:t>
      </w:r>
      <w:r>
        <w:rPr>
          <w:rFonts w:ascii="Arial" w:cs="Arial" w:eastAsia="Arial" w:hAnsi="Arial"/>
          <w:sz w:val="17"/>
          <w:szCs w:val="17"/>
          <w:color w:val="auto"/>
        </w:rPr>
        <w:t>. The Committee has the discretion to grant stock unit awards to participants. Each stock unit award shall entitle the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on the date or the occurrence of an event (including the attainment of performance goals), a share or cash equal to the fair market value of a share on the date of such event as provided in the stock unit award agreement. The number of share unit awards awarded to each participant, and the restrictions, terms and conditions of the award, will be at the discretion of the Committee.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Committee may grant SARs to participants. Upon exercise, an SAR entitles the participant to receive from the Company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Amendment of Award Agreements; Amendment and Termination of the Plan; Term of the Plan</w:t>
      </w:r>
      <w:r>
        <w:rPr>
          <w:rFonts w:ascii="Arial" w:cs="Arial" w:eastAsia="Arial" w:hAnsi="Arial"/>
          <w:sz w:val="16"/>
          <w:szCs w:val="16"/>
          <w:color w:val="auto"/>
        </w:rPr>
        <w:t>. The Committee may amend any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2019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2019 Plan on or after the tenth anniversary of the effective date of the 2019 Plan. Our 2019 Plan was automatically terminated upon the 2020 Plan’s taking effect.</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1,119,750 restricted shares have been granted under the 2020 Plan as of today.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2" w:name="page93"/>
    <w:bookmarkEnd w:id="92"/>
    <w:p>
      <w:pPr>
        <w:jc w:val="both"/>
        <w:ind w:firstLine="648"/>
        <w:spacing w:after="0" w:line="259" w:lineRule="auto"/>
        <w:rPr>
          <w:sz w:val="20"/>
          <w:szCs w:val="20"/>
          <w:color w:val="auto"/>
        </w:rPr>
      </w:pPr>
      <w:r>
        <w:rPr>
          <w:rFonts w:ascii="Arial" w:cs="Arial" w:eastAsia="Arial" w:hAnsi="Arial"/>
          <w:sz w:val="18"/>
          <w:szCs w:val="18"/>
          <w:color w:val="auto"/>
        </w:rPr>
        <w:t>The 2020 Plan is a stock-based compensation plan that provides for discretionary grants of, among others, stock options, stock awards and stock unit awards to employees, directors and consultants of the Company. The purpose of the 2020 Plan is to recognize contributions made to our company and its subsidiaries by such individuals and to provide them with additional incentive to achieve the objectives of our Company. The following is a summary of the 2020 Plan and is qualified by the full text of the 2020 Plan.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2020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2020 Plan as the “Committee”).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Number of Shares of Common Shares. </w:t>
      </w:r>
      <w:r>
        <w:rPr>
          <w:rFonts w:ascii="Arial" w:cs="Arial" w:eastAsia="Arial" w:hAnsi="Arial"/>
          <w:sz w:val="16"/>
          <w:szCs w:val="16"/>
          <w:color w:val="auto"/>
        </w:rPr>
        <w:t>The number of common shares that may be issued under the 2020 Plan is 11,011,663.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2020 Plan may be authorized but unissued shares or treasury shares. If there is a lapse, forfeiture, expiration, termination or cancellation of any award made under the 2020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2020 Plan. The number of common shares issuable under the 2020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2020 Plan. No award granted under the 2020 Plan may be transferred, except by will, the laws of descent and distribution.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employees, directors, and consultants of the Company are eligible to receive awards under the 2020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Awards to Participants. </w:t>
      </w:r>
      <w:r>
        <w:rPr>
          <w:rFonts w:ascii="Arial" w:cs="Arial" w:eastAsia="Arial" w:hAnsi="Arial"/>
          <w:sz w:val="17"/>
          <w:szCs w:val="17"/>
          <w:color w:val="auto"/>
        </w:rPr>
        <w:t>The Plan provides for discretionary awards of, among others, stock options, stock awards, stock unit awards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to participants. Each award made under the 2020 Plan will be evidenced by a written award agreement specifying the terms and conditions of the award as determined by the Committee in its sole discretion, consistent with the terms of the 2020 Plan.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an Employee may receive Stock Options and Stock Appreciation Rights in any calendar year is 800,000, except that the aggregate maximum number of shares as to which an Employee may receive Stock Options and Stock Appreciation Rights in the calendar year in which such Employee begins employment with the Company or its Subsidiaries is 1,000,000.</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Committee has the discretion to grant stock awards to participants. Shares granted under the 2020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800,000 or, in the event the award is settled in cash, an amount equal to the fair market value of such number of shares on the date on which the award is settled.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3" w:name="page94"/>
    <w:bookmarkEnd w:id="93"/>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Stock Unit Awards. </w:t>
      </w:r>
      <w:r>
        <w:rPr>
          <w:rFonts w:ascii="Arial" w:cs="Arial" w:eastAsia="Arial" w:hAnsi="Arial"/>
          <w:sz w:val="16"/>
          <w:szCs w:val="16"/>
          <w:color w:val="auto"/>
        </w:rPr>
        <w:t>The Committee may, in its discretion, grant stock unit awards to any participant. Each stock unit subject to the Award shall</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Stock Appreciation Rights or SAR. </w:t>
      </w:r>
      <w:r>
        <w:rPr>
          <w:rFonts w:ascii="Arial" w:cs="Arial" w:eastAsia="Arial" w:hAnsi="Arial"/>
          <w:sz w:val="16"/>
          <w:szCs w:val="16"/>
          <w:color w:val="auto"/>
        </w:rPr>
        <w:t>The Committee may grant SARs to participants. Upon exercise, an SAR entitles the participant to receive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Payment for Stock Options and Withholding Taxes. </w:t>
      </w:r>
      <w:r>
        <w:rPr>
          <w:rFonts w:ascii="Arial" w:cs="Arial" w:eastAsia="Arial" w:hAnsi="Arial"/>
          <w:sz w:val="17"/>
          <w:szCs w:val="17"/>
          <w:color w:val="auto"/>
        </w:rPr>
        <w:t>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Amendment of Award Agreements; Amendment and Termination of the 2020 Plan; Term of the 2020 Plan. </w:t>
      </w:r>
      <w:r>
        <w:rPr>
          <w:rFonts w:ascii="Arial" w:cs="Arial" w:eastAsia="Arial" w:hAnsi="Arial"/>
          <w:sz w:val="17"/>
          <w:szCs w:val="17"/>
          <w:color w:val="auto"/>
        </w:rPr>
        <w:t>The Committee may amend any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2020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2020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2020 Plan on or after the tenth anniversary of the effective date of the 2020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i w:val="1"/>
          <w:iCs w:val="1"/>
          <w:color w:val="auto"/>
        </w:rPr>
        <w:t>Rui Yang 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 Li Employment Agreement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June 2019, we entered into an employment agreement with Li Li pursuant to which he agreed to serve as our Chief Operating Officer. The agreement provides an annual salary of RMB 360,000 and HK$273,600 (approximately US$85,200) and 12,000 shares of common stock to be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164"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 However, notwithstanding the foregoing, we intend to hold such annual meetings to, among other things, elect our directors. We plan to hold our next annual shareholders meeting on the first quarter of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6" w:name="page97"/>
    <w:bookmarkEnd w:id="96"/>
    <w:p>
      <w:pPr>
        <w:jc w:val="both"/>
        <w:ind w:firstLine="648"/>
        <w:spacing w:after="0" w:line="311"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Zhao Hui Feng, Jin He Shao, and Kee Chong Seng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consists of Zhao Hui Feng, Jin He Shao, and Kee Chong Seng,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Compensation Committee consists of Zhao Hui Feng, Jin He Shao, and Kee Chong Seng,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Nominating Committee consists of consists of Zhao Hui Feng, Jin He Shao, and Kee Chong Seng, with Mr. Feng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8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authorizing the payment of donations to religious, charitable, public or other bodies, clubs, funds or associations as deemed advisable;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 below.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54" w:gutter="0" w:footer="0" w:header="0"/>
        </w:sectPr>
      </w:pPr>
    </w:p>
    <w:bookmarkStart w:id="99" w:name="page100"/>
    <w:bookmarkEnd w:id="99"/>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20,400,820 common shares outstanding as of September 24, 2021. Unless otherwise indicated, the address of each beneficial owner listed in the table below is c/o CLPS Incorporation, c/o Unit 1102, 11th Floor, Millennium City III, 370 Kwun Tong Road, Kwun Tong, Kowloon, Hong Kong SAR.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Ownership%</w:t>
            </w:r>
          </w:p>
        </w:tc>
      </w:tr>
      <w:tr>
        <w:trPr>
          <w:trHeight w:val="24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r>
      <w:tr>
        <w:trPr>
          <w:trHeight w:val="216"/>
        </w:trPr>
        <w:tc>
          <w:tcPr>
            <w:tcW w:w="8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5,493,773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26.93%</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Raymond Ming Hui Lin (3)(6)(7)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6,034,084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29.58%</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Yang (4)(6)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126,568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Li Li(6)(8)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235,809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 He Shao (5)(7)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Kee Chong Seng</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Zhao Hui Feng</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11,906,234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Qinrui Ltd. (2)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4,976,000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Qinhui Ltd. (3)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4,999,996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24.51%</w:t>
            </w: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9,975,996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48.90%</w:t>
            </w:r>
          </w:p>
        </w:tc>
      </w:tr>
      <w:tr>
        <w:trPr>
          <w:trHeight w:val="333"/>
        </w:trPr>
        <w:tc>
          <w:tcPr>
            <w:tcW w:w="86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21"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both"/>
        <w:ind w:left="340" w:hanging="332"/>
        <w:spacing w:after="0" w:line="269"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50,000 common shares and vest immediately on the grant date of award.</w:t>
      </w:r>
    </w:p>
    <w:p>
      <w:pPr>
        <w:spacing w:after="0" w:line="185"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w:t>
      </w:r>
    </w:p>
    <w:p>
      <w:pPr>
        <w:spacing w:after="0" w:line="185"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17,793 shares, which she purchased prior to the Company’s IPO, and the vested portion of the restricted stock granted dated as of May 6, 2020. The total grant of 50,000 common shares vests in whole immediately on the grant date of award. Represents vested portion of the restricted stock granted dated as of June, 24, 2020. The total grant of 12,000 common shares vested in whole on November 1, 2020. Represents vested portion of the restricted stock granted dated as of November 6, 2020. The total grant of 50,000 common shares and 30% vests immediately on the grant date of award, the rest 70% vests on May 6, 2021. Represents vested portion of the restricted stock granted dated as of May 7, 2021. The total grant of 20,000 common shares vests in whole immediately on the grant date of award.</w:t>
      </w:r>
    </w:p>
    <w:p>
      <w:pPr>
        <w:spacing w:after="0" w:line="177"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spacing w:after="0" w:line="65" w:lineRule="exact"/>
        <w:rPr>
          <w:rFonts w:ascii="Arial" w:cs="Arial" w:eastAsia="Arial" w:hAnsi="Arial"/>
          <w:sz w:val="17"/>
          <w:szCs w:val="17"/>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w:t>
      </w:r>
    </w:p>
    <w:p>
      <w:pPr>
        <w:spacing w:after="0" w:line="144"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total grant of 12,000 common shares vests in one year after the date of award. Represents vested portion of the restricted stock granted dated as of May 6, 2020. The total grant of 100,000 common shares vests in whole immediately on the grant date of award. Represents vested portion of the restricted stock granted dated as of June, 24, 2020. The total grant of 12,000 common shares vested in whole on June 11, 2021.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20,000 common shares vests in whole immediately on the grant date of award.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1" w:name="page102"/>
    <w:bookmarkEnd w:id="101"/>
    <w:p>
      <w:pPr>
        <w:jc w:val="both"/>
        <w:ind w:firstLine="648"/>
        <w:spacing w:after="0" w:line="296" w:lineRule="auto"/>
        <w:rPr>
          <w:sz w:val="20"/>
          <w:szCs w:val="20"/>
          <w:color w:val="auto"/>
        </w:rPr>
      </w:pPr>
      <w:r>
        <w:rPr>
          <w:rFonts w:ascii="Arial" w:cs="Arial" w:eastAsia="Arial" w:hAnsi="Arial"/>
          <w:sz w:val="16"/>
          <w:szCs w:val="16"/>
          <w:color w:val="auto"/>
        </w:rPr>
        <w:t>As of September 24, 2021, there were 12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157"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description of transactions since July 1, 2019,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8180" w:type="dxa"/>
            <w:vAlign w:val="bottom"/>
          </w:tcPr>
          <w:p>
            <w:pPr>
              <w:ind w:left="140"/>
              <w:spacing w:after="0"/>
              <w:rPr>
                <w:sz w:val="20"/>
                <w:szCs w:val="20"/>
                <w:color w:val="auto"/>
              </w:rPr>
            </w:pPr>
            <w:r>
              <w:rPr>
                <w:rFonts w:ascii="Arial" w:cs="Arial" w:eastAsia="Arial" w:hAnsi="Arial"/>
                <w:sz w:val="18"/>
                <w:szCs w:val="18"/>
                <w:color w:val="auto"/>
              </w:rPr>
              <w:t>Related party balances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50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Mr. Raymond Ming Hui Lin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169,185</w:t>
            </w: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Noncontrolling interest shareholder of JAJI China- Beijing Bright Technology Co., Ltd (“Beijing Bright”)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300"/>
              <w:spacing w:after="0" w:line="203" w:lineRule="exact"/>
              <w:rPr>
                <w:sz w:val="20"/>
                <w:szCs w:val="20"/>
                <w:color w:val="auto"/>
              </w:rPr>
            </w:pPr>
            <w:r>
              <w:rPr>
                <w:rFonts w:ascii="Arial" w:cs="Arial" w:eastAsia="Arial" w:hAnsi="Arial"/>
                <w:sz w:val="18"/>
                <w:szCs w:val="18"/>
                <w:color w:val="auto"/>
                <w:w w:val="86"/>
              </w:rPr>
              <w:t>393,761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investee of the Company-EMIT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152,367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81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300"/>
              <w:spacing w:after="0" w:line="203" w:lineRule="exact"/>
              <w:rPr>
                <w:sz w:val="20"/>
                <w:szCs w:val="20"/>
                <w:color w:val="auto"/>
              </w:rPr>
            </w:pPr>
            <w:r>
              <w:rPr>
                <w:rFonts w:ascii="Arial" w:cs="Arial" w:eastAsia="Arial" w:hAnsi="Arial"/>
                <w:sz w:val="18"/>
                <w:szCs w:val="18"/>
                <w:color w:val="auto"/>
                <w:w w:val="86"/>
              </w:rPr>
              <w:t>546,128</w:t>
            </w:r>
          </w:p>
        </w:tc>
        <w:tc>
          <w:tcPr>
            <w:tcW w:w="2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169,185</w:t>
            </w:r>
          </w:p>
        </w:tc>
        <w:tc>
          <w:tcPr>
            <w:tcW w:w="100" w:type="dxa"/>
            <w:vAlign w:val="bottom"/>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Equity investee of the Company-EMIT</w:t>
            </w:r>
          </w:p>
        </w:tc>
        <w:tc>
          <w:tcPr>
            <w:tcW w:w="24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183,148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183,148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from related parties mainly represents, advances to the Company’s CEO and prepaid expenses to the noncontrolling interest shareholder of JAJI China.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related parties mainly represents subcontracting cost to be paid to the equity investee-EMIT and expenses paid by the Company’s CEO on behalf of the Company.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2" w:name="page103"/>
    <w:bookmarkEnd w:id="102"/>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2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wp:posOffset>
            </wp:positionV>
            <wp:extent cx="23660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66010" cy="17145"/>
                    </a:xfrm>
                    <a:prstGeom prst="rect">
                      <a:avLst/>
                    </a:prstGeom>
                    <a:noFill/>
                  </pic:spPr>
                </pic:pic>
              </a:graphicData>
            </a:graphic>
          </wp:anchor>
        </w:drawing>
      </w:r>
    </w:p>
    <w:p>
      <w:pPr>
        <w:spacing w:after="0" w:line="16" w:lineRule="exact"/>
        <w:rPr>
          <w:sz w:val="20"/>
          <w:szCs w:val="20"/>
          <w:color w:val="auto"/>
        </w:rPr>
      </w:pPr>
    </w:p>
    <w:p>
      <w:pPr>
        <w:ind w:left="7800"/>
        <w:spacing w:after="0"/>
        <w:tabs>
          <w:tab w:leader="none" w:pos="9120" w:val="left"/>
          <w:tab w:leader="none" w:pos="103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wp:posOffset>
            </wp:positionV>
            <wp:extent cx="236601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66010" cy="17145"/>
                    </a:xfrm>
                    <a:prstGeom prst="rect">
                      <a:avLst/>
                    </a:prstGeom>
                    <a:noFill/>
                  </pic:spPr>
                </pic:pic>
              </a:graphicData>
            </a:graphic>
          </wp:anchor>
        </w:drawing>
      </w:r>
    </w:p>
    <w:p>
      <w:pPr>
        <w:spacing w:after="0" w:line="16"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 provided to the related parties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CareerWin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165,161</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tcPr>
          <w:p>
            <w:pPr>
              <w:ind w:left="560"/>
              <w:spacing w:after="0"/>
              <w:rPr>
                <w:sz w:val="20"/>
                <w:szCs w:val="20"/>
                <w:color w:val="auto"/>
              </w:rPr>
            </w:pPr>
            <w:r>
              <w:rPr>
                <w:rFonts w:ascii="Arial" w:cs="Arial" w:eastAsia="Arial" w:hAnsi="Arial"/>
                <w:sz w:val="18"/>
                <w:szCs w:val="18"/>
                <w:color w:val="auto"/>
              </w:rPr>
              <w:t>CLPS Lihong</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269,472</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74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ind w:left="560" w:hanging="552"/>
        <w:spacing w:after="0"/>
        <w:tabs>
          <w:tab w:leader="none" w:pos="5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Services provided by the related parties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CareerWin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195,817</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00" w:type="dxa"/>
            <w:vAlign w:val="bottom"/>
          </w:tcPr>
          <w:p>
            <w:pPr>
              <w:ind w:left="560"/>
              <w:spacing w:after="0"/>
              <w:rPr>
                <w:sz w:val="20"/>
                <w:szCs w:val="20"/>
                <w:color w:val="auto"/>
              </w:rPr>
            </w:pPr>
            <w:r>
              <w:rPr>
                <w:rFonts w:ascii="Arial" w:cs="Arial" w:eastAsia="Arial" w:hAnsi="Arial"/>
                <w:sz w:val="18"/>
                <w:szCs w:val="18"/>
                <w:color w:val="auto"/>
              </w:rPr>
              <w:t>Beijing Bright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604,033</w:t>
            </w:r>
          </w:p>
        </w:tc>
        <w:tc>
          <w:tcPr>
            <w:tcW w:w="3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165,040</w:t>
            </w:r>
          </w:p>
        </w:tc>
        <w:tc>
          <w:tcPr>
            <w:tcW w:w="60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7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EMIT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758,976</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209,318</w:t>
            </w:r>
          </w:p>
        </w:tc>
        <w:tc>
          <w:tcPr>
            <w:tcW w:w="6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740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1,363,009</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200"/>
              <w:spacing w:after="0" w:line="203" w:lineRule="exact"/>
              <w:rPr>
                <w:sz w:val="20"/>
                <w:szCs w:val="20"/>
                <w:color w:val="auto"/>
              </w:rPr>
            </w:pPr>
            <w:r>
              <w:rPr>
                <w:rFonts w:ascii="Arial" w:cs="Arial" w:eastAsia="Arial" w:hAnsi="Arial"/>
                <w:sz w:val="18"/>
                <w:szCs w:val="18"/>
                <w:color w:val="auto"/>
                <w:w w:val="86"/>
              </w:rPr>
              <w:t>570,175</w:t>
            </w: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560" w:hanging="552"/>
        <w:spacing w:after="0"/>
        <w:tabs>
          <w:tab w:leader="none" w:pos="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Loans provided to the related parties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ind w:left="560"/>
              <w:spacing w:after="0"/>
              <w:rPr>
                <w:sz w:val="20"/>
                <w:szCs w:val="20"/>
                <w:color w:val="auto"/>
              </w:rPr>
            </w:pPr>
            <w:r>
              <w:rPr>
                <w:rFonts w:ascii="Arial" w:cs="Arial" w:eastAsia="Arial" w:hAnsi="Arial"/>
                <w:sz w:val="18"/>
                <w:szCs w:val="18"/>
                <w:color w:val="auto"/>
              </w:rPr>
              <w:t>CLPS Lihong</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149,341</w:t>
            </w:r>
          </w:p>
        </w:tc>
        <w:tc>
          <w:tcPr>
            <w:tcW w:w="3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820,982</w:t>
            </w:r>
          </w:p>
        </w:tc>
        <w:tc>
          <w:tcPr>
            <w:tcW w:w="80" w:type="dxa"/>
            <w:vAlign w:val="bottom"/>
          </w:tcPr>
          <w:p>
            <w:pPr>
              <w:spacing w:after="0"/>
              <w:rPr>
                <w:sz w:val="18"/>
                <w:szCs w:val="18"/>
                <w:color w:val="auto"/>
              </w:rPr>
            </w:pPr>
          </w:p>
        </w:tc>
      </w:tr>
      <w:tr>
        <w:trPr>
          <w:trHeight w:val="236"/>
        </w:trPr>
        <w:tc>
          <w:tcPr>
            <w:tcW w:w="7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EMIT</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151,783</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28,446</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74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151,783</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177,787</w:t>
            </w: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820,982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7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560" w:hanging="552"/>
        <w:spacing w:after="0"/>
        <w:tabs>
          <w:tab w:leader="none" w:pos="5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loans from the related parties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CLPS Lihong</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149,341</w:t>
            </w:r>
          </w:p>
        </w:tc>
        <w:tc>
          <w:tcPr>
            <w:tcW w:w="34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820,982</w:t>
            </w:r>
          </w:p>
        </w:tc>
      </w:tr>
      <w:tr>
        <w:trPr>
          <w:trHeight w:val="236"/>
        </w:trPr>
        <w:tc>
          <w:tcPr>
            <w:tcW w:w="360" w:type="dxa"/>
            <w:vAlign w:val="bottom"/>
            <w:shd w:val="clear" w:color="auto" w:fill="CCEEFF"/>
          </w:tcPr>
          <w:p>
            <w:pPr>
              <w:spacing w:after="0"/>
              <w:rPr>
                <w:sz w:val="20"/>
                <w:szCs w:val="20"/>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EMIT</w:t>
            </w:r>
          </w:p>
        </w:tc>
        <w:tc>
          <w:tcPr>
            <w:tcW w:w="6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28,446</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6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177,787</w:t>
            </w: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820,982</w:t>
            </w:r>
          </w:p>
        </w:tc>
        <w:tc>
          <w:tcPr>
            <w:tcW w:w="100" w:type="dxa"/>
            <w:vAlign w:val="bottom"/>
            <w:tcBorders>
              <w:top w:val="single" w:sz="8" w:color="CCEEFF"/>
            </w:tcBorders>
          </w:tcPr>
          <w:p>
            <w:pPr>
              <w:spacing w:after="0"/>
              <w:rPr>
                <w:sz w:val="18"/>
                <w:szCs w:val="18"/>
                <w:color w:val="auto"/>
              </w:rPr>
            </w:pPr>
          </w:p>
        </w:tc>
      </w:tr>
      <w:tr>
        <w:trPr>
          <w:trHeight w:val="34"/>
        </w:trPr>
        <w:tc>
          <w:tcPr>
            <w:tcW w:w="3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 income received from the related party</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CLPS Lihong</w:t>
            </w:r>
          </w:p>
        </w:tc>
        <w:tc>
          <w:tcPr>
            <w:tcW w:w="6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2,328</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33,096</w:t>
            </w:r>
          </w:p>
        </w:tc>
      </w:tr>
      <w:tr>
        <w:trPr>
          <w:trHeight w:val="248"/>
        </w:trPr>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70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CEO, the wife of the CEO, Chairman, and the wife of Chairman of the Company provided joint guarantee to the revolving credit facility entered by the Company with China Merchants Bank on June 22, 2018 and December 17, 2019. The credit facility agreement was ended as of June 30, 2021.</w:t>
      </w:r>
    </w:p>
    <w:p>
      <w:pPr>
        <w:spacing w:after="0" w:line="1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Srustijeet Mishra, the noncontrolling interest shareholder of Ridik Pte. provided guarantee to a credit facility up to $86,071 (SGD 120,000) entered by the Company with Development Bank of Singapore on April 20, 2018. The credit facility agreement was ended as of June 30, 2021.</w:t>
      </w:r>
    </w:p>
    <w:p>
      <w:pPr>
        <w:spacing w:after="0" w:line="61"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 for our audited consolidated financial statements.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9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3" w:name="page104"/>
    <w:bookmarkEnd w:id="103"/>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for the calendar months indicated and through June 30, 2021, the monthly high and low sale prices for our shares, as reported on NASDAQ Stock Market. The closing price for the Company’s securities on October 8, 2021 was $2.94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June 2021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July 2021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August 2021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September 2021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bl>
    <w:p>
      <w:pPr>
        <w:spacing w:after="0" w:line="183"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shares have been listed on the NASDAQ Stock Market under the symbol CLPS since May 24, 2018 following the completion of our initial public offering.</w:t>
      </w:r>
    </w:p>
    <w:p>
      <w:pPr>
        <w:spacing w:after="0" w:line="166"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80"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Item 10.B of Form 20-F is included in the sections titled “Our Business,” “Directors and Executive Officers,” “Related Party Transactions,” and “Underwriting” in our Registration Statement on Form F-1 initially filed with the SEC on March 27, 2018, and subsequently updated (File No.: 333-223956), which section is incorporated herein by reference.</w:t>
      </w:r>
    </w:p>
    <w:p>
      <w:pPr>
        <w:spacing w:after="0" w:line="180"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ind w:left="1300" w:hanging="644"/>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4"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7" w:name="page108"/>
    <w:bookmarkEnd w:id="107"/>
    <w:p>
      <w:pPr>
        <w:jc w:val="both"/>
        <w:ind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2"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U.S. Holder’s gain or excess distribution will be allocated ratably over the U.S. Holder’s holding period for the common shares;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8" w:name="page109"/>
    <w:bookmarkEnd w:id="108"/>
    <w:p>
      <w:pPr>
        <w:jc w:val="both"/>
        <w:ind w:left="98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9" w:name="page110"/>
    <w:bookmarkEnd w:id="109"/>
    <w:p>
      <w:pPr>
        <w:jc w:val="both"/>
        <w:ind w:firstLine="648"/>
        <w:spacing w:after="0" w:line="289" w:lineRule="auto"/>
        <w:rPr>
          <w:sz w:val="20"/>
          <w:szCs w:val="20"/>
          <w:color w:val="auto"/>
        </w:rPr>
      </w:pPr>
      <w:r>
        <w:rPr>
          <w:rFonts w:ascii="Arial" w:cs="Arial" w:eastAsia="Arial" w:hAnsi="Arial"/>
          <w:sz w:val="16"/>
          <w:szCs w:val="16"/>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0" w:name="page111"/>
    <w:bookmarkEnd w:id="110"/>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83"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Documents concerning us that are referred to in this document may be inspected at c/o Unit 1102, 11th Floor, Millennium City III, 370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181"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3.7% in fiscal 2019, depreciated by 2.9% in fiscal 2020, and appreciated by 8.6% in fiscal 2021,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default of any indebtedness nor is there any arrearage in the payment of dividends.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with the participation of our Chief Executive Officer and Acting Chief Financial Officer, has performed an evaluation of the effectiveness of the design and operation of our “disclosure controls and procedures” (as defined in the Securities Exchange Act of 1934 (“Exchange Act”) Rules 13a-15(e) or 15d-15(e)) as of June 30, 2019 as required by paragraph (b) of Exchange Act Rules 13a-15 or 15d-15.</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Based on that evaluation, management, including our Chief Executive Officer and Chief Financial Officer, has concluded as of June 30, 2021,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under the supervision of our Chief Executive Officer and Acting Chief Financial Officer to provide reasonable assurance regarding the reliability of financial reporting and the preparation of our consolidated financial statements for external reporting purposes in accordance with U.S. generally accepted accounting principles.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Management assessed the effectiveness of our internal control over financial reporting as of June 30, 2021.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this evaluation, our management has concluded that our internal control over financial reporting was effective as of June 30, 2021</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our preparation of the financial statements for the fiscal year ended June 30, 2018, we identified one material weakness in internal control over financial reporting, which was we lacked the necessary controls and procedures that need to be in place to monitor, capture, report and disclose certain subsequent events. In order to address the matter as it was identified, we immediately designated a “point” person within the Company’s accounting and finance reporting structure to whom all information relating to material transactions after the balance sheet closing date was and continues to be reported to ensure that such information is then properly and timely disclosed in the Company’s consolidated financial statements. We concluded that the material weakness was remediated as of June 30, 2019.</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June 30, 2019, we identified another material weakness in internal control over financial reporting, which is that the Company lacks sufficient financial accounting and reporting personnel with requisite knowledge and experience in the application of the United States generally accepted accounting principles (“U.S. GAAP”) and Securities and Exchange Commission (“SEC”) rules and lacks sufficient controls and procedures that are commensurate with U.S. GAAP and SEC reporting requirements.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remediate our identified material weakness and improve our internal control over financial reporting, we have implemented a number of measures to address the material weakness. These measures include the following:</w:t>
      </w:r>
    </w:p>
    <w:p>
      <w:pPr>
        <w:spacing w:after="0" w:line="170" w:lineRule="exact"/>
        <w:rPr>
          <w:sz w:val="20"/>
          <w:szCs w:val="20"/>
          <w:color w:val="auto"/>
        </w:rPr>
      </w:pPr>
    </w:p>
    <w:p>
      <w:pPr>
        <w:ind w:left="98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hired additional qualified accounting and financial reporting personal with U.S. GAAP and SEC reporting experience to strengthen our financial reporting capability;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sent our accounting and financial reporting personnel to continuous training and education in the accounting and reporting requirements under U.S. GAAP, and SEC rules and regulations;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developed, communicated and implemented an accounting policy manual for its accounting and financial reporting personnel for recurring transactions and period-end closing processes;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established effective monitoring and oversight controls for non-recurring and complex transactions to ensure the accuracy and completeness of the Company’s consolidated financial statements and related disclosures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June 30, 2020, based on an assessment performed by our management on the performance of the remediation measures described above, we determined that the material weakness previously identified in our internal control over financial reporting had been remediated.</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during the year ended June 30, 2021,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3" w:name="page114"/>
    <w:bookmarkEnd w:id="113"/>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determined that Jin He Shao is an audit committee financial expert as that term is defined in Item 16A(b) of Form 20-F, and “independent” as that term is defined in the NASDAQ listing standards.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the approximate aggregate fees for services billed by Ernst &amp; Young Hua Ming LLP for the period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USD’000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USD’000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Fees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evaluated and approved in advance the scope and cost of the engagement of an auditor before the auditor rendered its audit and non-audit services.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jc w:val="center"/>
        <w:ind w:right="3759"/>
        <w:spacing w:after="0"/>
        <w:rPr>
          <w:sz w:val="20"/>
          <w:szCs w:val="20"/>
          <w:color w:val="auto"/>
        </w:rPr>
      </w:pPr>
      <w:r>
        <w:rPr>
          <w:rFonts w:ascii="Arial" w:cs="Arial" w:eastAsia="Arial" w:hAnsi="Arial"/>
          <w:sz w:val="18"/>
          <w:szCs w:val="18"/>
          <w:color w:val="auto"/>
        </w:rPr>
        <w:t>No purchase of our securities was made by us or our affiliates in 2021.</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CHANGES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115" w:name="page116"/>
    <w:bookmarkEnd w:id="115"/>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financial statements are filed as part of this Annual Report beginning on page F-1.</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JUNE 30,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117" w:name="page118"/>
    <w:bookmarkEnd w:id="11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CLPS Incorporation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CLPS Incorporation (the “Company”) as of June 30, 2021 and 2020, the related consolidated statements of comprehensive income (loss), changes in shareholders’ equity and cash flows for each of the three years in the period ended June 30, 2021, and the related notes (collectively referred to as the “consolidated financial statements”). In our opinion, the consolidated financial statements present fairly, in all material respects, the financial position of the Company at June 30, 2021 and 2020, and the results of its operations and its cash flows for each of the three years in the period ended June 30, 2021,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ind w:left="5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24,739,382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12,652,120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4,158,535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636,934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44,138,997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25,753,856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2,530,458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1,280,967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546,128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169,185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76,113,500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40,508,842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600,791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452,472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1,050,499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1,144,579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2,444,950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2,118,700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1,014,784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680,131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896,145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244,387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607,773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203,247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82,728,442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45,352,358</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Bank loans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7,536,839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2,161,239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559,450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268,661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245,408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220,382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1,715,009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1,426,614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Contract liabilities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326,912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755,178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12,466,921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11,522,268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Amounts due to related party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183,148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23,033,687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16,354,342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Bank loans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163,163</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1,799,383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194,939</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24,997,747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16,734,998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w w:val="94"/>
              </w:rPr>
              <w:t>Common stock, $0.0001 par value, 100,000,000 shares authorized; 20,293,552 shares issued and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w w:val="94"/>
              </w:rPr>
              <w:t>outstanding as of June 30, 2021; 15,930,330 shares issued and outstanding as of June 30,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48,516,695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28,586,048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Statutory reserves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4,214,075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2,803,811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2,726,165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(2,680,143)</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1,230,083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(1,362,665)</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56,689,047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27,348,644</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1,041,648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1,268,716</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57,730,695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28,617,360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82,728,442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45,352,358</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8"/>
          </w:tcPr>
          <w:p>
            <w:pPr>
              <w:jc w:val="right"/>
              <w:ind w:right="821"/>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Notes</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5"/>
              </w:rPr>
              <w:t>126,061,693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89,415,798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64,932,937</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r>
              <w:rPr>
                <w:rFonts w:ascii="Arial" w:cs="Arial" w:eastAsia="Arial" w:hAnsi="Arial"/>
                <w:sz w:val="18"/>
                <w:szCs w:val="18"/>
                <w:color w:val="auto"/>
              </w:rPr>
              <w:t>Less: Cost of revenues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(85,890,757)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(58,296,097)</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(41,178,356)</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40,170,936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31,119,701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23,754,581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 expenses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(3,753,236)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(3,059,877)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(2,179,029)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(13,337,913)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(10,436,975)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(7,978,883)</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(16,784,688)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(16,343,936)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(17,384,393)</w:t>
            </w:r>
          </w:p>
        </w:tc>
        <w:tc>
          <w:tcPr>
            <w:tcW w:w="0" w:type="dxa"/>
            <w:vAlign w:val="bottom"/>
          </w:tcPr>
          <w:p>
            <w:pPr>
              <w:spacing w:after="0"/>
              <w:rPr>
                <w:sz w:val="1"/>
                <w:szCs w:val="1"/>
                <w:color w:val="auto"/>
              </w:rPr>
            </w:pPr>
          </w:p>
        </w:tc>
      </w:tr>
      <w:tr>
        <w:trPr>
          <w:trHeight w:val="24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Subsidies and other operating income</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2,080,087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1,927,230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697,370</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(31,795,750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(27,913,558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(26,844,935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8,375,186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3,206,143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(3,090,354)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296,319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608,638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82,138</w:t>
            </w:r>
          </w:p>
        </w:tc>
        <w:tc>
          <w:tcPr>
            <w:tcW w:w="0" w:type="dxa"/>
            <w:vAlign w:val="bottom"/>
          </w:tcPr>
          <w:p>
            <w:pPr>
              <w:spacing w:after="0"/>
              <w:rPr>
                <w:sz w:val="1"/>
                <w:szCs w:val="1"/>
                <w:color w:val="auto"/>
              </w:rPr>
            </w:pPr>
          </w:p>
        </w:tc>
      </w:tr>
      <w:tr>
        <w:trPr>
          <w:trHeight w:val="23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(351,045)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(107,322)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(92,429)</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before income tax and share of income (loss) in equity investees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8,320,460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3,707,459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(3,100,645)</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1,257,124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835,444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186,615</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share of income (loss) in equity investees</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7,063,336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2,872,015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r>
              <w:rPr>
                <w:rFonts w:ascii="Arial" w:cs="Arial" w:eastAsia="Arial" w:hAnsi="Arial"/>
                <w:sz w:val="18"/>
                <w:szCs w:val="18"/>
                <w:color w:val="auto"/>
              </w:rPr>
              <w:t>Share of (loss) income in equity investees, net of tax</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(44,121)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207,363</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(145,329)</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7,019,215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3,079,378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(3,432,589)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202,643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141,139</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(162,813)</w:t>
            </w:r>
          </w:p>
        </w:tc>
        <w:tc>
          <w:tcPr>
            <w:tcW w:w="0" w:type="dxa"/>
            <w:vAlign w:val="bottom"/>
          </w:tcPr>
          <w:p>
            <w:pPr>
              <w:spacing w:after="0"/>
              <w:rPr>
                <w:sz w:val="1"/>
                <w:szCs w:val="1"/>
                <w:color w:val="auto"/>
              </w:rPr>
            </w:pPr>
          </w:p>
        </w:tc>
      </w:tr>
      <w:tr>
        <w:trPr>
          <w:trHeight w:val="27"/>
        </w:trPr>
        <w:tc>
          <w:tcPr>
            <w:tcW w:w="60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CLPS Incorporation’s shareholders</w:t>
            </w: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608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6,816,572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2,938,239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(3,269,776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 currency translation income (loss)</w:t>
            </w:r>
          </w:p>
        </w:tc>
        <w:tc>
          <w:tcPr>
            <w:tcW w:w="1020" w:type="dxa"/>
            <w:vAlign w:val="bottom"/>
          </w:tcPr>
          <w:p>
            <w:pPr>
              <w:spacing w:after="0"/>
              <w:rPr>
                <w:sz w:val="18"/>
                <w:szCs w:val="18"/>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2,695,223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(571,943)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(429,348)</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Less: foreign currency translation income (loss) attributable to noncontrolling</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102,475</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(22,928)</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0" w:type="dxa"/>
            <w:vAlign w:val="bottom"/>
          </w:tcPr>
          <w:p>
            <w:pPr>
              <w:spacing w:after="0"/>
              <w:rPr>
                <w:sz w:val="1"/>
                <w:szCs w:val="1"/>
                <w:color w:val="auto"/>
              </w:rPr>
            </w:pPr>
          </w:p>
        </w:tc>
      </w:tr>
      <w:tr>
        <w:trPr>
          <w:trHeight w:val="175"/>
        </w:trPr>
        <w:tc>
          <w:tcPr>
            <w:tcW w:w="6080" w:type="dxa"/>
            <w:vAlign w:val="bottom"/>
            <w:tcBorders>
              <w:top w:val="single" w:sz="8" w:color="CCEEFF"/>
            </w:tcBorders>
          </w:tcPr>
          <w:p>
            <w:pPr>
              <w:ind w:left="180"/>
              <w:spacing w:after="0" w:line="176" w:lineRule="exact"/>
              <w:rPr>
                <w:sz w:val="20"/>
                <w:szCs w:val="20"/>
                <w:color w:val="auto"/>
              </w:rPr>
            </w:pPr>
            <w:r>
              <w:rPr>
                <w:rFonts w:ascii="Arial" w:cs="Arial" w:eastAsia="Arial" w:hAnsi="Arial"/>
                <w:sz w:val="18"/>
                <w:szCs w:val="18"/>
                <w:color w:val="auto"/>
              </w:rPr>
              <w:t>Other comprehensive income (loss) attributable to CLPS</w:t>
            </w:r>
          </w:p>
        </w:tc>
        <w:tc>
          <w:tcPr>
            <w:tcW w:w="10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080" w:type="dxa"/>
            <w:vAlign w:val="bottom"/>
          </w:tcPr>
          <w:p>
            <w:pPr>
              <w:ind w:left="340"/>
              <w:spacing w:after="0"/>
              <w:rPr>
                <w:sz w:val="20"/>
                <w:szCs w:val="20"/>
                <w:color w:val="auto"/>
              </w:rPr>
            </w:pPr>
            <w:r>
              <w:rPr>
                <w:rFonts w:ascii="Arial" w:cs="Arial" w:eastAsia="Arial" w:hAnsi="Arial"/>
                <w:sz w:val="18"/>
                <w:szCs w:val="18"/>
                <w:color w:val="auto"/>
              </w:rPr>
              <w:t>Incorporation’s shareholders</w:t>
            </w:r>
          </w:p>
        </w:tc>
        <w:tc>
          <w:tcPr>
            <w:tcW w:w="1020" w:type="dxa"/>
            <w:vAlign w:val="bottom"/>
          </w:tcPr>
          <w:p>
            <w:pPr>
              <w:spacing w:after="0"/>
              <w:rPr>
                <w:sz w:val="24"/>
                <w:szCs w:val="24"/>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2,592,748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(549,015</w:t>
            </w:r>
            <w:r>
              <w:rPr>
                <w:rFonts w:ascii="Arial" w:cs="Arial" w:eastAsia="Arial" w:hAnsi="Arial"/>
                <w:sz w:val="31"/>
                <w:szCs w:val="31"/>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71" w:lineRule="exact"/>
              <w:rPr>
                <w:sz w:val="20"/>
                <w:szCs w:val="20"/>
                <w:color w:val="auto"/>
              </w:rPr>
            </w:pPr>
            <w:r>
              <w:rPr>
                <w:rFonts w:ascii="Arial" w:cs="Arial" w:eastAsia="Arial" w:hAnsi="Arial"/>
                <w:sz w:val="17"/>
                <w:szCs w:val="17"/>
                <w:color w:val="auto"/>
              </w:rPr>
              <w:t>(411,973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line="198" w:lineRule="exact"/>
              <w:rPr>
                <w:sz w:val="20"/>
                <w:szCs w:val="20"/>
                <w:color w:val="auto"/>
              </w:rPr>
            </w:pPr>
            <w:r>
              <w:rPr>
                <w:rFonts w:ascii="Arial" w:cs="Arial" w:eastAsia="Arial" w:hAnsi="Arial"/>
                <w:sz w:val="18"/>
                <w:szCs w:val="18"/>
                <w:b w:val="1"/>
                <w:bCs w:val="1"/>
                <w:color w:val="auto"/>
              </w:rPr>
              <w:t>Comprehensive income (loss) attributable to CLPS’s Incorporation</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1020" w:type="dxa"/>
            <w:vAlign w:val="bottom"/>
          </w:tcPr>
          <w:p>
            <w:pPr>
              <w:spacing w:after="0"/>
              <w:rPr>
                <w:sz w:val="20"/>
                <w:szCs w:val="20"/>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9,409,320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2,389,224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(3,681,749)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305,118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118,211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(180,188)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6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9,714,438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2,507,435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(3,861,937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0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0.39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17,279,443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14,689,224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15</w:t>
            </w: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vMerge w:val="continue"/>
          </w:tcPr>
          <w:p>
            <w:pPr>
              <w:spacing w:after="0"/>
              <w:rPr>
                <w:sz w:val="22"/>
                <w:szCs w:val="22"/>
                <w:color w:val="auto"/>
              </w:rPr>
            </w:pPr>
          </w:p>
        </w:tc>
        <w:tc>
          <w:tcPr>
            <w:tcW w:w="10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w:t>
            </w: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17,569,440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14,692,299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Retained</w:t>
            </w:r>
          </w:p>
        </w:tc>
        <w:tc>
          <w:tcPr>
            <w:tcW w:w="6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rPr>
              <w:t>Common Share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Additional</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Earnings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5"/>
            <w:vMerge w:val="continue"/>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Paid-in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Statutory</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(Accumulated</w:t>
            </w:r>
          </w:p>
        </w:tc>
        <w:tc>
          <w:tcPr>
            <w:tcW w:w="1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Noncontrolling</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b w:val="1"/>
                <w:bCs w:val="1"/>
                <w:color w:val="auto"/>
                <w:w w:val="91"/>
              </w:rPr>
              <w:t>Notes</w:t>
            </w:r>
          </w:p>
        </w:tc>
        <w:tc>
          <w:tcPr>
            <w:tcW w:w="80" w:type="dxa"/>
            <w:vAlign w:val="bottom"/>
          </w:tcPr>
          <w:p>
            <w:pPr>
              <w:spacing w:after="0"/>
              <w:rPr>
                <w:sz w:val="19"/>
                <w:szCs w:val="19"/>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Surplus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Deficits)</w:t>
            </w:r>
          </w:p>
        </w:tc>
        <w:tc>
          <w:tcPr>
            <w:tcW w:w="60" w:type="dxa"/>
            <w:vAlign w:val="bottom"/>
          </w:tcPr>
          <w:p>
            <w:pPr>
              <w:spacing w:after="0"/>
              <w:rPr>
                <w:sz w:val="19"/>
                <w:szCs w:val="19"/>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Income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Interests</w:t>
            </w:r>
          </w:p>
        </w:tc>
        <w:tc>
          <w:tcPr>
            <w:tcW w:w="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8"/>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June 30,</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5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13,590,000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17,285,543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1,118,467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(401,677)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676,282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18,155,356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(3,269,776)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(162,813)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(3,432,589)</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Appropriation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reserve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715,335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(715,335)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Arial" w:cs="Arial" w:eastAsia="Arial" w:hAnsi="Arial"/>
                <w:sz w:val="18"/>
                <w:szCs w:val="18"/>
                <w:color w:val="auto"/>
              </w:rPr>
              <w:t>translation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(411,973)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(17,375)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(429,348)</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223,821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7,016,089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7,016,111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Exercise of warrants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99,380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interests through an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64,879</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Sale of subsidiaries’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Arial" w:cs="Arial" w:eastAsia="Arial" w:hAnsi="Arial"/>
                <w:sz w:val="18"/>
                <w:szCs w:val="18"/>
                <w:color w:val="auto"/>
              </w:rPr>
              <w:t>shares to</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47,189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47,189</w:t>
            </w:r>
          </w:p>
        </w:tc>
        <w:tc>
          <w:tcPr>
            <w:tcW w:w="0" w:type="dxa"/>
            <w:vAlign w:val="bottom"/>
          </w:tcPr>
          <w:p>
            <w:pPr>
              <w:spacing w:after="0"/>
              <w:rPr>
                <w:sz w:val="1"/>
                <w:szCs w:val="1"/>
                <w:color w:val="auto"/>
              </w:rPr>
            </w:pPr>
          </w:p>
        </w:tc>
      </w:tr>
      <w:tr>
        <w:trPr>
          <w:trHeight w:val="23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75"/>
        </w:trPr>
        <w:tc>
          <w:tcPr>
            <w:tcW w:w="1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 June 30,</w:t>
            </w:r>
          </w:p>
        </w:tc>
        <w:tc>
          <w:tcPr>
            <w:tcW w:w="5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13,913,201</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1,391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24,276,622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1,833,802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(4,509,729)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(813,650)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608,162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21,396,598</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for the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5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2,938,239</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141,139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3,079,378</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Appropriation of</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statutory reserve</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970,009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(970,009)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540" w:type="dxa"/>
            <w:vAlign w:val="bottom"/>
            <w:shd w:val="clear" w:color="auto" w:fill="CCEEFF"/>
          </w:tcPr>
          <w:p>
            <w:pPr>
              <w:spacing w:after="0"/>
              <w:rPr>
                <w:sz w:val="18"/>
                <w:szCs w:val="18"/>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(549,015)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(22,928)</w:t>
            </w: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(571,943)</w:t>
            </w:r>
          </w:p>
        </w:tc>
        <w:tc>
          <w:tcPr>
            <w:tcW w:w="0" w:type="dxa"/>
            <w:vAlign w:val="bottom"/>
          </w:tcPr>
          <w:p>
            <w:pPr>
              <w:spacing w:after="0"/>
              <w:rPr>
                <w:sz w:val="1"/>
                <w:szCs w:val="1"/>
                <w:color w:val="auto"/>
              </w:rPr>
            </w:pPr>
          </w:p>
        </w:tc>
      </w:tr>
      <w:tr>
        <w:trPr>
          <w:trHeight w:val="237"/>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920" w:type="dxa"/>
            <w:vAlign w:val="bottom"/>
            <w:gridSpan w:val="3"/>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Cumulative effect of</w:t>
            </w:r>
          </w:p>
        </w:tc>
        <w:tc>
          <w:tcPr>
            <w:tcW w:w="5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adopting ASC 606</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(138,644)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(138,644)</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subsidiaries’ shares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from noncontrolling</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130,992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expense</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4,004,080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4,004,080</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share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options and vesting</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of restricted shares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1,830,514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540" w:type="dxa"/>
            <w:vAlign w:val="bottom"/>
          </w:tcPr>
          <w:p>
            <w:pPr>
              <w:spacing w:after="0"/>
              <w:rPr>
                <w:sz w:val="17"/>
                <w:szCs w:val="17"/>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86,615</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9</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436,531</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411,351</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847,891</w:t>
            </w:r>
          </w:p>
        </w:tc>
        <w:tc>
          <w:tcPr>
            <w:tcW w:w="0" w:type="dxa"/>
            <w:vAlign w:val="bottom"/>
          </w:tcPr>
          <w:p>
            <w:pPr>
              <w:spacing w:after="0"/>
              <w:rPr>
                <w:sz w:val="1"/>
                <w:szCs w:val="1"/>
                <w:color w:val="auto"/>
              </w:rPr>
            </w:pPr>
          </w:p>
        </w:tc>
      </w:tr>
      <w:tr>
        <w:trPr>
          <w:trHeight w:val="224"/>
        </w:trPr>
        <w:tc>
          <w:tcPr>
            <w:tcW w:w="170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80" w:type="dxa"/>
            <w:vAlign w:val="bottom"/>
            <w:gridSpan w:val="3"/>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June 30,</w:t>
            </w: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$15,930,330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1,593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$28,586,048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$ 2,803,811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  (2,680,143)</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(1,362,665)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1,268,716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$28,617,360</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Net Income for the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year</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6,816,572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202,643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7,019,215</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Appropriation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reserve</w:t>
            </w:r>
          </w:p>
        </w:tc>
        <w:tc>
          <w:tcPr>
            <w:tcW w:w="5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1,410,264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(1,410,264)</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translation loss</w:t>
            </w:r>
          </w:p>
        </w:tc>
        <w:tc>
          <w:tcPr>
            <w:tcW w:w="5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2,592,748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102,475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2,695,223</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subsidiaries’ shares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noncontrollong</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62,622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(458,826)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(455,546)</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Disposal of</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subsidiarie</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(34,116)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(34,116)</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5,128,696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5,128,696</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Arial" w:cs="Arial" w:eastAsia="Arial" w:hAnsi="Arial"/>
                <w:sz w:val="18"/>
                <w:szCs w:val="18"/>
                <w:color w:val="auto"/>
                <w:w w:val="96"/>
              </w:rPr>
              <w:t>options and vesting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w w:val="97"/>
              </w:rPr>
              <w:t>of restricted shares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1,568,392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157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116,073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65,542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Issuance of common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2,666,666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267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11,131,562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11,131,829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w w:val="99"/>
              </w:rPr>
              <w:t>shares from private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placement</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issued in</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placement</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3,551,048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line="201" w:lineRule="exact"/>
              <w:rPr>
                <w:sz w:val="20"/>
                <w:szCs w:val="20"/>
                <w:color w:val="auto"/>
              </w:rPr>
            </w:pPr>
            <w:r>
              <w:rPr>
                <w:rFonts w:ascii="Arial" w:cs="Arial" w:eastAsia="Arial" w:hAnsi="Arial"/>
                <w:sz w:val="18"/>
                <w:szCs w:val="18"/>
                <w:color w:val="auto"/>
              </w:rPr>
              <w:t>Noncontrolling</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w w:val="96"/>
              </w:rPr>
              <w:t>interests through an</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(5,107)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noncontrolling</w:t>
            </w:r>
          </w:p>
        </w:tc>
        <w:tc>
          <w:tcPr>
            <w:tcW w:w="5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(34,137)</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(34,137)</w:t>
            </w:r>
          </w:p>
        </w:tc>
        <w:tc>
          <w:tcPr>
            <w:tcW w:w="0" w:type="dxa"/>
            <w:vAlign w:val="bottom"/>
          </w:tcPr>
          <w:p>
            <w:pPr>
              <w:spacing w:after="0"/>
              <w:rPr>
                <w:sz w:val="1"/>
                <w:szCs w:val="1"/>
                <w:color w:val="auto"/>
              </w:rPr>
            </w:pPr>
          </w:p>
        </w:tc>
      </w:tr>
      <w:tr>
        <w:trPr>
          <w:trHeight w:val="217"/>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5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Balance at June 30,</w:t>
            </w:r>
          </w:p>
        </w:tc>
        <w:tc>
          <w:tcPr>
            <w:tcW w:w="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20,293,552</w:t>
            </w:r>
          </w:p>
        </w:tc>
        <w:tc>
          <w:tcPr>
            <w:tcW w:w="160" w:type="dxa"/>
            <w:vAlign w:val="bottom"/>
            <w:vMerge w:val="restart"/>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2,029</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48,516,695</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4,214,075</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2,726,165</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1,230,083</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1,041,648</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57,730,695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180"/>
              <w:spacing w:after="0" w:line="190" w:lineRule="exact"/>
              <w:rPr>
                <w:sz w:val="20"/>
                <w:szCs w:val="20"/>
                <w:color w:val="auto"/>
              </w:rPr>
            </w:pPr>
            <w:r>
              <w:rPr>
                <w:rFonts w:ascii="Arial" w:cs="Arial" w:eastAsia="Arial" w:hAnsi="Arial"/>
                <w:sz w:val="18"/>
                <w:szCs w:val="18"/>
                <w:color w:val="auto"/>
              </w:rPr>
              <w:t>2021</w:t>
            </w:r>
          </w:p>
        </w:tc>
        <w:tc>
          <w:tcPr>
            <w:tcW w:w="5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7,019,215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3,079,378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(3,432,589)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w w:val="93"/>
              </w:rPr>
              <w:t>Adjustments to reconcile net income (loss) to net cash (used in) provided by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5,128,696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4,004,080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7,016,089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677,241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593,173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403,700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(benefits)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(413,609)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172,740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Remeasurement loss of the previously held equity interest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19,682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a long-term investment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(433,490)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Share of loss (income) in equity investees, net of tax</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44,121</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(207,363)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145,329</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subsidiaries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(9,022)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(57,588)</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Provision (reversal of) for doubtful accounts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197,740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231,133</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(70,893)</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disposal of property and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26,399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25,615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w w:val="97"/>
              </w:rPr>
              <w:t>(16,712,597)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(6,603,589)</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w w:val="91"/>
              </w:rPr>
              <w:t>(3,055,040)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 deposits and other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(728,562)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(37,026)</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Prepaid income tax</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15,780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615,010</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(442,498)</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from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(224,429)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363,697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89,427</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(417,801)</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(18,349)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(425,109)</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(378,628)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69,278</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payables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279,413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408,007</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102,408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Amounts due to related parties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183,148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subsidies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(27,138)</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(69,241)</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benefits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309,914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3,564,029</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639,024</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1,604,444</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194,939</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(2,609,773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5,931,124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401,107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(1,072,389)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(167,701)</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(499,554)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(6,521)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(63,855)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Payments for business acquisitions, net of cash acquired from acquisitions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(304,476)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(1,556,910)</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(401,062)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long-term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(331,036)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(143,299)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(1,093,274)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Disposition of a long-term investment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995,605</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 of subsidiaries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(191,839)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(65,242)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Maturities (purchases) of 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(3,375,521)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1,109,389</w:t>
            </w:r>
          </w:p>
        </w:tc>
        <w:tc>
          <w:tcPr>
            <w:tcW w:w="3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w w:val="91"/>
              </w:rPr>
              <w:t>(1,803,228)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from a related party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177,787</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820,982</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provided to a third party</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(185,906)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provided to related parties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(151,783)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(177,787)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(820,982)</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(5,619,471</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173,229</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0"/>
              </w:rPr>
              <w:t>(3,862,360</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b w:val="1"/>
                <w:bCs w:val="1"/>
                <w:color w:val="auto"/>
                <w:w w:val="73"/>
              </w:rPr>
              <w:t>)</w:t>
            </w:r>
          </w:p>
        </w:tc>
      </w:tr>
      <w:tr>
        <w:trPr>
          <w:trHeight w:val="27"/>
        </w:trPr>
        <w:tc>
          <w:tcPr>
            <w:tcW w:w="7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short-term bank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13,301,775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3,821,602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3,641,661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Repayments of short-term bank loans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(8,270,611)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(3,896,240)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(3,918,427)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contributions from IPO and over-allotment,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1,472,592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Capital contributions from private placement and warrants, net of issuance costs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14,682,877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116,230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Escrow receivable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noncontrolling interests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(455,546)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(582,440)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Amounts due to related parties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(146,604)</w:t>
            </w: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noncontrolling interests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(34,137)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19,340,588</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125,362</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466,782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975,918</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(178,930)</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(147,080)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12,087,262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6,050,785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(3,141,551)</w:t>
            </w: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12,652,120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6,601,335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9,742,886</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at the end of the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24,739,382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12,652,120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6,601,335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color w:val="auto"/>
              </w:rPr>
              <w:t>Income tax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1,746,327</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1,169,717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768,956</w:t>
            </w:r>
          </w:p>
        </w:tc>
      </w:tr>
      <w:tr>
        <w:trPr>
          <w:trHeight w:val="223"/>
        </w:trPr>
        <w:tc>
          <w:tcPr>
            <w:tcW w:w="73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Interest paid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Details of the subsidiaries of the Company are set out below:</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 of</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9"/>
              </w:rPr>
              <w:t>% of</w:t>
            </w:r>
          </w:p>
        </w:tc>
        <w:tc>
          <w:tcPr>
            <w:tcW w:w="1220" w:type="dxa"/>
            <w:vAlign w:val="bottom"/>
          </w:tcPr>
          <w:p>
            <w:pPr>
              <w:spacing w:after="0"/>
              <w:rPr>
                <w:sz w:val="24"/>
                <w:szCs w:val="24"/>
                <w:color w:val="auto"/>
              </w:rPr>
            </w:pPr>
          </w:p>
        </w:tc>
      </w:tr>
      <w:tr>
        <w:trPr>
          <w:trHeight w:val="216"/>
        </w:trPr>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Incorporation/</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Place of</w:t>
            </w:r>
          </w:p>
        </w:tc>
        <w:tc>
          <w:tcPr>
            <w:tcW w:w="11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4"/>
              </w:rPr>
              <w:t>Equity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41"/>
        </w:trPr>
        <w:tc>
          <w:tcPr>
            <w:tcW w:w="5420" w:type="dxa"/>
            <w:vAlign w:val="bottom"/>
          </w:tcPr>
          <w:p>
            <w:pPr>
              <w:spacing w:after="0"/>
              <w:rPr>
                <w:sz w:val="20"/>
                <w:szCs w:val="20"/>
                <w:color w:val="auto"/>
              </w:rPr>
            </w:pPr>
            <w:r>
              <w:rPr>
                <w:rFonts w:ascii="Arial" w:cs="Arial" w:eastAsia="Arial" w:hAnsi="Arial"/>
                <w:sz w:val="18"/>
                <w:szCs w:val="18"/>
                <w:b w:val="1"/>
                <w:bCs w:val="1"/>
                <w:color w:val="auto"/>
              </w:rPr>
              <w:t>Name of Entity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Incorporation</w:t>
            </w:r>
          </w:p>
        </w:tc>
        <w:tc>
          <w:tcPr>
            <w:tcW w:w="11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Ownership</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Activities</w:t>
            </w:r>
          </w:p>
        </w:tc>
      </w:tr>
      <w:tr>
        <w:trPr>
          <w:trHeight w:val="202"/>
        </w:trPr>
        <w:tc>
          <w:tcPr>
            <w:tcW w:w="5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Qiner Co., Limited (“Qiner”)</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Incorporated on</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Hong Kong, China</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21, 2017</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Qinheng Co., Limited (“Qinheng”)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Hong Kong, China</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9, 2017</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Shanghai Qincheng Information Technology Co., Ltd. (“CLPS QC” or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0"/>
              </w:rPr>
              <w:t>Incorporated on</w:t>
            </w:r>
          </w:p>
        </w:tc>
        <w:tc>
          <w:tcPr>
            <w:tcW w:w="1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Shanghai,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“WOFE”)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4, 2017</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Growth Ring Ltd., (“Growth”)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Incorporated</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9"/>
              </w:rPr>
              <w:t>Virgin</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16"/>
        </w:trPr>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On April 14,2021</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Islands,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British</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Arabian Jasmine Ltd.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0"/>
              </w:rPr>
              <w:t>Incorporated on</w:t>
            </w:r>
          </w:p>
        </w:tc>
        <w:tc>
          <w:tcPr>
            <w:tcW w:w="168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9"/>
              </w:rPr>
              <w:t>Virgin</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16"/>
        </w:trPr>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25, 2021</w:t>
            </w:r>
          </w:p>
        </w:tc>
        <w:tc>
          <w:tcPr>
            <w:tcW w:w="16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Islands,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British</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Shanghai Chenqin Information Technology Services Co., Ltd.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0"/>
              </w:rPr>
              <w:t>Incorporated on</w:t>
            </w:r>
          </w:p>
        </w:tc>
        <w:tc>
          <w:tcPr>
            <w:tcW w:w="16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8"/>
              </w:rPr>
              <w:t>Shanghai,</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31, 2021</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China</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CLPS-Beefinance Holding Ltd.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Incorporate on</w:t>
            </w:r>
          </w:p>
        </w:tc>
        <w:tc>
          <w:tcPr>
            <w:tcW w:w="168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3"/>
              </w:rPr>
              <w:t>Virgin Islands,</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55%</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22, 2021</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British</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Noni (Singapore) Pte. Ltd.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0"/>
              </w:rPr>
              <w:t>Incorporated on</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Singapore</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4"/>
              </w:rPr>
              <w:t>Holding</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22, 2021</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ChinaLink Professional Service Co., Ltd. (“CLPS Shanghai”)</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Shanghai,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30, 2005</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CLPS Dalian Co., Ltd. (“CLPS Dalian”)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Dalian, China</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25, 2011</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CLPS Ruicheng Co., Ltd. (“CLPS RC”)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Shanghai,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26, 2013</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CLPS Beijing Hengtong Co., Ltd. (“CLPS Beijing”)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5"/>
              </w:rPr>
              <w:t>Beijing, China</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30, 2015</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CLPS Technology (Singapore) Pte. Ltd. (“CLPS SG”)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Singapore</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18, 2015</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CLPS- Ridik Technology (Australia) Pty Ltd. (“CLPS Ridik AU”)</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Australia</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10, 2015</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CLPS Technology (Hong Kong) Co., Limited (“CLPS Hong Kong”)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Hong Kong,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7, 2016</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w w:val="93"/>
              </w:rPr>
              <w:t>JAJI (Shanghai) Co., Ltd (“JAJI China”, formerly , Judge (Shanghai) Co.,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Acquired on</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Shanghai, China</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60%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Ltd.)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9, 2016</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JAJI (Shanghai) Human Resource Co., Ltd. (“JAJI HR”,formerly Judge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3"/>
              </w:rPr>
              <w:t>Acquired on</w:t>
            </w:r>
          </w:p>
        </w:tc>
        <w:tc>
          <w:tcPr>
            <w:tcW w:w="1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Shanghai,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60%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Human Resource Co., Ltd.)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9, 2016</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CLPS Shenzhen Co., Ltd. (“CLPS Shenzhen”)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Shenzhen, China</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April 7, 2017</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CLPS Guangzhou Co., Ltd. (“CLPS Guangzhou”)</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Guangzhou,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27, 2017</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CLPS Technology (US) Ltd. (“CLPS US”)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0"/>
              </w:rPr>
              <w:t>Incorporated on</w:t>
            </w:r>
          </w:p>
        </w:tc>
        <w:tc>
          <w:tcPr>
            <w:tcW w:w="16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Delaware, the</w:t>
            </w:r>
          </w:p>
        </w:tc>
        <w:tc>
          <w:tcPr>
            <w:tcW w:w="11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16"/>
        </w:trPr>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5, 2018</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United States of</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30"/>
        </w:trPr>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America</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Tianjin Huanyu Qinshang Network Technology Co., Ltd. (“Huanyu”)</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3"/>
              </w:rPr>
              <w:t>Acquired on</w:t>
            </w:r>
          </w:p>
        </w:tc>
        <w:tc>
          <w:tcPr>
            <w:tcW w:w="16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Tianjin, China</w:t>
            </w:r>
          </w:p>
        </w:tc>
        <w:tc>
          <w:tcPr>
            <w:tcW w:w="116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Network</w:t>
            </w:r>
          </w:p>
        </w:tc>
      </w:tr>
      <w:tr>
        <w:trPr>
          <w:trHeight w:val="230"/>
        </w:trPr>
        <w:tc>
          <w:tcPr>
            <w:tcW w:w="5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24, 2019</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technology</w:t>
            </w:r>
          </w:p>
        </w:tc>
      </w:tr>
      <w:tr>
        <w:trPr>
          <w:trHeight w:val="655"/>
        </w:trPr>
        <w:tc>
          <w:tcPr>
            <w:tcW w:w="5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F-9</w:t>
            </w: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068"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4"/>
          </w:tcPr>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 of</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4"/>
              </w:rPr>
              <w:t>% of</w:t>
            </w:r>
          </w:p>
        </w:tc>
        <w:tc>
          <w:tcPr>
            <w:tcW w:w="122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Incorporation/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Place of</w:t>
            </w:r>
          </w:p>
        </w:tc>
        <w:tc>
          <w:tcPr>
            <w:tcW w:w="12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4"/>
              </w:rPr>
              <w:t>Equity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4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Incorporation</w:t>
            </w:r>
          </w:p>
        </w:tc>
        <w:tc>
          <w:tcPr>
            <w:tcW w:w="12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Ownership</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Activities</w:t>
            </w:r>
          </w:p>
        </w:tc>
      </w:tr>
      <w:tr>
        <w:trPr>
          <w:trHeight w:val="202"/>
        </w:trPr>
        <w:tc>
          <w:tcPr>
            <w:tcW w:w="5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CLPS Hangzhou Co. Ltd. (“CLPS Hangzhou”)</w:t>
            </w: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Incorporated on</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Hangzhou, China</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31, 2019</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CLPS Technology Japan (“CLPS Japan”)</w:t>
            </w: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5"/>
              </w:rPr>
              <w:t>Japan</w:t>
            </w:r>
          </w:p>
        </w:tc>
        <w:tc>
          <w:tcPr>
            <w:tcW w:w="12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13, 2019</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Ridik Pte. Ltd. (“Ridik Pte.”)</w:t>
            </w: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Acquired on</w:t>
            </w:r>
          </w:p>
        </w:tc>
        <w:tc>
          <w:tcPr>
            <w:tcW w:w="15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Singapore</w:t>
            </w:r>
          </w:p>
        </w:tc>
        <w:tc>
          <w:tcPr>
            <w:tcW w:w="128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26, 2019</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Ridik Sdn. Bhd. (“Ridik Sdn.”)</w:t>
            </w: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Acquired on</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Malaysia</w:t>
            </w:r>
          </w:p>
        </w:tc>
        <w:tc>
          <w:tcPr>
            <w:tcW w:w="12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26, 2019</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Ridik Software Solutions Pte. Ltd. (“Ridik Software Pte.”)</w:t>
            </w: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Acquired on</w:t>
            </w:r>
          </w:p>
        </w:tc>
        <w:tc>
          <w:tcPr>
            <w:tcW w:w="15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Singapore</w:t>
            </w:r>
          </w:p>
        </w:tc>
        <w:tc>
          <w:tcPr>
            <w:tcW w:w="128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26, 2019</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Qinson Credit Card Services Limited (“Qinson”)</w:t>
            </w: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Hong Kong, China</w:t>
            </w:r>
          </w:p>
        </w:tc>
        <w:tc>
          <w:tcPr>
            <w:tcW w:w="12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2019</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 (California) Inc. (“CLPS California”)</w:t>
            </w: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Incorporated on</w:t>
            </w:r>
          </w:p>
        </w:tc>
        <w:tc>
          <w:tcPr>
            <w:tcW w:w="15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California, the</w:t>
            </w:r>
          </w:p>
        </w:tc>
        <w:tc>
          <w:tcPr>
            <w:tcW w:w="128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16"/>
        </w:trPr>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2, 2020</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United States of</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30"/>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America</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Ridik Consulting Private Limited (“Ridik Consulting”)</w:t>
            </w:r>
          </w:p>
        </w:tc>
        <w:tc>
          <w:tcPr>
            <w:tcW w:w="15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Acquired on</w:t>
            </w:r>
          </w:p>
        </w:tc>
        <w:tc>
          <w:tcPr>
            <w:tcW w:w="15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7"/>
              </w:rPr>
              <w:t>India</w:t>
            </w:r>
          </w:p>
        </w:tc>
        <w:tc>
          <w:tcPr>
            <w:tcW w:w="12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6, 2020</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Hainan Qincheng Software Technology Co., Ltd.</w:t>
            </w:r>
          </w:p>
        </w:tc>
        <w:tc>
          <w:tcPr>
            <w:tcW w:w="15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Incorporated</w:t>
            </w:r>
          </w:p>
        </w:tc>
        <w:tc>
          <w:tcPr>
            <w:tcW w:w="15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Hainan,</w:t>
            </w:r>
          </w:p>
        </w:tc>
        <w:tc>
          <w:tcPr>
            <w:tcW w:w="128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16"/>
        </w:trPr>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On January 20,</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China</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30"/>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CareerWin Executive Search Co., Ltd. (“CareerWin”)</w:t>
            </w: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8"/>
              </w:rPr>
              <w:t>Shanghai,</w:t>
            </w:r>
          </w:p>
        </w:tc>
        <w:tc>
          <w:tcPr>
            <w:tcW w:w="12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60%</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Headhunting</w:t>
            </w: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March 3, 2021</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China</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Xi’an Co., Ltd.</w:t>
            </w:r>
          </w:p>
        </w:tc>
        <w:tc>
          <w:tcPr>
            <w:tcW w:w="15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Incorporated</w:t>
            </w:r>
          </w:p>
        </w:tc>
        <w:tc>
          <w:tcPr>
            <w:tcW w:w="15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6"/>
              </w:rPr>
              <w:t>Xi’an, China</w:t>
            </w:r>
          </w:p>
        </w:tc>
        <w:tc>
          <w:tcPr>
            <w:tcW w:w="128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On April 15, 2021</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development</w:t>
            </w: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Beijing Bozhuo Educational Technology Co., Ltd.</w:t>
            </w:r>
          </w:p>
        </w:tc>
        <w:tc>
          <w:tcPr>
            <w:tcW w:w="15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Acquired on</w:t>
            </w:r>
          </w:p>
        </w:tc>
        <w:tc>
          <w:tcPr>
            <w:tcW w:w="15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8"/>
              </w:rPr>
              <w:t>Beijing,</w:t>
            </w:r>
          </w:p>
        </w:tc>
        <w:tc>
          <w:tcPr>
            <w:tcW w:w="12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36%</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Software</w:t>
            </w: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11, 2021</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China</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development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generally accepted accounting principles (“U.S. GAAP”).</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comparative consolidated statements of comprehensive income (loss) for the years ended June 30, 2020 and 2019 have been revised to reclassify the government subsidies of operating nature from other income to other operating income to conform with the current year financial statement presentation. This change did not have a material impact on the Company’s consolidated financial statements for the prior periods.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and intangible assets, goodwill impairment, the impairment of long-lived assets and long-term investments, purchase price allocation and fair value of noncontrolling interests for business combinations, relative standalone selling price of the performance obligations in the IT solution services, provision for accrued expenses and other current liabilities, valuation allowance of deferred tax assets, provision for uncertain tax positions, fair value measurements of equity investments without readily determinable fair values, fair value of warrants and fair value of and estimated forfeitures for share-based compensation.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the People’s Republic of China (“PRC”). Cash balances in bank accounts in PRC are not insured by the Federal Deposit Insurance Corporation or other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Short-term investments represent highly liquid investments in wealth management products placed with certain financial institutions. The principal amounts of these products are not guaranteed. The Company classifies these wealth management products as “trading” as they are bought and held principally for the purpose of selling them in the near term. Dividend and interest income are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 The Company regularly reviews the adequacy and appropriateness of the allowance for doubtful accounts.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 and allowance for doubtful accounts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Prepayment, deposit and other assets primarily consists of advances and deposits to suppliers for purchasing goods or services that have not been received or provided and advances to employees. These advances are interest free, unsecured and short-term in nature and are reviewed periodically to determine whether their carrying value has become impaired. An allowance for doubtful accounts is recorded in the period when loss is probable.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investments consist of equity-method investments and equity investments without readily determinable fair values.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Investments in entities in which the Company can exercise significant influence but does not own a majority equity interest or control are accounted for using the equity method of accounting in accordance with ASC Topic 323,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 The share of earnings or losses of the investee are recognized in the consolidated statements of comprehensive income (loss). Equity method adjustments include the Company’s proportionate share of investee income or loss, adjustments to recognize certain differences between the Company’s carrying value and its equity in net assets of the investee at the date of investment, impairments, and other adjustments required by the equity method. The Company assesses its equity investment for other-than-temporary impairment by considering factors as well as all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 Any gain or loss from the disposition of the equity method investments is included in the consolidated statements of comprehensive income equal to difference between the proceeds the Company receives and the carrying amounts of the investment disposed.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equity investments without readily determinable fair values, the Company elects to use the measurement alternative in accordance with ASC Topic 321</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Investments-Equity securities </w:t>
      </w:r>
      <w:r>
        <w:rPr>
          <w:rFonts w:ascii="Arial" w:cs="Arial" w:eastAsia="Arial" w:hAnsi="Arial"/>
          <w:sz w:val="18"/>
          <w:szCs w:val="18"/>
          <w:color w:val="auto"/>
        </w:rPr>
        <w:t>(“ASC 321”) to measure such investments at cost minus impairment adjusted by observable price changes in orderly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the identical or a similar investment of the same issuer as of the date that the observable transaction occurred. These investments are measured at fair value on a nonrecurring basis when there are events or changes in circumstances that may have a significant adverse effect. An impairment loss is recognized in the consolidated statements of comprehensive income equal to the amount by which the carrying value exceeds the fair value of the investment. For the year ended June 30, 2021, 2020 and 2019, no such investment was remeasured and accordingly no unrealized gains (losses) was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recognized in any of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accounts for all business combinations under the purchase method of accounting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income (loss). The Company adopted Accounting Standards Update (“ASU”) No. 2017-01, </w:t>
      </w:r>
      <w:r>
        <w:rPr>
          <w:rFonts w:ascii="Arial" w:cs="Arial" w:eastAsia="Arial" w:hAnsi="Arial"/>
          <w:sz w:val="17"/>
          <w:szCs w:val="17"/>
          <w:i w:val="1"/>
          <w:iCs w:val="1"/>
          <w:color w:val="auto"/>
        </w:rPr>
        <w:t>Business Combinations (Topic 802): Clarifying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Definition of a Business</w:t>
      </w:r>
      <w:r>
        <w:rPr>
          <w:rFonts w:ascii="Arial" w:cs="Arial" w:eastAsia="Arial" w:hAnsi="Arial"/>
          <w:sz w:val="17"/>
          <w:szCs w:val="17"/>
          <w:color w:val="auto"/>
        </w:rPr>
        <w:t>, in determining whether it has acquired a business from July 1, 2019 on a prospective basis and there was no material impact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consolidated financial statements.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Terminal values are based on the expected life of assets and forecasted cash flows over that period. Acquisition-related costs are recognized as general and administrative expenses in the consolidated statements of comprehensive income (loss) as incurred.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Noncontrolling </w:t>
      </w:r>
      <w:r>
        <w:rPr>
          <w:rFonts w:ascii="Arial" w:cs="Arial" w:eastAsia="Arial" w:hAnsi="Arial"/>
          <w:sz w:val="18"/>
          <w:szCs w:val="18"/>
          <w:b w:val="1"/>
          <w:bCs w:val="1"/>
          <w:color w:val="auto"/>
        </w:rPr>
        <w:t>interests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statements of comprehensive income (loss) as an allocation of the total income or loss for the year between noncontrolling interest holders and the shareholders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and impairment, if any. The straight-line method is used to compute depreciation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20" w:type="dxa"/>
            <w:vAlign w:val="bottom"/>
            <w:tcBorders>
              <w:bottom w:val="single" w:sz="8" w:color="CCEEFF"/>
            </w:tcBorders>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The shorter of remaining lease terms or the estimated useful lives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Automobiles</w:t>
            </w:r>
          </w:p>
        </w:tc>
        <w:tc>
          <w:tcPr>
            <w:tcW w:w="482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office furniture</w:t>
            </w: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 years</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statements of comprehensive income (loss).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Amortization is computed using the straight-line method over the following estimated useful lives: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20" w:type="dxa"/>
            <w:vAlign w:val="bottom"/>
            <w:tcBorders>
              <w:bottom w:val="single" w:sz="8" w:color="CCEEFF"/>
            </w:tcBorders>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Customer relationship</w:t>
            </w:r>
          </w:p>
        </w:tc>
        <w:tc>
          <w:tcPr>
            <w:tcW w:w="4820" w:type="dxa"/>
            <w:vAlign w:val="bottom"/>
          </w:tcPr>
          <w:p>
            <w:pPr>
              <w:jc w:val="center"/>
              <w:spacing w:after="0"/>
              <w:rPr>
                <w:sz w:val="20"/>
                <w:szCs w:val="20"/>
                <w:color w:val="auto"/>
              </w:rPr>
            </w:pPr>
            <w:r>
              <w:rPr>
                <w:rFonts w:ascii="Arial" w:cs="Arial" w:eastAsia="Arial" w:hAnsi="Arial"/>
                <w:sz w:val="18"/>
                <w:szCs w:val="18"/>
                <w:color w:val="auto"/>
                <w:w w:val="86"/>
              </w:rPr>
              <w:t>5 – 10 years</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 – 5 years</w:t>
            </w: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The Company does not have any indefinite-lived intangibles other than goodwill.</w:t>
            </w:r>
          </w:p>
        </w:tc>
        <w:tc>
          <w:tcPr>
            <w:tcW w:w="4820" w:type="dxa"/>
            <w:vAlign w:val="bottom"/>
          </w:tcPr>
          <w:p>
            <w:pPr>
              <w:spacing w:after="0"/>
              <w:rPr>
                <w:sz w:val="24"/>
                <w:szCs w:val="24"/>
                <w:color w:val="auto"/>
              </w:rPr>
            </w:pPr>
          </w:p>
        </w:tc>
      </w:tr>
      <w:tr>
        <w:trPr>
          <w:trHeight w:val="655"/>
        </w:trPr>
        <w:tc>
          <w:tcPr>
            <w:tcW w:w="642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F-13</w:t>
            </w: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had only one reporting unit (that also represented the Company’s single operating segment) as of June 30, 2021 and 2020. Goodwill was allocated 100% to the single reporting unit as of June 30, 2021 and 2020. The Company has the option to assess qualitative factors first to determine whether it is necessary to perform the two-step test in accordance with ASC 350-20,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the Company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the Company is not required to perform further testing. If the carrying value of the reporting unit exceeds the fair value of the reporting unit, then the Company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2021,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reviews its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When these events occur, the Company assesses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and record the impairment in earnings.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2021, 2020 and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July 1, 2019, the Company adopted ASU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xml:space="preserve"> (“ASC 606”) using the modified retrospective approach, which requires the recognition of a cumulative-effect adjustment to retained earnings as of the date of adoption and applies the adoption only to contracts not completed as of July 1, 2019. The cumulative effect of initially applying ASC 606 resulted in a decrease to opening retained earnings of $138,644 as of July 1, 2019, with the impact primarily related to the Company’s customized IT solution services.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provides a comprehensive range of IT services and solutions, which primarily are on a time-and-expense basis, or fixed-price basis. Revenue is recognized when control of promised goods or services is transferred to the Company’s customers in an amount of consideration to which an entity expects to be entitled to in exchange for those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of IT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two performance obligations identified in the fixed-price basis contracts: the delivery of customized IT solution service and the completion of the PCS. The transaction price is allocated between the two performance obligations based on the relative standalone selling price, estimated using the cost plus method.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No impairment loss was recognized for contract assets for the years ended June 30, 2021 and 2020.</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contracts primarily comprise of the sale of consulting and head-hunting services. Revenue for other contracts is recognized at a point in time when control is transferred to the customers, which generally occurs when the service is accepted by customers.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opening and closing balances of contract assets arising from contracts with customers as of June 30, 2021 were $233,149 and $513,199, respectively, and the opening and closing balances of deferred contract costs arising from contracts with customers as of June 30, 2021 were $106,734 and $376,138. The opening and closing balances of contract liabilities arising from contracts with customers as of June 30, 2021 were $755,178 and $326,912, respectively. Revenue recognized in the year ended June 30, 2021 that was included in the contract liability balance at the beginning of the period was $703,102. This revenue was driven primarily by IT solution service performance obligations being satisfied.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disclose the value of unsatisfied performance obligations for (i) contracts with an original expected length of one year or less and</w:t>
      </w:r>
    </w:p>
    <w:p>
      <w:pPr>
        <w:spacing w:after="0" w:line="46" w:lineRule="exact"/>
        <w:rPr>
          <w:sz w:val="20"/>
          <w:szCs w:val="20"/>
          <w:color w:val="auto"/>
        </w:rPr>
      </w:pPr>
    </w:p>
    <w:p>
      <w:pPr>
        <w:ind w:right="1360" w:firstLine="8"/>
        <w:spacing w:after="0" w:line="554" w:lineRule="auto"/>
        <w:tabs>
          <w:tab w:leader="none" w:pos="265"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contracts for which the Company recognizes revenue at the amount to which it has the right to invoice for services performed. Revenue includes reimbursements of travel and out-of-pocket expense, with equivalent amounts of expense recorded in cost of revenues.</w:t>
      </w:r>
    </w:p>
    <w:p>
      <w:pPr>
        <w:spacing w:after="0" w:line="277" w:lineRule="auto"/>
        <w:rPr>
          <w:sz w:val="20"/>
          <w:szCs w:val="20"/>
          <w:color w:val="auto"/>
        </w:rPr>
      </w:pPr>
      <w:r>
        <w:rPr>
          <w:rFonts w:ascii="Arial" w:cs="Arial" w:eastAsia="Arial" w:hAnsi="Arial"/>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disaggregated revenue disclosures are presented in Note 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mainly consisted of compensation expenses for the Company’s IT professionals, travel expenses and material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 subsidies mainly represent amounts granted by local government authorities as an incentive for companies to promote development of the local technology industry. The Company also receives government subsidies related to government sponsored projects, and records such government subsidies as a liability when it is received. The Company recognizes the government subsidies in the consolidated statements of comprehensive income (loss) when there is no further performance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all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 The expenses related to these plans were $11,477,252, $6,662,389 and $6,180,287 for the years ended June 30, 2019, 2020 and 2021,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accounts for uncertainties in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(loss) in the period incurred. No significant penalties or interest relating to income taxes have been incurred during the years ended June 30, 2021, 2020 and 2019. All of the tax returns of the Company’s subsidiaries in China remain subject to examination by the tax authorities for five years from the date of filing through year 2025, and the examination period was extended to 10 years for entities qualified as High and New Technology Enterprises (“HNTEs”) in 2018 and thereafter.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Equity-classified warrants are initially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accounts for share-based payment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change in any of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(loss) per share is computed using the weighted average number of common shares outstanding during the period. Diluted earnings (loss) per share is computed using the weighted average number of common shares and potential common shares outstanding during the period, which may include RSUs, options and warrants. The computation of diluted earnings (loss) per share does not assume conversion, exercise, or contingent issuance of securities that would have an anti-dilutive effect (i.e. an increase in earnings per share amounts) on earnings (loss) per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functional currency of the Company is US$. The functional currencies of the Company’s subsidiaries are the local currency of the country in which the subsidiary operates, which is determined based on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(“ASC 830”).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income (loss).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 income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applies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and expands disclosures about fair value measurements. ASC 820 requires disclosures to be provided for fair value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of the Company primarily consist of cash and cash equivalents, short-term investments, accounts receivable, other assets, note receivables, amounts due from related parties, equity investments without readily determinable fair values, accounts payable and other current liabilities, contract liabilities, amounts due to related party, short-term bank loans and long-term bank loans. The carrying amounts of these financial instruments, except for short-term investments, equity investments without readily determinable fair values and long-term bank loans, approximate their fair values because of their generally short maturities.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trading securities is measured using the income approach, based on quoted market interest rates of similar instruments and other significant inputs derived from or corroborated by observable market data.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long-term bank loans approximates its fair value due to the fact that the related interest rates approximate market rates for similar debt instruments of comparable maturities.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equity investments without readily determinable fair values, the Company elected to use the measurement alternative to measure those investments in the cases of an impairment charge is recognized, fair value of an investment is remeasured in an acquisition/a disposal, and an orderly transaction for identical or similar investments of the same issuer is identified. The non-recurring fair value measurements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 valuation methodologies involved require management to use the observable transaction price at the transaction date and other unobservable inputs (level 3) such as volatility of comparable companies and probability of exit events as it relates to liquidation and redemption preferences.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Fair Value Measurements as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2021</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100"/>
              <w:spacing w:after="0" w:line="198" w:lineRule="exact"/>
              <w:rPr>
                <w:sz w:val="20"/>
                <w:szCs w:val="20"/>
                <w:color w:val="auto"/>
              </w:rPr>
            </w:pPr>
            <w:r>
              <w:rPr>
                <w:rFonts w:ascii="Arial" w:cs="Arial" w:eastAsia="Arial" w:hAnsi="Arial"/>
                <w:sz w:val="18"/>
                <w:szCs w:val="18"/>
                <w:b w:val="1"/>
                <w:bCs w:val="1"/>
                <w:color w:val="auto"/>
                <w:w w:val="88"/>
              </w:rPr>
              <w:t>Quoted Price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Active Market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Fair value measurements</w:t>
            </w:r>
          </w:p>
        </w:tc>
        <w:tc>
          <w:tcPr>
            <w:tcW w:w="3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7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i w:val="1"/>
                <w:iCs w:val="1"/>
                <w:color w:val="auto"/>
                <w:w w:val="92"/>
              </w:rPr>
              <w:t>Recurring</w:t>
            </w:r>
          </w:p>
        </w:tc>
        <w:tc>
          <w:tcPr>
            <w:tcW w:w="29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Trading securities</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4,158,535</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Fair Value Measurements 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2020</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Quoted Price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Active Market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Fair value measurements</w:t>
            </w:r>
          </w:p>
        </w:tc>
        <w:tc>
          <w:tcPr>
            <w:tcW w:w="3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7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i w:val="1"/>
                <w:iCs w:val="1"/>
                <w:color w:val="auto"/>
                <w:w w:val="92"/>
              </w:rPr>
              <w:t>Recurring</w:t>
            </w:r>
          </w:p>
        </w:tc>
        <w:tc>
          <w:tcPr>
            <w:tcW w:w="29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Trading securities</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636,934</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1490"/>
              <w:spacing w:after="0"/>
              <w:rPr>
                <w:sz w:val="20"/>
                <w:szCs w:val="20"/>
                <w:color w:val="auto"/>
              </w:rPr>
            </w:pPr>
            <w:r>
              <w:rPr>
                <w:rFonts w:ascii="Arial" w:cs="Arial" w:eastAsia="Arial" w:hAnsi="Arial"/>
                <w:sz w:val="18"/>
                <w:szCs w:val="18"/>
                <w:color w:val="auto"/>
              </w:rPr>
              <w:t>F-21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June 30, 2021 and 2020, the Company recognized nil gain or loss for the equity investments using the measurement alternative. As of June 30, 2021 and 2020, the Company had no financial assets and liabilities measured and recorded at fair value on a non-recurring basis.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(“ASU 2018-13”), which modifies the disclosure requirements on fair value measurements in ASC 820.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ASU 2018-13 on July 1, 2020, which has no material impact to the Company’s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Comprehensive income (loss) is defined as the changes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 xml:space="preserve">In accordance with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(“ASC 230”),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majority of the Company’s expense transactions are denominated in Renminbi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as set forth in the H.10 statistical release of the U.S. Federal Reserve Board. Remittances in currencies other than RMB by the Company in China must be processed through the People’s Bank of China (“PBOC”) or other China foreign exchange regulatory bodies which require certain supporting documentation in order to affect the remittance.</w:t>
      </w:r>
    </w:p>
    <w:p>
      <w:pPr>
        <w:spacing w:after="0" w:line="161"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functional currency for the Company’s PRC subsidiaries is the RMB, and the financial statements are presented in U.S. dollars. The RMB appreciated by depreciated by 3.7% in fiscal 2019, depreciated by 2.9% in fiscal 2020, and depreciated by 8.6% in fiscal 2021, respectively. It is difficult to predict how market forces or PRC or U.S. government policy may impact the exchange rate between the RMB and the U.S. dollar in the future. The change in the value of the RMB relative to the U.S. dollar may affect the Company’s financial results reported in the U.S. dollar terms without giving effect to any underlying changes in its business or results of operations. Currently, the majority of the Company’s assets, liabilities, revenues and costs are denominated in RMB.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 (continued)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Concentration of credit risk</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Financial instruments that potentially subject the Company to significant concentration of credit risk consist primarily of cash and cash equivalents, short-term investments, account receivables, other assets, note receivables, and amounts due from related parties. As of June 30, 2021 and 2020, $9,705,412 and $11,027,764 of the Company’s cash and cash equivalents was on deposit at financial institutions in the PRC where there currently is no rule or regulation requiring such financial institutions to maintain insurance to cover bank deposits in the event of bank failure. As of June 30, 2021, the Company and its subsidiaries had $9,705,412, $784,069, $11,477, $13,965,404, $1,833, $65,490, $191,584 and $14,113 of cash and cash equivalents on deposit at financial institutions in mainland China, Singapore, Australia, Hong Kong, India, Malaysia, Japan and America, respectively. As of June 30, 2020, the Company and its subsidiaries had $11,027,764, $940,854, $8,350, $516,816, $1,496, $58,789 and $98,051 of cash and cash equivalents on deposit at financial institutions in mainland China, Singapore, Australia, Hong Kong, India, Malaysia and Japan, respectively. The Company continues to monitor the financial strength of the financial institutions. There has been no recent history of default in relation to these financial institutions.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conducts credit evaluations on its customers and generally does not require collateral or other security from such customers. The Company periodically evaluates the creditworthiness of the existing customers in determining an allowance for doubtful accounts primarily based upon the age of the receivables and factors surrounding the credit risk of specific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Significant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June 30, 2021, 2020 and 2019, one customer with its affiliates accounted for 19.1%, 21.5% and 25.7% of the Company’s total revenues, respectively. For the years ended June 30, 2021 and 2020, one customer and its affiliates accounted for 23.2% and 30.1% of the Company’s total accounts receivable balance,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The Company has adopted the extended transition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ASU 2016-02, which modifies lease accounting for lessees to increase transparency and comparability by recording lease assets and liabilities for operating leases and disclosing key information about leasing arrangements. In July 2018, the FASB issued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or ASU 2018-10, to supersede ASU 2016-02. In addition, the FASB issued ASU No.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xml:space="preserve">, that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ASC 840, </w:t>
      </w:r>
      <w:r>
        <w:rPr>
          <w:rFonts w:ascii="Arial" w:cs="Arial" w:eastAsia="Arial" w:hAnsi="Arial"/>
          <w:sz w:val="16"/>
          <w:szCs w:val="16"/>
          <w:i w:val="1"/>
          <w:iCs w:val="1"/>
          <w:color w:val="auto"/>
        </w:rPr>
        <w:t>Leases</w:t>
      </w:r>
      <w:r>
        <w:rPr>
          <w:rFonts w:ascii="Arial" w:cs="Arial" w:eastAsia="Arial" w:hAnsi="Arial"/>
          <w:sz w:val="16"/>
          <w:szCs w:val="16"/>
          <w:color w:val="auto"/>
        </w:rPr>
        <w:t>). In June 2020, the FASB issued ASU No. 2020-05,</w:t>
      </w:r>
      <w:r>
        <w:rPr>
          <w:rFonts w:ascii="Arial" w:cs="Arial" w:eastAsia="Arial" w:hAnsi="Arial"/>
          <w:sz w:val="16"/>
          <w:szCs w:val="16"/>
          <w:i w:val="1"/>
          <w:iCs w:val="1"/>
          <w:color w:val="auto"/>
        </w:rPr>
        <w:t xml:space="preserve"> Revenue from Contracts with Customers (Topic 606) </w:t>
      </w:r>
      <w:r>
        <w:rPr>
          <w:rFonts w:ascii="Arial" w:cs="Arial" w:eastAsia="Arial" w:hAnsi="Arial"/>
          <w:sz w:val="16"/>
          <w:szCs w:val="16"/>
          <w:color w:val="auto"/>
        </w:rPr>
        <w:t>and</w:t>
      </w:r>
      <w:r>
        <w:rPr>
          <w:rFonts w:ascii="Arial" w:cs="Arial" w:eastAsia="Arial" w:hAnsi="Arial"/>
          <w:sz w:val="16"/>
          <w:szCs w:val="16"/>
          <w:i w:val="1"/>
          <w:iCs w:val="1"/>
          <w:color w:val="auto"/>
        </w:rPr>
        <w:t xml:space="preserve"> Leases (Topic 842): Effective Dates for Certain Entities, which amended the effective date of Topic 842, Leases</w:t>
      </w:r>
      <w:r>
        <w:rPr>
          <w:rFonts w:ascii="Arial" w:cs="Arial" w:eastAsia="Arial" w:hAnsi="Arial"/>
          <w:sz w:val="16"/>
          <w:szCs w:val="16"/>
          <w:color w:val="auto"/>
        </w:rPr>
        <w:t>. The updated guidance is effective for the Company’s annual reporting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ending June 30, 2023 and interim periods during the year ending June 30, 2024. The Company does not plan to early adopt the new lease standards and the Company expects that applying the ASU 2016-02 would materially increase its assets and liabilities due to the recognition of right-of-use assets and lease liabilities on its consolidated balance sheets, with an immaterial impact on its consolidated statements of comprehensive loss and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or ASU 2016-13</w:t>
      </w:r>
      <w:r>
        <w:rPr>
          <w:rFonts w:ascii="Arial" w:cs="Arial" w:eastAsia="Arial" w:hAnsi="Arial"/>
          <w:sz w:val="16"/>
          <w:szCs w:val="16"/>
          <w:color w:val="auto"/>
        </w:rPr>
        <w:t>. This ASU is intended to improve financial reporting by requiring timelier recording of credit losses on loans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held by financial institutions and other organizations. This ASU requires the measurement of all expected credit losses for financial assets held at the reporting date based on historical experience, current conditions, and reasonable and supportable forecasts. This ASU requires enhanced disclosures to help investors and other financial statement users better understand significant estimates and judgments used in estimating credit losses, as well as the credit quality and underwriting standards of the Company’s portfolio. These disclosures include qualitative and quantitative requirements that provide additional information about the amounts recorded in the financial statements. In November 2018, the FASB issued ASU No. 2018-19</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Codification Improvements to Topic 326, Financial Instruments—Credit Losses</w:t>
      </w:r>
      <w:r>
        <w:rPr>
          <w:rFonts w:ascii="Arial" w:cs="Arial" w:eastAsia="Arial" w:hAnsi="Arial"/>
          <w:sz w:val="16"/>
          <w:szCs w:val="16"/>
          <w:color w:val="auto"/>
        </w:rPr>
        <w:t>, which clarifies that receivables arising from operating leases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in accordance with ASC 842</w:t>
      </w:r>
      <w:r>
        <w:rPr>
          <w:rFonts w:ascii="Arial" w:cs="Arial" w:eastAsia="Arial" w:hAnsi="Arial"/>
          <w:sz w:val="16"/>
          <w:szCs w:val="16"/>
          <w:i w:val="1"/>
          <w:iCs w:val="1"/>
          <w:color w:val="auto"/>
        </w:rPr>
        <w:t>, Leases (“ASC 842”) instead of</w:t>
      </w:r>
      <w:r>
        <w:rPr>
          <w:rFonts w:ascii="Arial" w:cs="Arial" w:eastAsia="Arial" w:hAnsi="Arial"/>
          <w:sz w:val="16"/>
          <w:szCs w:val="16"/>
          <w:color w:val="auto"/>
        </w:rPr>
        <w:t xml:space="preserve"> ASC Subtopic 326-20. In November 2019, the FASB issued ASU No. 2019-10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Instruments—Credit Losses (Topic 326), Derivatives and Hedging (Topic 815)</w:t>
      </w:r>
      <w:r>
        <w:rPr>
          <w:rFonts w:ascii="Arial" w:cs="Arial" w:eastAsia="Arial" w:hAnsi="Arial"/>
          <w:sz w:val="16"/>
          <w:szCs w:val="16"/>
          <w:color w:val="auto"/>
        </w:rPr>
        <w:t>, and</w:t>
      </w:r>
      <w:r>
        <w:rPr>
          <w:rFonts w:ascii="Arial" w:cs="Arial" w:eastAsia="Arial" w:hAnsi="Arial"/>
          <w:sz w:val="16"/>
          <w:szCs w:val="16"/>
          <w:i w:val="1"/>
          <w:iCs w:val="1"/>
          <w:color w:val="auto"/>
        </w:rPr>
        <w:t xml:space="preserve"> Leases (Topic 842): Effective Dates</w:t>
      </w:r>
      <w:r>
        <w:rPr>
          <w:rFonts w:ascii="Arial" w:cs="Arial" w:eastAsia="Arial" w:hAnsi="Arial"/>
          <w:sz w:val="16"/>
          <w:szCs w:val="16"/>
          <w:color w:val="auto"/>
        </w:rPr>
        <w:t>, which amended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ASU 2016-13. The amendments in these ASUs are effective for the Company’s annual reporting period ending June 30, 2024 and interim periods during the year ending June 30, 2024. Early adoption is permitted. The Company does not expect to early adopt this guidance and is in the process of evaluating the impact of adoption of this guidance on the Company’s consolidated financial statements.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 part of its Simplification Initiative to reduce the cost and complexity in accounting for income taxes. This standard removes certain exceptions related to the approach for intra period tax allocation, the methodology for calculating income taxes in an interim period and the recognition of deferred tax liabilities for outside basis differences. It also amends other aspects of the guidance to help simplify and promote consistent application of GAAP. ASU 2019-12 is effective for the Company’s annual reporting period ending June 30, 2023 and interim periods during the year ending June 30, 2024. The Company does not expect to early adopt this guidance and is in the process of evaluating the impact of adoption of this guidance on the Company’s consolidated financial statements.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In March 2021, the FASB issued ASU 2021-03, </w:t>
      </w:r>
      <w:r>
        <w:rPr>
          <w:rFonts w:ascii="Arial" w:cs="Arial" w:eastAsia="Arial" w:hAnsi="Arial"/>
          <w:sz w:val="18"/>
          <w:szCs w:val="18"/>
          <w:i w:val="1"/>
          <w:iCs w:val="1"/>
          <w:color w:val="auto"/>
        </w:rPr>
        <w:t>Intangibles-Goodwill and Other (Topic 350): Accounting Alternative for</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Evaluating Triggering Events</w:t>
      </w:r>
      <w:r>
        <w:rPr>
          <w:rFonts w:ascii="Arial" w:cs="Arial" w:eastAsia="Arial" w:hAnsi="Arial"/>
          <w:sz w:val="18"/>
          <w:szCs w:val="18"/>
          <w:color w:val="auto"/>
        </w:rPr>
        <w:t>, which provide entities an accounting alternative to perform the goodwill impairment triggering event evaluation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reporting period, whether the reporting period is a interim or annual period. The guidance begins to take effect for impairment tests performed during the fiscal year ending June 30, 2024. Earlier application is permitted. The guidance should be applied on a prospective basis. The Company does not expect to early adopt this guidance and is in the process of evaluating the impact of adoption of this guidance on the Company’s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Investments—Equity Securities (Topic 321), Investments—Equity Method and Joint Ventures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323), and Derivatives and Hedging (Topic 815)</w:t>
      </w:r>
      <w:r>
        <w:rPr>
          <w:rFonts w:ascii="Arial" w:cs="Arial" w:eastAsia="Arial" w:hAnsi="Arial"/>
          <w:sz w:val="17"/>
          <w:szCs w:val="17"/>
          <w:color w:val="auto"/>
        </w:rPr>
        <w:t>. The amendments clarify that an entity should consider observable transactions that require it to either</w:t>
      </w:r>
      <w:r>
        <w:rPr>
          <w:rFonts w:ascii="Arial" w:cs="Arial" w:eastAsia="Arial" w:hAnsi="Arial"/>
          <w:sz w:val="17"/>
          <w:szCs w:val="17"/>
          <w:i w:val="1"/>
          <w:iCs w:val="1"/>
          <w:color w:val="auto"/>
        </w:rPr>
        <w:t xml:space="preserve"> </w:t>
      </w:r>
      <w:r>
        <w:rPr>
          <w:rFonts w:ascii="Arial" w:cs="Arial" w:eastAsia="Arial" w:hAnsi="Arial"/>
          <w:sz w:val="17"/>
          <w:szCs w:val="17"/>
          <w:color w:val="auto"/>
        </w:rPr>
        <w:t>apply or discontinue the equity method of accounting for the purposes of applying the measurement alternative in accordance with Topic 321 immediately before applying or upon discontinuing the equity method. The amendments also clarify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An entity also would evaluate the remaining characteristics in paragraph 815-10-15-141 to determine the accounting for those forward contracts and purchased options. The amendments are effective for fiscal years beginning July 1, 2022, and interim periods within those fiscal years. The Company does not expect to early adopt this guidance and is in the process of evaluating the impact of adoption of this guidance on the Company’s consolidated financial statements.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the FASB issued Accounting Standards Update 2021-04</w:t>
      </w:r>
      <w:r>
        <w:rPr>
          <w:rFonts w:ascii="Arial" w:cs="Arial" w:eastAsia="Arial" w:hAnsi="Arial"/>
          <w:sz w:val="17"/>
          <w:szCs w:val="17"/>
          <w:i w:val="1"/>
          <w:iCs w:val="1"/>
          <w:color w:val="auto"/>
        </w:rPr>
        <w:t>—Earnings Per Share (Topic 260), Debt—Modifications and Extinguishments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470-50), 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7"/>
          <w:szCs w:val="17"/>
          <w:color w:val="auto"/>
        </w:rPr>
        <w:t>(a consensus of the FASB Emerging</w:t>
      </w:r>
      <w:r>
        <w:rPr>
          <w:rFonts w:ascii="Arial" w:cs="Arial" w:eastAsia="Arial" w:hAnsi="Arial"/>
          <w:sz w:val="17"/>
          <w:szCs w:val="17"/>
          <w:i w:val="1"/>
          <w:iCs w:val="1"/>
          <w:color w:val="auto"/>
        </w:rPr>
        <w:t xml:space="preserve"> </w:t>
      </w:r>
      <w:r>
        <w:rPr>
          <w:rFonts w:ascii="Arial" w:cs="Arial" w:eastAsia="Arial" w:hAnsi="Arial"/>
          <w:sz w:val="17"/>
          <w:szCs w:val="17"/>
          <w:color w:val="auto"/>
        </w:rPr>
        <w:t>Issues Task Force). The FASB is issuing this Update to clarify and reduce diversity in an issuer’s accounting for modifications or exchanges of freestanding equity-classified written call options (for example, warrants) that remain equity classified after modification or exchange. Stakeholders asserted that there is diversity in an issuer’s accounting for economically similar modifications or exchanges of freestanding equity-classified written call options due to a lack of explicit guidance in the Codification. Stakeholders requested that the Board provide guidance that will clarify whether an issuer should account for a modification or an exchange of a freestanding equity-classified written call option that remains equity classified after modification or exchange as (1) an adjustment to equity and, if so, the related earnings per share (EPS) effects, if any, or (2) an expense and, if so, the manner and pattern of recognition. The amendments in this Update are effective for all entities for fiscal years beginning July 1, 2022, including interim periods within those fiscal years. The Company does not expect to early adopt this guidance and is in the process of evaluating the impact of adoption of this guidance on the Company’s consolidated financial statements.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consolidated statements of comprehensive income (loss) and consolidated statements of cash flows.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 AND DECONSOLIDATIONS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Huanyu</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27, 2017, the Company made an investment of $150,301 (RMB 1,000,000) for a 30% of equity interest in Huanyu which was accounted for as an equity method investment .</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24, 2019, the Company purchased the remaining 70% equity interest of Huanyu for $66,959 (RMB 462,000) and became the sole shareholder of Huanyu.</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87,674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50,045</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Previous held equity interests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219,272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U.S.GAAP, and comprise the expected but unidentifiable business growth as a result of the synergy resulting from the acquisition. The goodwill is not tax deductible. No intangible assets were identified from the acquisition.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financial information of Huanyu is not presented as the effects of the acquisition on the Company’s consolidated financial statements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disposal of Infogain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20, 2018, CLPS SG acquired an 80% equity interest in Infogain located in Singapore from Sharma Devendra Prasad and Deepak Malhotra with the final purchase price of $420,101 (or approximately 576,000 Singapore dollars “SGD”).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 AND DECONSOLIDATIONS -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458,943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14,454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337,685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(504,235)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(57,406)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(64,879)</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420,101</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intangible assets acquired include customer contracts, which were valued using an income approach and determined to carry estimated remaining useful lives of approximately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financial information of Infogain is not presented as the effects of the acquisition on the Company’s consolidated financial statements were not material.</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May 31, 2021, CLPS SG entered into an agreement with Sharma Devendra Prasad to sell its 80% interests in Infogain at a cash consideration of $75,672 (SGD100,000). Sharma Devendra Prasad is the shareholder of the 20% noncontrolling interests in Infogain and was the original shareholder of the 80% interest in Infogain acquired by CLPS SG in 2019. After the disposal, the Company was no longer a shareholder of Infogain and deconsolidated Infogain’s financial results from the Company’s financial statements from June 1, 2021. The Company recognized a total gain of $9,022 (SGD 11,921) from the transaction in “Other income, net” in the consolidated statements of comprehensive income (loss) for the year ended June 30, 2021. The deconsolidation of Infogain did not meet the definition of a discontinued operation in accordance with ASC 205-20, </w:t>
      </w:r>
      <w:r>
        <w:rPr>
          <w:rFonts w:ascii="Arial" w:cs="Arial" w:eastAsia="Arial" w:hAnsi="Arial"/>
          <w:sz w:val="17"/>
          <w:szCs w:val="17"/>
          <w:i w:val="1"/>
          <w:iCs w:val="1"/>
          <w:color w:val="auto"/>
        </w:rPr>
        <w:t>Presentation of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(“ASC 205-20”), as the disposal of Infogain did not represent a shift in the Company’s strategy that has (or will have) a major</w:t>
      </w:r>
      <w:r>
        <w:rPr>
          <w:rFonts w:ascii="Arial" w:cs="Arial" w:eastAsia="Arial" w:hAnsi="Arial"/>
          <w:sz w:val="17"/>
          <w:szCs w:val="17"/>
          <w:i w:val="1"/>
          <w:iCs w:val="1"/>
          <w:color w:val="auto"/>
        </w:rPr>
        <w:t xml:space="preserve"> </w:t>
      </w:r>
      <w:r>
        <w:rPr>
          <w:rFonts w:ascii="Arial" w:cs="Arial" w:eastAsia="Arial" w:hAnsi="Arial"/>
          <w:sz w:val="17"/>
          <w:szCs w:val="17"/>
          <w:color w:val="auto"/>
        </w:rPr>
        <w:t>effect on an entity’s operations and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Ridik Pte. and Ridik Consulting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26, 2019, Qiner acquired an 80% equity interest in Ridik Pte. Ltd. (“Ridik Pte.”) located in Singapore from third-party selling shareholders with the final purchase price of $2,462,580 (SGD 3,402,304), in the form of cash of $2,026,043 (SGD 2,799,180) and the Company’s common shares which were valued at $436,537 (SGD 603,123). Ridik Sdn. Bhd. (“Ridik Sdn.”), Ridik Software Solutions Pte. Ltd. (“Ridik Software Pte.”) and Ridik Software Solutions Ltd. (“Ridik Software”) are all subsidiaries of Ridik Pte. On December 3, 2019, the Company issued 86,615 common shares with $0.0001 par value per share to the selling shareholders.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CLPS INCORPORATION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rPr>
              <w:t>NOTES TO CONSOLIDATED FINANCIAL STATEMENTS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0020" w:type="dxa"/>
            <w:vAlign w:val="bottom"/>
          </w:tcPr>
          <w:p>
            <w:pPr>
              <w:jc w:val="center"/>
              <w:ind w:left="1150"/>
              <w:spacing w:after="0"/>
              <w:rPr>
                <w:sz w:val="20"/>
                <w:szCs w:val="20"/>
                <w:color w:val="auto"/>
              </w:rPr>
            </w:pPr>
            <w:r>
              <w:rPr>
                <w:rFonts w:ascii="Arial" w:cs="Arial" w:eastAsia="Arial" w:hAnsi="Arial"/>
                <w:sz w:val="18"/>
                <w:szCs w:val="18"/>
                <w:color w:val="auto"/>
                <w:w w:val="92"/>
              </w:rPr>
              <w:t>(Amounts in U.S. dollars (“$”), except for number of shares)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NOTE 3 – BUSINESS ACQUISITION AND DECONSOLIDATIONS - continued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purchase price allocation to assets acquired and liabilities assumed as of the date of acquisition was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618,144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904,748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Short-term bank loans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(48,103)</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(128,688)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Tax payables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(102,978)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(431,548)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Long-term bank loans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(44,201)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(162,855)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(411,351)</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2,462,580</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 forma financial information of Ridik Pte. and Ridik Consulting are not presented as the effects of the acquisition on the Company’s consolidated financial statements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CareerWin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$ 308,975 (RMB2 million). The total consideration was allocated to the acquisition of 100% equity interests in CareerWin and the acquisition of 30% noncontrolling interest in JAJI HR (Note 19) at $289,980 (RMB1.88 million) and $ 18,995 (RMB0.12 million),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 AND DECONSOLIDATIONS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126,680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(71,488)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Tax payables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(2,576)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(25,336)</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289,980</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 forma financial information of CareerWin is not presented as the effects of the acquisition on the Company’s consolidated financial statements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2021, the Company also completed another insignificant business combination with total cash purchase consideration of $18,533 (RMB 0.12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Accounts receivable, net consisted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44,448,073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25,850,996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(309,076)</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(97,140)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44,138,997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25,753,856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movement of the allowance for doubtful accounts is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36,450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Recovery of doubtful accounts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(16,994)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14,196</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309,076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97,140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PREPAYMENTS, DEPOSITS AND OTHER ASSETS,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Prepayments, deposits and other assets, net consisted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651,402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633,706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513,199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233,149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376,138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106,734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Due from Infogain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185,906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 receivables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127,027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110,744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53,011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Due from Judge Asia</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212,447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(212,447)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3,426,603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1,525,354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(896,145)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2,530,458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1,280,967</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Arial" w:cs="Arial" w:eastAsia="Arial" w:hAnsi="Arial"/>
                <w:sz w:val="18"/>
                <w:szCs w:val="18"/>
                <w:color w:val="auto"/>
              </w:rPr>
              <w:t>F-30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PREPAYMENTS, DEPOSITS AND OTHER ASSETS, NET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movement of the allowance for doubtful accounts is as follows:</w:t>
      </w:r>
    </w:p>
    <w:p>
      <w:pPr>
        <w:spacing w:after="0" w:line="235"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(reversal)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40" w:lineRule="exact"/>
        <w:rPr>
          <w:sz w:val="20"/>
          <w:szCs w:val="20"/>
          <w:color w:val="auto"/>
        </w:rPr>
      </w:pPr>
    </w:p>
    <w:p>
      <w:pPr>
        <w:spacing w:after="0"/>
        <w:tabs>
          <w:tab w:leader="none" w:pos="520" w:val="left"/>
          <w:tab w:leader="none" w:pos="132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212,447</w:t>
        <w:tab/>
        <w:t>$</w:t>
      </w:r>
      <w:r>
        <w:rPr>
          <w:sz w:val="20"/>
          <w:szCs w:val="20"/>
          <w:color w:val="auto"/>
        </w:rPr>
        <w:tab/>
      </w:r>
      <w:r>
        <w:rPr>
          <w:rFonts w:ascii="Arial" w:cs="Arial" w:eastAsia="Arial" w:hAnsi="Arial"/>
          <w:sz w:val="16"/>
          <w:szCs w:val="16"/>
          <w:color w:val="auto"/>
        </w:rPr>
        <w:t>147</w:t>
      </w:r>
    </w:p>
    <w:p>
      <w:pPr>
        <w:spacing w:after="0" w:line="23" w:lineRule="exact"/>
        <w:rPr>
          <w:sz w:val="20"/>
          <w:szCs w:val="20"/>
          <w:color w:val="auto"/>
        </w:rPr>
      </w:pPr>
    </w:p>
    <w:p>
      <w:pPr>
        <w:ind w:left="1860" w:hanging="791"/>
        <w:spacing w:after="0"/>
        <w:tabs>
          <w:tab w:leader="none" w:pos="1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213,422</w:t>
      </w:r>
    </w:p>
    <w:p>
      <w:pPr>
        <w:spacing w:after="0" w:line="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(230,032)</w:t>
      </w:r>
      <w:r>
        <w:rPr>
          <w:rFonts w:ascii="Arial" w:cs="Arial" w:eastAsia="Arial" w:hAnsi="Arial"/>
          <w:sz w:val="17"/>
          <w:szCs w:val="17"/>
          <w:color w:val="auto"/>
        </w:rPr>
        <w:t>(144)</w:t>
      </w:r>
    </w:p>
    <w:p>
      <w:pPr>
        <w:spacing w:after="0" w:line="9" w:lineRule="exact"/>
        <w:rPr>
          <w:sz w:val="20"/>
          <w:szCs w:val="20"/>
          <w:color w:val="auto"/>
        </w:rPr>
      </w:pPr>
    </w:p>
    <w:p>
      <w:pPr>
        <w:jc w:val="both"/>
        <w:ind w:left="640"/>
        <w:spacing w:after="0"/>
        <w:tabs>
          <w:tab w:leader="none" w:pos="2100" w:val="left"/>
        </w:tabs>
        <w:rPr>
          <w:sz w:val="20"/>
          <w:szCs w:val="20"/>
          <w:color w:val="auto"/>
        </w:rPr>
      </w:pPr>
      <w:r>
        <w:rPr>
          <w:rFonts w:ascii="Arial" w:cs="Arial" w:eastAsia="Arial" w:hAnsi="Arial"/>
          <w:sz w:val="18"/>
          <w:szCs w:val="18"/>
          <w:color w:val="auto"/>
        </w:rPr>
        <w:t>17,585</w:t>
      </w:r>
      <w:r>
        <w:rPr>
          <w:sz w:val="20"/>
          <w:szCs w:val="20"/>
          <w:color w:val="auto"/>
        </w:rPr>
        <w:tab/>
      </w:r>
      <w:r>
        <w:rPr>
          <w:rFonts w:ascii="Arial" w:cs="Arial" w:eastAsia="Arial" w:hAnsi="Arial"/>
          <w:sz w:val="18"/>
          <w:szCs w:val="18"/>
          <w:color w:val="auto"/>
        </w:rPr>
        <w:t>(978)</w:t>
      </w:r>
    </w:p>
    <w:p>
      <w:pPr>
        <w:spacing w:after="0" w:line="62" w:lineRule="exact"/>
        <w:rPr>
          <w:sz w:val="20"/>
          <w:szCs w:val="20"/>
          <w:color w:val="auto"/>
        </w:rPr>
      </w:pPr>
    </w:p>
    <w:p>
      <w:pPr>
        <w:spacing w:after="0"/>
        <w:tabs>
          <w:tab w:leader="none" w:pos="1040" w:val="left"/>
          <w:tab w:leader="none" w:pos="132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212,447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56019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Furniture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147,207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130,026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122,903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78,206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614,680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416,936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73,672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1,932,017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1,436,673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(1,331,226)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(984,201)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600,791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452,472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$404,063, $360,302, and $239,349 for the years ended June 30, 2021, 2020 and 2019, respectively. No impairment loss was recognized for the years ended June 30, 2021, 2020 and 2019.</w:t>
      </w:r>
    </w:p>
    <w:p>
      <w:pPr>
        <w:sectPr>
          <w:pgSz w:w="11900" w:h="16838" w:orient="portrait"/>
          <w:cols w:equalWidth="0" w:num="1">
            <w:col w:w="11240"/>
          </w:cols>
          <w:pgMar w:left="320" w:top="877" w:right="3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and 2020, 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Customer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accumulated amortization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2"/>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356,870</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658,224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1,056,162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896,572</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80,330</w:t>
            </w:r>
          </w:p>
        </w:tc>
        <w:tc>
          <w:tcPr>
            <w:tcW w:w="2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63,884</w:t>
            </w:r>
          </w:p>
        </w:tc>
      </w:tr>
      <w:tr>
        <w:trPr>
          <w:trHeight w:val="244"/>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(442,863)</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(474,101)</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1,050,499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1,144,579</w:t>
            </w:r>
          </w:p>
        </w:tc>
        <w:tc>
          <w:tcPr>
            <w:tcW w:w="4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June 30, 2020, customer relationship of $896,572 was derived from the acquisition of Ridik Pte. with an estimated useful life of 10 years. During the year ended June 30, 2021 , customer relationship of $127,002 was derived from the acquisition of CareerWin with an estimated useful life of 5 years (Note 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8" w:name="page149"/>
    <w:bookmarkEnd w:id="148"/>
    <w:p>
      <w:pPr>
        <w:jc w:val="center"/>
        <w:ind w:left="19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1940"/>
        <w:spacing w:after="0"/>
        <w:rPr>
          <w:sz w:val="20"/>
          <w:szCs w:val="20"/>
          <w:color w:val="auto"/>
        </w:rPr>
      </w:pPr>
      <w:r>
        <w:rPr>
          <w:rFonts w:ascii="Arial" w:cs="Arial" w:eastAsia="Arial" w:hAnsi="Arial"/>
          <w:sz w:val="17"/>
          <w:szCs w:val="17"/>
          <w:color w:val="auto"/>
        </w:rPr>
        <w:t>(Amounts in U.S. dollars (“$”), except for number of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 NET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movement of intangible assets, net is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400" w:hanging="395"/>
        <w:spacing w:after="0"/>
        <w:tabs>
          <w:tab w:leader="none" w:pos="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1,144,579</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137,006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(273,178)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(9,724)</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51,816</w:t>
      </w:r>
    </w:p>
    <w:p>
      <w:pPr>
        <w:spacing w:after="0" w:line="62" w:lineRule="exact"/>
        <w:rPr>
          <w:sz w:val="20"/>
          <w:szCs w:val="20"/>
          <w:color w:val="auto"/>
        </w:rPr>
      </w:pPr>
    </w:p>
    <w:p>
      <w:pPr>
        <w:ind w:left="400" w:hanging="395"/>
        <w:spacing w:after="0"/>
        <w:tabs>
          <w:tab w:leader="none" w:pos="400" w:val="left"/>
        </w:tabs>
        <w:numPr>
          <w:ilvl w:val="0"/>
          <w:numId w:val="8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1,050,499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sectPr>
      </w:pP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amortization expenses were $273,178, $232,871 and $164,351 for the years ended June 30, 2021, 2020 and 2019. Estimated future amortization expenses are as follows:</w:t>
      </w:r>
    </w:p>
    <w:p>
      <w:pPr>
        <w:sectPr>
          <w:pgSz w:w="11900" w:h="16838" w:orient="portrait"/>
          <w:cols w:equalWidth="0" w:num="1">
            <w:col w:w="11240"/>
          </w:cols>
          <w:pgMar w:left="320" w:top="877" w:right="339" w:bottom="1440" w:gutter="0" w:footer="0" w:header="0"/>
          <w:type w:val="continuous"/>
        </w:sect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2026 and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No impairment losses were recognized for the years ended June 30, 2021,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for the year ended June 30,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 arising from acquisition of CareerWin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 disposed due to disposal of Infogain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Amortization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expense</w:t>
      </w:r>
    </w:p>
    <w:p>
      <w:pPr>
        <w:spacing w:after="0" w:line="22" w:lineRule="exact"/>
        <w:rPr>
          <w:sz w:val="20"/>
          <w:szCs w:val="20"/>
          <w:color w:val="auto"/>
        </w:rPr>
      </w:pPr>
    </w:p>
    <w:p>
      <w:pPr>
        <w:ind w:left="520" w:hanging="434"/>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189,148</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184,631</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134,592</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129,366</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7"/>
          <w:szCs w:val="17"/>
          <w:color w:val="auto"/>
        </w:rPr>
        <w:t>110,786</w:t>
      </w:r>
    </w:p>
    <w:p>
      <w:pPr>
        <w:spacing w:after="0" w:line="2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301,976</w:t>
      </w:r>
    </w:p>
    <w:p>
      <w:pPr>
        <w:spacing w:after="0" w:line="49" w:lineRule="exact"/>
        <w:rPr>
          <w:sz w:val="20"/>
          <w:szCs w:val="20"/>
          <w:color w:val="auto"/>
        </w:rPr>
      </w:pPr>
    </w:p>
    <w:p>
      <w:pPr>
        <w:ind w:left="400" w:hanging="314"/>
        <w:spacing w:after="0"/>
        <w:tabs>
          <w:tab w:leader="none" w:pos="400" w:val="left"/>
        </w:tabs>
        <w:numPr>
          <w:ilvl w:val="0"/>
          <w:numId w:val="8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1,050,499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47625</wp:posOffset>
            </wp:positionV>
            <wp:extent cx="65151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400" w:hanging="395"/>
        <w:spacing w:after="0"/>
        <w:tabs>
          <w:tab w:leader="none" w:pos="4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2,118,700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236,834</w:t>
      </w:r>
    </w:p>
    <w:p>
      <w:pPr>
        <w:spacing w:after="0" w:line="9"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(263)</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8"/>
          <w:szCs w:val="18"/>
          <w:color w:val="auto"/>
        </w:rPr>
        <w:t>89,679</w:t>
      </w:r>
    </w:p>
    <w:p>
      <w:pPr>
        <w:spacing w:after="0" w:line="62" w:lineRule="exact"/>
        <w:rPr>
          <w:sz w:val="20"/>
          <w:szCs w:val="20"/>
          <w:color w:val="auto"/>
        </w:rPr>
      </w:pPr>
    </w:p>
    <w:p>
      <w:pPr>
        <w:ind w:left="400" w:hanging="395"/>
        <w:spacing w:after="0"/>
        <w:tabs>
          <w:tab w:leader="none" w:pos="400" w:val="left"/>
        </w:tabs>
        <w:numPr>
          <w:ilvl w:val="0"/>
          <w:numId w:val="8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2,444,950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only one reporting unit. For the years ended June 30, 2021 and 2020, the Company performed a qualitative assessment of the goodwill for the reporting unit based on the requirements of ASC 350-20. The Company evaluated all relevant factors, weighed all factors in their entirety and concluded that it was not more-likely-than-not that the fair value of the reporting unit was less than its carrying amount. Therefore, further impairment testing on goodwill was unnecessary as of June 30, 2021 and 2020,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 LONG-TERM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44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Equity investments without readily determinable fair values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CLPS Lihong Financial Information Services Co., Ltd. (“CLPS Lihong”)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558,509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510,405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Guangdong Zhichuang Software Technology Co., Ltd. (“Guangdong Zhichuang”)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92,928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Shenzhen Huaqin Robotics Co., Ltd. (“Huaqin Robotics”)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154,880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equity investments without readily determinable fair values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806,317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510,405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Equity method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Economic Modeling Information Technology Co., Ltd. (“EMIT”)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134,750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169,726</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Shanghai Shier Information Technology Co., Ltd. (“Shier”)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73,717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method investments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169,726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1,014,784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680,131</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without readily determinable fair values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investments without readily determinable fair values was USD806,317 (RMB 5.21 million) and USD510,405 (RMB 3.61 million) as of June 30, 2021 and 2020, respectively. No downward adjustments (including impairment charges) or upward adjustments was recognized on equity investments without readily determinable fair value for the years ended June 30, 2021,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April 3, 2019, the Company purchased a 30% equity interest of EMIT at nil consideration with a committed to invest $445,454.14 (RMB 3.00 million) in total within 20 years. During the years ended June 30, 2021 and 2020, the Company made capital contribution to EMIT of nil and $143,299 (RMB 1.00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2021, the Company purchased a 35% equity interest of Shier at a cash consideration of $83,228 (RMB 0.54 million).</w:t>
      </w:r>
    </w:p>
    <w:p>
      <w:pPr>
        <w:spacing w:after="0" w:line="225"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Company accounts for the investments in EMIT and Shier as equity method investments due to its significant influence over the entities. The carrying amount of the Company’s equity method investments were USD208,467 and USD169,726 as of June 30, 2021 and 2020, respectively.</w:t>
      </w:r>
    </w:p>
    <w:p>
      <w:pPr>
        <w:spacing w:after="0" w:line="14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recorded a loss of $ 44,121, a profit of $ 207,363 and a loss of $ 145,329 from equity investments accounted for using equity method for the years ended June 30, 2021, 2020 and 2019, respectively. No impairment loss was recognized for the years ended June 30, 2021, 2020 and 2019.</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 of the equity method investments in excess of the Company’s proportionate interest was not material and recognized as equity method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of the equity method investees are not presented as the effects were not 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NOTE 10 – BANK LOANS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Outstanding balances of bank loans consisted of the following:</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8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Loan from Bank of Shanghai Pudong Development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4,425,504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Loan from Bank of Communication</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3,097,605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1,132,327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Loans from Development Bank of Singapore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60,681</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Loans from China Merchants Bank</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990,785</w:t>
            </w:r>
          </w:p>
        </w:tc>
      </w:tr>
      <w:tr>
        <w:trPr>
          <w:trHeight w:val="216"/>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bank loans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7,546,483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2,183,793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(9,644)</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(22,554)</w:t>
            </w:r>
          </w:p>
        </w:tc>
      </w:tr>
      <w:tr>
        <w:trPr>
          <w:trHeight w:val="250"/>
        </w:trPr>
        <w:tc>
          <w:tcPr>
            <w:tcW w:w="8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bank loans and long-term bank loans – current portion</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7,536,839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2,161,239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Bank loans payable consisted of several bank loans denominated in RMB and SGD.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20, 2018, the Company entered into a credit facility with Development Bank of Singapore which permits the Company to borrow up to $86,071 (SGD 0.12 million). On the same date, the Company borrowed $86,071 (SGD 0.12 million) with an interest rate at 7% per annum which is repaid by installments from April 20, 2018 to April 19, 2021. The credit facility is guaranteed by Srustijeet Mishra, the former noncontrolling interest shareholder of Ridik Pte.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11, 2019, the Company entered into a credit facility with Development Bank of Singapore which permits the Company to borrow up to $50,208 (SGD 0.07 million). On the same date, the Company borrowed $50,208 (SGD 0.07 million) with an interest rate at 6.75% per annum which is repayable by installments from 2019 to 2023. The Company repaid $28,659 (SGD 0.04 million) by the end of June 30, 2021. The amount of $9,644 (SGD 0.01 million) due after June 30, 2022 was classified as “Bank loans, non-current”.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5, 2019, the Company entered into a credit facility with Bank of Communication which permits the Company to borrow up to $707,704 (RMB 5.00 million). On the same date, the Company borrowed $707,704 (RMB 5.00 million) with an interest rate at 4.785% per annum which was repaid on July 3, 2020.</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16, 2019, the Company entered into a revolving credit facility with China Merchants Bank (“CMB Credit Facility 2019”) which permits the Company to borrow up to approximately $2,830,816 (RMB 20.00 million) for the period from December 16, 2019 to December 15, 2020 with an interest rate at 4.5% to 4.785% per annum. The CMB Credit Facility 2019 is guaranteed by the CEO, the wife of the CEO, Chairman, and the wife of Chairman of the Company as joint guarantors. On March 9, 2020 and April 22, 2020, the Company borrowed a total of $2,689,275 (RMB 19.00 million) with an interest rate at 4.5% to 4.785% per annum which was repaid on April 21, 2020 and July 7, 2020. On December 9, 2020, the Company borrowed a total of $3,097,606 (RMB 20.00 million) with an interest rate at 4.350% per annum which was repaid on June 9, 2021.</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8, 2020, the Company entered into a credit facility with Bank of Communication which permits the Company to borrow up to $424,622 (RMB 3.00 million). On the same date, the Company borrowed $424,622 (RMB 3.00 million) with an interest rate at 4.785% per annum which was repaid on July 6,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7, 2020, the Company entered into a credit facility with Bank of Communication which permits the Company to borrow up to $1,239,042 (RMB 8.00 million). On July 8, 2020, the Company borrowed $1,239,042 (RMB 8.00 million) with an interest rate at 4.100% per annum and repaid the loan on September 9, 2020 and May 21,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BANK LOANS -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18, 2020, the Company entered into a credit facility with Bank of Communication which permits the Company to borrow up to $1,084,162 (RMB 7.00 million). On November 19, 2020, the Company borrowed $1,084,162 (RMB 7.00 million) with an interest rate at 4.050% per annum which was repaid on May 21,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7, 2020, the Company entered into a credit facility with Bank of Shanghai which permits the Company to borrow up to $ 774,401 (RMB 5.00 million). On the same date, the Company borrowed $ 696,961 (RMB 4.50 million) with an interest rate at 4.200% per annum which was repaid on April 20, 2021.</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25, 2021, the Company entered into a loan contract with Shanghai Pudong Development Bank. On the same date, the Company borrowed $1,548,803 (RMB 10.00 million) with an interest rate at 4.000% per annum which will be repaid by installments from March 25, 2021 to March 24, 2022.</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2021, the Company entered into a credit facility with Bank of Communication which permits the Company to borrow up to $1,858,563 (RMB 12.00 million). On April 7, 2021, the Company borrowed $ 1,858,563(RMB 12.00 million) with an interest rate at 4.050% per annum which will be repaid by April 1, 2022.On June 7, 2021, the Company entered into a loan contract with Shanghai Pudong Development Bank. On the same date, the Company borrowed $1,548,803 (RMB 10.00 million) with an interest rate at 4.000% per annum which will be repaid by June 6,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7, 2021, the Company entered into a letter of credit agreement with Shanghai Pudong Development Bank to borrow up to $688,883 (RMB 4.45 million). On June 9, 2021, the Company borrowed $688,883 (RMB 4.45 million) from the bank which will be repaid by December 6, 2021. Bank fees and interests of $13,379 (RMB 0.09 million), which approximates to an interest rate at 4.16% per annum, has been paid to the bank upfront in June 2021, and was amortized as interest expense using the effective interest method.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25, 2021, the Company entered into a letter of credit agreement with Shanghai Pudong Development Bank to borrow up to $664,646 (RMB 4.29million). On the same date, the Company borrowed $664,646 (RMB 4.29million) from the bank which will be repaid by December 20, 2021. Bank fees and interests of $13,802 (RMB 0.09 million), which approximates to an interest rate at 4.05% per annum, has been paid to the bank upfront in June 2021, and was amortized as interest expense using the effective interest method.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7, 2021, the Company entered into a credit facility with Bank of Communication which permits the Company to borrow up to $ 1,239,042 (RMB 8.00 million). On June 8, 2021, the Company borrowed $ 1,239,042 (RMB 8.00 million) with an interest rate at 4.050% per annum which will be repaid by June 7,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expenses were $156,749, $90,940 and $96,278 for the years ended June 30, 2021, 2020 and 2019, respectively. The effective weighted average interest rates were 4.160%, 4.168% and 5.231% for the years ended June 30,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SALARIES AND BENEFITS PAYABLE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$1,561,677 and $2,319,120 accrued employer portion of social benefits payable to local governments as of June 30, 2021 and 2020,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2021 and 2020 consisted of:</w:t>
      </w:r>
    </w:p>
    <w:p>
      <w:pPr>
        <w:sectPr>
          <w:pgSz w:w="11900" w:h="16838" w:orient="portrait"/>
          <w:cols w:equalWidth="0" w:num="1">
            <w:col w:w="11240"/>
          </w:cols>
          <w:pgMar w:left="320" w:top="877"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Judge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Raymond Ming Hui 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Srustijeet Mishra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Bright Technology Co., Ltd (“Beijing Bright”)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CLPS Lihong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Related party balances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balances due from and due to related parties were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Noncontrolling interest shareholder of JAJI China before November 9,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investee of the Company</w:t>
      </w:r>
    </w:p>
    <w:p>
      <w:pPr>
        <w:spacing w:after="0" w:line="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Noncontrolling interest shareholder of JAJI HR before January 28, 2021 Noncontrolling interest shareholder of Ridik Pte. before January 29, 2021 Noncontrolling interest shareholder of JAJI China Equity investee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p>
      <w:pPr>
        <w:sectPr>
          <w:pgSz w:w="11900" w:h="16838" w:orient="portrait"/>
          <w:cols w:equalWidth="0" w:num="2">
            <w:col w:w="5020" w:space="720"/>
            <w:col w:w="550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Beijing Bright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393,761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Raymond Ming Hui Lin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546,128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Due from related parties mainly represents loan provided to EMIT and software development fee prepaid to Beijing Bright.</w:t>
      </w:r>
    </w:p>
    <w:p>
      <w:pPr>
        <w:spacing w:after="0" w:line="221"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17145</wp:posOffset>
            </wp:positionV>
            <wp:extent cx="14230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9220"/>
        <w:spacing w:after="0"/>
        <w:tabs>
          <w:tab w:leader="none" w:pos="104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17145</wp:posOffset>
            </wp:positionV>
            <wp:extent cx="14230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Due to related parties:</w:t>
            </w:r>
          </w:p>
        </w:tc>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1"/>
        </w:trPr>
        <w:tc>
          <w:tcPr>
            <w:tcW w:w="5240" w:type="dxa"/>
            <w:vAlign w:val="bottom"/>
          </w:tcPr>
          <w:p>
            <w:pPr>
              <w:ind w:left="180"/>
              <w:spacing w:after="0"/>
              <w:rPr>
                <w:sz w:val="20"/>
                <w:szCs w:val="20"/>
                <w:color w:val="auto"/>
              </w:rPr>
            </w:pPr>
            <w:r>
              <w:rPr>
                <w:rFonts w:ascii="Arial" w:cs="Arial" w:eastAsia="Arial" w:hAnsi="Arial"/>
                <w:sz w:val="18"/>
                <w:szCs w:val="18"/>
                <w:color w:val="auto"/>
              </w:rPr>
              <w:t>EMIT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183,148</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Due to related partied mainly represents the unpaid consulting service fee.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Related party transactions</w:t>
      </w:r>
    </w:p>
    <w:p>
      <w:pPr>
        <w:spacing w:after="0" w:line="221"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17145</wp:posOffset>
            </wp:positionV>
            <wp:extent cx="23317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31720" cy="17145"/>
                    </a:xfrm>
                    <a:prstGeom prst="rect">
                      <a:avLst/>
                    </a:prstGeom>
                    <a:noFill/>
                  </pic:spPr>
                </pic:pic>
              </a:graphicData>
            </a:graphic>
          </wp:anchor>
        </w:drawing>
      </w:r>
    </w:p>
    <w:p>
      <w:pPr>
        <w:spacing w:after="0" w:line="16" w:lineRule="exact"/>
        <w:rPr>
          <w:sz w:val="20"/>
          <w:szCs w:val="20"/>
          <w:color w:val="auto"/>
        </w:rPr>
      </w:pPr>
    </w:p>
    <w:p>
      <w:pPr>
        <w:ind w:left="7840"/>
        <w:spacing w:after="0"/>
        <w:tabs>
          <w:tab w:leader="none" w:pos="9160" w:val="left"/>
          <w:tab w:leader="none" w:pos="104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17145</wp:posOffset>
            </wp:positionV>
            <wp:extent cx="23317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31720" cy="17145"/>
                    </a:xfrm>
                    <a:prstGeom prst="rect">
                      <a:avLst/>
                    </a:prstGeom>
                    <a:noFill/>
                  </pic:spPr>
                </pic:pic>
              </a:graphicData>
            </a:graphic>
          </wp:anchor>
        </w:drawing>
      </w:r>
    </w:p>
    <w:p>
      <w:pPr>
        <w:spacing w:after="0" w:line="16" w:lineRule="exact"/>
        <w:rPr>
          <w:sz w:val="20"/>
          <w:szCs w:val="20"/>
          <w:color w:val="auto"/>
        </w:rPr>
      </w:pPr>
    </w:p>
    <w:p>
      <w:pPr>
        <w:ind w:left="580" w:hanging="572"/>
        <w:spacing w:after="0"/>
        <w:tabs>
          <w:tab w:leader="none" w:pos="5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 provided to the related parties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CareerWin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165,161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CLPS Lihong</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269,472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50"/>
        </w:trPr>
        <w:tc>
          <w:tcPr>
            <w:tcW w:w="74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165,161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Services provided by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ind w:left="580"/>
              <w:spacing w:after="0"/>
              <w:rPr>
                <w:sz w:val="20"/>
                <w:szCs w:val="20"/>
                <w:color w:val="auto"/>
              </w:rPr>
            </w:pPr>
            <w:r>
              <w:rPr>
                <w:rFonts w:ascii="Arial" w:cs="Arial" w:eastAsia="Arial" w:hAnsi="Arial"/>
                <w:sz w:val="18"/>
                <w:szCs w:val="18"/>
                <w:color w:val="auto"/>
              </w:rPr>
              <w:t>CareerWin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195,817</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Beijing Bright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604,033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165,040</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EMIT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758,976</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50"/>
        </w:trPr>
        <w:tc>
          <w:tcPr>
            <w:tcW w:w="74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1,363,009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570,175</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Loans provided to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ind w:left="580"/>
              <w:spacing w:after="0"/>
              <w:rPr>
                <w:sz w:val="20"/>
                <w:szCs w:val="20"/>
                <w:color w:val="auto"/>
              </w:rPr>
            </w:pPr>
            <w:r>
              <w:rPr>
                <w:rFonts w:ascii="Arial" w:cs="Arial" w:eastAsia="Arial" w:hAnsi="Arial"/>
                <w:sz w:val="18"/>
                <w:szCs w:val="18"/>
                <w:color w:val="auto"/>
              </w:rPr>
              <w:t>CLPS Lihong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149,341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820,982</w:t>
            </w:r>
          </w:p>
        </w:tc>
        <w:tc>
          <w:tcPr>
            <w:tcW w:w="100" w:type="dxa"/>
            <w:vAlign w:val="bottom"/>
          </w:tcPr>
          <w:p>
            <w:pPr>
              <w:spacing w:after="0"/>
              <w:rPr>
                <w:sz w:val="18"/>
                <w:szCs w:val="18"/>
                <w:color w:val="auto"/>
              </w:rPr>
            </w:pPr>
          </w:p>
        </w:tc>
      </w:tr>
      <w:tr>
        <w:trPr>
          <w:trHeight w:val="223"/>
        </w:trPr>
        <w:tc>
          <w:tcPr>
            <w:tcW w:w="74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EMIT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151,783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0"/>
        </w:trPr>
        <w:tc>
          <w:tcPr>
            <w:tcW w:w="74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151,783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177,787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820,982</w:t>
            </w:r>
          </w:p>
        </w:tc>
        <w:tc>
          <w:tcPr>
            <w:tcW w:w="100" w:type="dxa"/>
            <w:vAlign w:val="bottom"/>
          </w:tcPr>
          <w:p>
            <w:pPr>
              <w:spacing w:after="0"/>
              <w:rPr>
                <w:sz w:val="21"/>
                <w:szCs w:val="21"/>
                <w:color w:val="auto"/>
              </w:rPr>
            </w:pPr>
          </w:p>
        </w:tc>
      </w:tr>
      <w:tr>
        <w:trPr>
          <w:trHeight w:val="21"/>
        </w:trPr>
        <w:tc>
          <w:tcPr>
            <w:tcW w:w="7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580" w:hanging="572"/>
        <w:spacing w:after="0"/>
        <w:tabs>
          <w:tab w:leader="none" w:pos="5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loans from the related parties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rPr>
              <w:t>CLPS Lihong</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149,341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820,982</w:t>
            </w:r>
          </w:p>
        </w:tc>
      </w:tr>
      <w:tr>
        <w:trPr>
          <w:trHeight w:val="223"/>
        </w:trPr>
        <w:tc>
          <w:tcPr>
            <w:tcW w:w="360" w:type="dxa"/>
            <w:vAlign w:val="bottom"/>
            <w:tcBorders>
              <w:bottom w:val="single" w:sz="8" w:color="CCEEFF"/>
            </w:tcBorders>
            <w:shd w:val="clear" w:color="auto" w:fill="CCEEFF"/>
          </w:tcPr>
          <w:p>
            <w:pPr>
              <w:spacing w:after="0"/>
              <w:rPr>
                <w:sz w:val="19"/>
                <w:szCs w:val="19"/>
                <w:color w:val="auto"/>
              </w:rPr>
            </w:pPr>
          </w:p>
        </w:tc>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EMIT</w:t>
            </w:r>
          </w:p>
        </w:tc>
        <w:tc>
          <w:tcPr>
            <w:tcW w:w="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91"/>
        </w:trPr>
        <w:tc>
          <w:tcPr>
            <w:tcW w:w="3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177,787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820,982</w:t>
            </w:r>
          </w:p>
        </w:tc>
      </w:tr>
      <w:tr>
        <w:trPr>
          <w:trHeight w:val="216"/>
        </w:trPr>
        <w:tc>
          <w:tcPr>
            <w:tcW w:w="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7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Interest income received from the related party</w:t>
            </w: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6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CLPS Lihong</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100" w:type="dxa"/>
            <w:vAlign w:val="bottom"/>
            <w:tcBorders>
              <w:bottom w:val="single" w:sz="8" w:color="CCEEFF"/>
            </w:tcBorders>
          </w:tcPr>
          <w:p>
            <w:pPr>
              <w:spacing w:after="0"/>
              <w:rPr>
                <w:sz w:val="19"/>
                <w:szCs w:val="19"/>
                <w:color w:val="auto"/>
              </w:rPr>
            </w:pPr>
          </w:p>
        </w:tc>
      </w:tr>
      <w:tr>
        <w:trPr>
          <w:trHeight w:val="250"/>
        </w:trPr>
        <w:tc>
          <w:tcPr>
            <w:tcW w:w="360" w:type="dxa"/>
            <w:vAlign w:val="bottom"/>
            <w:shd w:val="clear" w:color="auto" w:fill="CCEEFF"/>
          </w:tcPr>
          <w:p>
            <w:pPr>
              <w:spacing w:after="0"/>
              <w:rPr>
                <w:sz w:val="21"/>
                <w:szCs w:val="21"/>
                <w:color w:val="auto"/>
              </w:rPr>
            </w:pPr>
          </w:p>
        </w:tc>
        <w:tc>
          <w:tcPr>
            <w:tcW w:w="7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33,096</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CEO, the wife of the CEO, Chairman, and the wife of Chairman of the Company provided joint guarantee to the revolving credit facility entered by the Company with China Merchants Bank on June 22, 2018 and December 16, 2019 (Note 10).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Srustijeet Mishra, the former noncontrolling interest shareholder of Ridik Pte. provided guarantee to a credit facility up to $86,071 (SGD 120,000) entered by the Company with Development Bank of Singapore on April 20, 2018 (Note 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w:t>
      </w:r>
    </w:p>
    <w:p>
      <w:pPr>
        <w:spacing w:after="0" w:line="225" w:lineRule="exact"/>
        <w:rPr>
          <w:sz w:val="20"/>
          <w:szCs w:val="20"/>
          <w:color w:val="auto"/>
        </w:rPr>
      </w:pPr>
    </w:p>
    <w:p>
      <w:pPr>
        <w:ind w:left="560" w:hanging="552"/>
        <w:spacing w:after="0"/>
        <w:tabs>
          <w:tab w:leader="none" w:pos="5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CLPS Hong Kong, Qiner, Qinheng and Qinson were established in Hong Kong and are subject to Hong Kong profits tax of 16.5% on its activities conducted in Hong Kong. CLPS SG, Ridik Pte., Ridik Software Pte. and Infogain (disposed in FY2021) are subject to Singapore income tax at the rate of 17%. CLPS Ridik AU was established in Australia. Australian enterprises are usually subject to a unified 30% enterprise income tax rate while CLPS Ridik AU is subject to corporate income tax at 27.5% as a small company in the fiscal year 2021, 2020 and 2019. CLPS Japan was established in Japan and is subject to statutory income tax at 23.2%. Ridik Consulting was established in India and is subject to statutory income rate at 18.5%. Ridik Sdn. was established in Malaysia and is subject to statutory income tax rate at 24%. CLPS US was established in US and is subject to federal tax at a rate of 21% and state tax at a rate of 0% in Delaware, CLPS California was established in US and is subject to federal tax at a rate of 21% and state tax at a rate of 8.84% in California.</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Enterprise Income Tax (“EIT”) Law of PRC, domestic enterprises and Foreign Investment Enterprises (the “FIE”) are usually subject to a unified 25% enterprise income tax rate while preferential tax rates, tax holidays and tax exemption may be granted if qualified. EIT Law grants a preferential tax rate to High and New Technology Enterprises (“HNTEs”). An enterprise qualified as HNTE and awarded with the “HNTE” certificate may enjoy a reduced EIT rate of 15%. CLPS Shanghai, the Company’s main operating subsidiary in PRC, was recognized as qualified HNTEs since 2013. Its latest qualified periods are for 2019 to 2021 and it enjoys a preferential tax rate of 15%. The impact of the preferential tax treatment noted above decreased income taxes by $344,653, $193,004 and $217,671 for the fiscal year 2021, 2020 and 2019,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2"/>
          </w:tcPr>
          <w:p>
            <w:pPr>
              <w:jc w:val="right"/>
              <w:ind w:right="821"/>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14,814,221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9,266,586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Non-PRC</w:t>
            </w: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(6,493,761)</w:t>
            </w: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(5,559,127)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(9,183,561)</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8,320,460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3,707,459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(3,100,645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reconciles the statutory rate to the Company’s effective tax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changes on deferred taxes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PRC preferential tax rate and tax holidays</w:t>
            </w: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Withholding tax</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transfers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Tax receivable</w:t>
            </w:r>
          </w:p>
        </w:tc>
        <w:tc>
          <w:tcPr>
            <w:tcW w:w="120" w:type="dxa"/>
            <w:vAlign w:val="bottom"/>
          </w:tcPr>
          <w:p>
            <w:pPr>
              <w:spacing w:after="0"/>
              <w:rPr>
                <w:sz w:val="18"/>
                <w:szCs w:val="18"/>
                <w:color w:val="auto"/>
              </w:rPr>
            </w:pP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Change in valuation allowances</w:t>
            </w: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71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tax rate</w:t>
            </w: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F-38</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Corporate Income Taxes (“CIT”)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The provision (benefit) for income tax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CCEEFF"/>
            </w:tcBorders>
          </w:tcPr>
          <w:p>
            <w:pPr>
              <w:spacing w:after="0"/>
              <w:rPr>
                <w:sz w:val="20"/>
                <w:szCs w:val="20"/>
                <w:color w:val="auto"/>
              </w:rPr>
            </w:pPr>
          </w:p>
        </w:tc>
        <w:tc>
          <w:tcPr>
            <w:tcW w:w="6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662,704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(413,609)</w:t>
            </w:r>
          </w:p>
        </w:tc>
        <w:tc>
          <w:tcPr>
            <w:tcW w:w="24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172,740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100,109</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provision for income tax expenses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1,257,124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835,444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186,615</w:t>
            </w: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and 2020, the Company had net operating loss carry forwards of approximately $1,574,933 and $5,721,651, respectively, from the Company’s PRC subsidiaries, which will expire between 2021 and 2026 if not utilized. As of June 30, 2021, the Company had net operating loss carry forwards of approximately $816,827, $257,038, $152,840, $83,468, and $92,381 from its operations in Singapore, Australia, Hong Kong, Japan and US, respectively. The net operating losses in Singapore, Australia and Hong Kong will be carried forward indefinitely while the net operating losses in Japan and India will be carried forward for 10 years and 8 years,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significant components of the deferred tax assets and liabilities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611,315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1,589,884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181,730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150,184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of investee’s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93,385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86,061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(291,480)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(1,630,005)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607,773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203,247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160,911</w:t>
            </w:r>
          </w:p>
        </w:tc>
        <w:tc>
          <w:tcPr>
            <w:tcW w:w="0" w:type="dxa"/>
            <w:vAlign w:val="bottom"/>
          </w:tcPr>
          <w:p>
            <w:pPr>
              <w:spacing w:after="0"/>
              <w:rPr>
                <w:sz w:val="1"/>
                <w:szCs w:val="1"/>
                <w:color w:val="auto"/>
              </w:rPr>
            </w:pPr>
          </w:p>
        </w:tc>
      </w:tr>
      <w:tr>
        <w:trPr>
          <w:trHeight w:val="230"/>
        </w:trPr>
        <w:tc>
          <w:tcPr>
            <w:tcW w:w="8680" w:type="dxa"/>
            <w:vAlign w:val="bottom"/>
          </w:tcPr>
          <w:p>
            <w:pPr>
              <w:ind w:left="200"/>
              <w:spacing w:after="0"/>
              <w:rPr>
                <w:sz w:val="20"/>
                <w:szCs w:val="20"/>
                <w:color w:val="auto"/>
              </w:rPr>
            </w:pPr>
            <w:r>
              <w:rPr>
                <w:rFonts w:ascii="Arial" w:cs="Arial" w:eastAsia="Arial" w:hAnsi="Arial"/>
                <w:sz w:val="18"/>
                <w:szCs w:val="18"/>
                <w:color w:val="auto"/>
              </w:rPr>
              <w:t>Share of investee’s income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163,163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Realization of the net deferred tax assets is dependent on factors including future reversals of existing taxable temporary differences and adequate future taxable income, exclusive of reversing deductible temporary differences and tax loss or credit carry forwards. As of June 30, 2021 and 2020, valuation allowances were provided against deferred tax assets in entities which were in a three-year cumulative losses position and/or are not forecasted to turn profits in the foreseeable future.</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2020, the Company intends to permanently reinvest the undistributed earnings from PRC subsidiaries to fund future operations and thus no deferred tax has been recognized for withholding taxes that would be payable on the unremitted earnings that are subject to withholding taxes of the Company’s subsidiaries established in the PRC. In current year, the Company made a distribution and accrued withholding taxes of $994,941. As of June 30, 2021, the Company intends to permanently reinvest the remaining undistributed earnings from PRC subsidiaries to fund future operations and thus no deferred tax has been recognized for withholding taxes that would be payable on the unremitted earnings that are subject to withholding taxes of the Company’s subsidiaries established in the PRC. As of June 30, 2021, and 2020, the taxable temporary differences for unrecognized deferred tax liabilities related to investments in foreign subsidiaries were $20,328,999 and $20,977,600, respectively. The amount of unrecognized deferred tax liabilities for temporary differences related to investments in foreign subsidiaries is not determined because such a determination is not practicable.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 - continued</w:t>
      </w:r>
    </w:p>
    <w:p>
      <w:pPr>
        <w:spacing w:after="0" w:line="225" w:lineRule="exact"/>
        <w:rPr>
          <w:sz w:val="20"/>
          <w:szCs w:val="20"/>
          <w:color w:val="auto"/>
        </w:rPr>
      </w:pPr>
    </w:p>
    <w:p>
      <w:pPr>
        <w:ind w:left="560" w:hanging="552"/>
        <w:spacing w:after="0"/>
        <w:tabs>
          <w:tab w:leader="none" w:pos="5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It is possible that the amount of unrecognized benefit will further change in the next 12 months; however, an estimate of the range of the possible change cannot be made at this moment. Unrecognized tax benefits were presented in “other non-current liabilities” in the consolidated balance sheets. As of June 30, 2021, the Company had unrecognized tax benefits of $1,333,608 if ultimately recognized, will impact the effective tax rate. The Company has presented unrecognized tax benefits of $750,616 on a net basis with deferred tax assets relating to tax losses carry forward, $208,109 of which a full valuation allowance would otherwise be recorded. The Company record interests of $53,826 and zero penalties related to potential underpaid income tax expenses for the years ended June 30, 2021 and zero interests and penalties for the years ended June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5"/>
              </w:rPr>
              <w:t>A reconciliation of the beginning and ending amount of unrecognized tax benefit was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1,139,596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228,358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128,467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1,333,608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128,467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tax years ended December 31, 2016 through December 31, 2020 for the Company’s PRC entities remain open for statutory examination by PRC tax authorities.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4280" w:type="dxa"/>
            <w:vAlign w:val="bottom"/>
          </w:tcPr>
          <w:p>
            <w:pPr>
              <w:ind w:left="160"/>
              <w:spacing w:after="0"/>
              <w:rPr>
                <w:sz w:val="20"/>
                <w:szCs w:val="20"/>
                <w:color w:val="auto"/>
              </w:rPr>
            </w:pPr>
            <w:r>
              <w:rPr>
                <w:rFonts w:ascii="Arial" w:cs="Arial" w:eastAsia="Arial" w:hAnsi="Arial"/>
                <w:sz w:val="18"/>
                <w:szCs w:val="18"/>
                <w:b w:val="1"/>
                <w:bCs w:val="1"/>
                <w:color w:val="auto"/>
              </w:rPr>
              <w:t>Tax Payables</w:t>
            </w: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The Company’s tax payables consist of the following:</w:t>
            </w: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payable</w:t>
            </w:r>
          </w:p>
        </w:tc>
        <w:tc>
          <w:tcPr>
            <w:tcW w:w="4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770,853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532,649</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40,211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225,311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 payable</w:t>
            </w: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194,747</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Disability insurance fund payable</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565,806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438,759</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payables</w:t>
            </w:r>
          </w:p>
        </w:tc>
        <w:tc>
          <w:tcPr>
            <w:tcW w:w="4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 payables</w:t>
            </w:r>
          </w:p>
        </w:tc>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vMerge w:val="continue"/>
          </w:tcPr>
          <w:p>
            <w:pPr>
              <w:spacing w:after="0"/>
              <w:rPr>
                <w:sz w:val="20"/>
                <w:szCs w:val="20"/>
                <w:color w:val="auto"/>
              </w:rPr>
            </w:pPr>
          </w:p>
        </w:tc>
        <w:tc>
          <w:tcPr>
            <w:tcW w:w="4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1,715,009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1,426,614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jc w:val="right"/>
              <w:ind w:right="3120"/>
              <w:spacing w:after="0"/>
              <w:rPr>
                <w:sz w:val="20"/>
                <w:szCs w:val="20"/>
                <w:color w:val="auto"/>
              </w:rPr>
            </w:pPr>
            <w:r>
              <w:rPr>
                <w:rFonts w:ascii="Arial" w:cs="Arial" w:eastAsia="Arial" w:hAnsi="Arial"/>
                <w:sz w:val="18"/>
                <w:szCs w:val="18"/>
                <w:color w:val="auto"/>
              </w:rPr>
              <w:t>F-40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leases commitments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subsidiaries lease administrative office space under various operating leases. Rental expenses recognized using the straight-line basis under operating leases amounted to $942,606, $944,645 and $827,593 for the years ended June 30, 2021, 2020 and 2019, respectively.</w:t>
      </w:r>
    </w:p>
    <w:p>
      <w:pPr>
        <w:sectPr>
          <w:pgSz w:w="11900" w:h="16838" w:orient="portrait"/>
          <w:cols w:equalWidth="0" w:num="1">
            <w:col w:w="11240"/>
          </w:cols>
          <w:pgMar w:left="320" w:top="877"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non-cancellable operating leases are as follows: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Lease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expense</w:t>
      </w:r>
    </w:p>
    <w:p>
      <w:pPr>
        <w:spacing w:after="0" w:line="22" w:lineRule="exact"/>
        <w:rPr>
          <w:sz w:val="20"/>
          <w:szCs w:val="20"/>
          <w:color w:val="auto"/>
        </w:rPr>
      </w:pPr>
    </w:p>
    <w:p>
      <w:pPr>
        <w:ind w:left="400" w:hanging="395"/>
        <w:spacing w:after="0"/>
        <w:tabs>
          <w:tab w:leader="none" w:pos="4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1,045,953</w:t>
      </w:r>
    </w:p>
    <w:p>
      <w:pPr>
        <w:spacing w:after="0" w:line="4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639,010</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429,168</w:t>
      </w:r>
    </w:p>
    <w:p>
      <w:pPr>
        <w:spacing w:after="0" w:line="85" w:lineRule="exact"/>
        <w:rPr>
          <w:sz w:val="20"/>
          <w:szCs w:val="20"/>
          <w:color w:val="auto"/>
        </w:rPr>
      </w:pPr>
    </w:p>
    <w:p>
      <w:pPr>
        <w:ind w:left="400" w:hanging="395"/>
        <w:spacing w:after="0"/>
        <w:tabs>
          <w:tab w:leader="none" w:pos="400" w:val="left"/>
        </w:tabs>
        <w:numPr>
          <w:ilvl w:val="0"/>
          <w:numId w:val="9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2,114,131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0294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Group’s capital commitments primarily relate to commitments in connection with the acquisition of real estate property. Total capital commitments contracted but not yet reflected in the financial statements amounted to $3,302,944 (HKD 25,650,000) as of June 30, 2021. Almost all of the commitments relating to the acquisition of real estate property are to be fulfilled within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Group’s investment commitments primarily relate to capital contribution obligations under certain arrangements which do not have contractual maturity date. The total investment commitments contracted but not yet reflected in the consolidated financial statements amounted to $500,304, of which $206,032 has been fulfilled in August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180" w:type="dxa"/>
            <w:vAlign w:val="bottom"/>
          </w:tcPr>
          <w:p>
            <w:pPr>
              <w:spacing w:after="0"/>
              <w:rPr>
                <w:sz w:val="20"/>
                <w:szCs w:val="20"/>
                <w:color w:val="auto"/>
              </w:rPr>
            </w:pPr>
            <w:r>
              <w:rPr>
                <w:rFonts w:ascii="Arial" w:cs="Arial" w:eastAsia="Arial" w:hAnsi="Arial"/>
                <w:sz w:val="18"/>
                <w:szCs w:val="18"/>
                <w:b w:val="1"/>
                <w:bCs w:val="1"/>
                <w:color w:val="auto"/>
              </w:rPr>
              <w:t>Basic earnings (loss) per share calculation: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Numerator:</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shares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6,816,572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2,938,239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(3,269,776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Denominator:</w:t>
            </w: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17,279,443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14,689,224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13,843,764</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Basic earnings (loss) per share attributable to common 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 calculation: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00"/>
              <w:spacing w:after="0"/>
              <w:rPr>
                <w:sz w:val="20"/>
                <w:szCs w:val="20"/>
                <w:color w:val="auto"/>
              </w:rPr>
            </w:pPr>
            <w:r>
              <w:rPr>
                <w:rFonts w:ascii="Arial" w:cs="Arial" w:eastAsia="Arial" w:hAnsi="Arial"/>
                <w:sz w:val="18"/>
                <w:szCs w:val="18"/>
                <w:color w:val="auto"/>
              </w:rPr>
              <w:t>Numerator: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income (loss) attributable to common shares for calculating diluted earnings per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6,816,572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2,938,239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(3,269,776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Denominator:</w:t>
            </w: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17,279,443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14,689,224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13,843,764</w:t>
            </w:r>
          </w:p>
        </w:tc>
        <w:tc>
          <w:tcPr>
            <w:tcW w:w="0" w:type="dxa"/>
            <w:vAlign w:val="bottom"/>
          </w:tcPr>
          <w:p>
            <w:pPr>
              <w:spacing w:after="0"/>
              <w:rPr>
                <w:sz w:val="1"/>
                <w:szCs w:val="1"/>
                <w:color w:val="auto"/>
              </w:rPr>
            </w:pP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Weighted average common shares equivalents: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Effects of dilutive securities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660"/>
              <w:spacing w:after="0"/>
              <w:rPr>
                <w:sz w:val="20"/>
                <w:szCs w:val="20"/>
                <w:color w:val="auto"/>
              </w:rPr>
            </w:pPr>
            <w:r>
              <w:rPr>
                <w:rFonts w:ascii="Arial" w:cs="Arial" w:eastAsia="Arial" w:hAnsi="Arial"/>
                <w:sz w:val="18"/>
                <w:szCs w:val="18"/>
                <w:color w:val="auto"/>
              </w:rPr>
              <w:t>Warrants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options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179,479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ind w:left="660"/>
              <w:spacing w:after="0"/>
              <w:rPr>
                <w:sz w:val="20"/>
                <w:szCs w:val="20"/>
                <w:color w:val="auto"/>
              </w:rPr>
            </w:pPr>
            <w:r>
              <w:rPr>
                <w:rFonts w:ascii="Arial" w:cs="Arial" w:eastAsia="Arial" w:hAnsi="Arial"/>
                <w:sz w:val="18"/>
                <w:szCs w:val="18"/>
                <w:color w:val="auto"/>
              </w:rPr>
              <w:t>RSUs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110,518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3,075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 attributable to common shares</w:t>
            </w:r>
          </w:p>
        </w:tc>
        <w:tc>
          <w:tcPr>
            <w:tcW w:w="4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17,569,440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14,692,299</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13,843,764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earnings (loss) per share attributable to common shares</w:t>
            </w: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June 30, 2021, warrants were out-of-the-money with no dilutive effect. For the year ended June 30, 2020, warrants and options were out-of-the-money with no dilutive effect. For the year ended June 30, 2019, warrants, RSUs and options were excluded from the computation of diluted loss per share as the effects were antidilutive.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on May 24, 2018</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closing of the Company’s IPO on May 24, 2018, the Company issued 283,192 warrants to several placement agents of the IPO. Each warrant entitles the warrant holder to purchase the Company’s common shares at $4.20 or $6.3 per share. The warrants carry a term of five years expiring in May 2023 and shall not be exercisable for a period of 180 days from May 23, 2018. During the year ended June 30, 2019, 176,192 warrants were exercised and 99,380 common shares were issued. During year ended June 30, 2020, no warrants were exercised. During year ended June 30, 2021, 107,000 warrants were exercised and 65,542 common shares were issued. As of June 30, 2021 and 2020, nil and 107,000 warrants were issued and outstanding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00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100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00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49.39%</w:t>
            </w: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term represents the weighted average period of time that the warrants granted are expected to be outstanding giving consideration to historical exercise patterns.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May 24, 2018 was $612,223.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on March 3, 2021</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3, 2021, the Company issued 2,666,666 warrants to with certain accredited investors concurrently with the private placement transaction (Note 18). Each warrant to purchase one common share of the Company at $6.0 per share and can be exercised prior to the termination date which is September 3, 2026. During year ended June 30, 2021, no warrants were exercised. As of June 30, 2021, 2,666,666 warrants were issued and outstanding.</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00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100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00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41.48%</w:t>
            </w: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0.83%</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term represents the weighted average period of time that the warrants granted are expected to be outstanding giving consideration to historical exercise patterns.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May 3, 2021 was $3,413,332.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SHARE-BASED PAYMENT</w:t>
      </w:r>
    </w:p>
    <w:p>
      <w:pPr>
        <w:spacing w:after="0" w:line="225" w:lineRule="exact"/>
        <w:rPr>
          <w:sz w:val="20"/>
          <w:szCs w:val="20"/>
          <w:color w:val="auto"/>
        </w:rPr>
      </w:pPr>
    </w:p>
    <w:p>
      <w:pPr>
        <w:ind w:left="560" w:hanging="552"/>
        <w:spacing w:after="0"/>
        <w:tabs>
          <w:tab w:leader="none" w:pos="5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The 2017 Stock Incentive Plan (the “2017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Plan will be determined by the Board (or its Compensation Committee) and may contain both service and performance conditions.</w:t>
      </w:r>
    </w:p>
    <w:p>
      <w:pPr>
        <w:spacing w:after="0" w:line="174" w:lineRule="exact"/>
        <w:rPr>
          <w:sz w:val="20"/>
          <w:szCs w:val="20"/>
          <w:color w:val="auto"/>
        </w:rPr>
      </w:pPr>
    </w:p>
    <w:p>
      <w:pPr>
        <w:ind w:left="560" w:hanging="552"/>
        <w:spacing w:after="0"/>
        <w:tabs>
          <w:tab w:leader="none" w:pos="5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2019 Equity Incentive Plan (the “2019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award was granted under the 2019 Plan.</w:t>
      </w:r>
    </w:p>
    <w:p>
      <w:pPr>
        <w:spacing w:after="0" w:line="167" w:lineRule="exact"/>
        <w:rPr>
          <w:sz w:val="20"/>
          <w:szCs w:val="20"/>
          <w:color w:val="auto"/>
        </w:rPr>
      </w:pPr>
    </w:p>
    <w:p>
      <w:pPr>
        <w:ind w:left="560" w:hanging="552"/>
        <w:spacing w:after="0"/>
        <w:tabs>
          <w:tab w:leader="none" w:pos="5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2020 Equity Incentive Plan (the “2020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 The grants under the 2020 Plan generally have a maximum contractual term of five years from the date of grant. The terms of individual agreements for various grants under the Plan will be determined by the Board (or its Compensation Committee) and may contain both service and performance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20, 2018, the Company granted an aggregate of 306,967 stock options to key employees and senior executives under the 2017 Plan. The stock options are valid for a period of 10 years from the grant date and vest 25% per year in equal annual installments at the end of each anniversary over a four-year period, with the first 25% vesting on November 20, 2019 and the second, third and fourth 25% vest on November 20, 2020, 2021 and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SHARE-BASED PAYMENT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27, 2019, the Company granted an aggregate of 775,250 stock options to key employees and senior executives under the 2017 Plan. The stock options are valid for a period of 5 years from the grant date and vest 25% per year in equal annual installments at the end of each anniversary over a four-year period, with the first 25% vesting on November 27, 2020 and the second, third and fourth 25% vest on November 27, 2021, 2022 and 2023, respectively.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6, 2020, the Company granted an aggregate of 618,839 stock options to key employees and senior executives under the 2020 plan. The stock options are valid for a period of 5 years from the grant date and vest 25% per year in equal annual installments at the end of each anniversary over a four-year period, with the first 25% vesting on November 6, 2021 and the second, third and fourth 25% vest on November 6, 2022, 2023 and 2024, respectively.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options granted to employees are accounted for as equity awards and measured at their grant date fair value using binomial lattice model. The Company recognizes the compensation expenses over the service requisite periods using the accelerated method. Share-based compensation cost of $529,479, $448,736 and $ 271,560 were recognized for the year ended June 30, 2021, 2020 and 2019, respectively. The weighted-average grant-date fair value per share of options granted was $1.06 for senior executives and $1.03 for key employees during the years ended June 30, 2021, $1.03 for senior executives and $1.01 for key employees during the years ended June 30, 2020, and $3.13 for senior executives and $2.87 for key employees during the years ended June 30,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value the Company’s stock options grants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For the years ended</w:t>
            </w:r>
          </w:p>
        </w:tc>
      </w:tr>
      <w:tr>
        <w:trPr>
          <w:trHeight w:val="241"/>
        </w:trPr>
        <w:tc>
          <w:tcPr>
            <w:tcW w:w="40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0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Pr>
          <w:p>
            <w:pPr>
              <w:spacing w:after="0"/>
              <w:rPr>
                <w:sz w:val="19"/>
                <w:szCs w:val="19"/>
                <w:color w:val="auto"/>
              </w:rPr>
            </w:pPr>
          </w:p>
        </w:tc>
      </w:tr>
      <w:tr>
        <w:trPr>
          <w:trHeight w:val="216"/>
        </w:trPr>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multiples</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Forfeited rates</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Fair market value per common share</w:t>
            </w: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r>
      <w:tr>
        <w:trPr>
          <w:trHeight w:val="641"/>
        </w:trPr>
        <w:tc>
          <w:tcPr>
            <w:tcW w:w="40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jc w:val="right"/>
              <w:ind w:right="3220"/>
              <w:spacing w:after="0"/>
              <w:rPr>
                <w:sz w:val="20"/>
                <w:szCs w:val="20"/>
                <w:color w:val="auto"/>
              </w:rPr>
            </w:pPr>
            <w:r>
              <w:rPr>
                <w:rFonts w:ascii="Arial" w:cs="Arial" w:eastAsia="Arial" w:hAnsi="Arial"/>
                <w:sz w:val="18"/>
                <w:szCs w:val="18"/>
                <w:color w:val="auto"/>
              </w:rPr>
              <w:t>F-45</w:t>
            </w: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SHARE-BASED PAYMENT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are the market value of the Company’s stocks on the grant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summary of stock options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Grant-date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6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stock options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988,932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3"/>
              </w:rPr>
              <w:t>5.4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618,839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(61,328)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(115,953)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1,430,490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1,949,145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Outstanding and exercisable as of June 30,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255,165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228,723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1,231,149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1,595,418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During year ended June 30, 2021, 61,328 share options were exercised and 49,704 common shares were issued.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difference between the closing stock price on the last trading day in fiscal 2021 and the options’ respective exercise price. Total intrinsic value of options exercised for the year ended June 30, 2021 was $57,613. No options were exercised in fiscal year 2020 and 2019. The total fair value of options vested during the years ended June 30, 2021, 2020 and 2019 was $354,701, $274,063 and nil, respectively.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there was $512,572 of unrecognized compensation cost, adjusted for estimated forfeitures based on historical data, related to non-vested stock options granted to the Company’s employees and directors. Total unrecognized compensation cost is expected to be recognized over a period of 1.77 years as of June 30, 2021. Total unrecognized compensation cost may be adjusted for future changes in estimated forfeitures.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June 30, 2019, the Company granted an aggregate of 683,469 RSUs to key employees and directors under the 2017 Plan. 671,469 RSUs granted to key employees and directors generally vest within two years which vest in three installments, with the first 33% vesting on the grant date, second 33% and remaining 34% vest at the end of the first and second anniversary, respectively. 12,000 RSUs granted to a key employee fully vest in one year after the grant date. RSUs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SHARE-BASED PAYMENT - continued</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June 30, 2020, the Company granted 613,300 RSUs to key employees and directors and 1,119,750 RSUs to key employees under the 2017 Plan and the 2020 Plan, respectively. 18,700 RSUs granted to the employees under the 2017 Plan fully vest in one year after the grant date, and 594,600 RSUs granted to the employees and directors under the 2017 Plan fully vest on the grant date. 1,073,700 RSUs granted to key employees under the 2020 Plan fully vest on the grant date, and 46,050 RSUs to key employees under the 2020 Plan fully vest on specified date within two years.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2021, the Company granted 1,362,370 RSUs to key employees under the 2020 Plan. The RSUs granted to the employees fully vest on specified date within two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per share is determined as the closing stock price at the grant date.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the compensation expenses over the service requisite periods using the accelerated method. Share-based compensation cost of $4,599,217, $3,555,344 and $6,744,551 was recognized for the year ended June 30, 2021, 2020 and 2019,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The following table sets forth the summary of RSUs activities: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9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Number of</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89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89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1,362,370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(1,518,688)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Forfeited or expired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there was $ 107,682 of unrecognized compensation cost, adjusted for estimated forfeitures based on historical data, related to non-vested, service-based RSUs granted to the Company’s employees and directors. The RSUs are expected to be recognized over a weighted-average period of 0.6 years. The total fair value of the restricted share units vested was $5,338,069, $4,702,325 and $2,735,093 during the year ended June 30, 2021, 2020 and 2019, respectively. The weighted-average grant-date fair value per share of RSUs granted was $3.34, $2.32 and $12.11 during the year ended June 30, 2021, 2020 and 2019,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2019, the Company recognized total share-based compensation expenses of $7,016,089, including $9,472, $46,100 and $6,960,517 in cost of revenues, selling and marketing expenses, and general and administrative expenses,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June 30, 2020, the Company recognized total share-based compensation expenses of $4,004,080, including $12,448, $201,168 and $3,790,464 in cost of revenues, selling and marketing expenses, and general and administrative expenses,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2021, the Company recognized total share-based compensation expenses of $5,128,696, including $8,403, $122,087 and $4,998,206 in cost of revenues, selling and marketing expenses, and general and administrative expenses,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CLPS was established under the laws of Cayman Islands on May 11, 2017. The original authorized number of common shares was 1 share with a par value of $1.</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dividend was declared during the years ended June 30, 2021,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 and restricted net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$1,410,264, $970,009 and $715,335 to statutory reserves during the years ended June 30, 2021, 2020 and 2019, respectively in accordance with PRC GAAP.</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PRC laws and regulations permit payments of dividends by the Company’s subsidiaries incorporated in the PRC only out of their retained earnings, if any, as determined in accordance with PRC accounting standards and regulations. In addition, the Company’s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Company’s subsidiaries incorporated in the PRC are restricted in their ability to transfer a portion of their net assets to the Company in the form of dividends payments, loans or advances. Amounts of net assets restricted amounted to $11,482,521 and $9,897,493 as of June 30, 2021 and 2020, respectively. Except for the above or disclosed elsewhere, there is no other restriction on the use of proceeds generated by the Company’s subsidiaries to satisfy any obligations of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components of accumulated other comprehensive income (loss) were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Foreign</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9"/>
              </w:rPr>
              <w:t>currency</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translation</w:t>
            </w:r>
          </w:p>
        </w:tc>
      </w:tr>
      <w:tr>
        <w:trPr>
          <w:trHeight w:val="241"/>
        </w:trPr>
        <w:tc>
          <w:tcPr>
            <w:tcW w:w="10020" w:type="dxa"/>
            <w:vAlign w:val="bottom"/>
          </w:tcPr>
          <w:p>
            <w:pPr>
              <w:spacing w:after="0"/>
              <w:rPr>
                <w:sz w:val="20"/>
                <w:szCs w:val="20"/>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6"/>
              </w:rPr>
              <w:t>income (loss)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comprehensive loss before reclassification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(571,943)</w:t>
            </w: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current-period other comprehensive income</w:t>
            </w: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(571,943)</w:t>
            </w:r>
          </w:p>
        </w:tc>
        <w:tc>
          <w:tcPr>
            <w:tcW w:w="100" w:type="dxa"/>
            <w:vAlign w:val="bottom"/>
            <w:tcBorders>
              <w:top w:val="single" w:sz="8" w:color="CCEEFF"/>
            </w:tcBorders>
          </w:tcPr>
          <w:p>
            <w:pPr>
              <w:spacing w:after="0"/>
              <w:rPr>
                <w:sz w:val="17"/>
                <w:szCs w:val="17"/>
                <w:color w:val="auto"/>
              </w:rPr>
            </w:pP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attribute to noncontrolling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22,928</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(1,362,665)</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2,697,395</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(2,172)</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Other comprehensive loss attribute to noncontrolling interests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(102,475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1,230,083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nil tax expense or benefit recognized related to the changes of each component of accumulated other comprehensive income for the years ended June 30, 2019, 2020 and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June 2018, the Company held a 70% equity interest of CLPS Beijing which primarily engages in software development. On June 27, 2018, Qiner purchased the remaining 30% equity interest of CLPS Beijing at a cash consideration of $585,889 from the noncontrolling shareholders and became the sole shareholder of CLPS Beijing. The carrying amount of the noncontrolling interests was $91,533. The transaction was accounted for as an equity transaction and the difference of $494,356 between the purchase consideration and the carrying value of the noncontrolling interest of CLPS Beijing was recorded in the additional paid-in capital on the consolidated balance sheets.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December 2019, CLPS Shanghai held a 70% equity interest of CLPS Shenzhen and an 80% equity interest of CLPS Hong Kong, which held the remaining 30% equity interest of CLPS Shenzhen. On December 9, 2019, Qiner acquired the remaining 20% equity interest of CLPS Hong Kong from the noncontrolling shareholder with the consideration of the Company’s 100,000 common shares valued at $278,000, therefore holding 100% of CLPS Hong Kong and CLPS Shenzhen’s equity interest accordingly. On December 3, 2019, the Company issued 100,000 common shares with $0.0001 par value per share to noncontrolling shareholder. The carrying amount of the noncontrolling interests was $(130,992). The transaction was accounted for as an equity transaction and the difference of $131,002 between the purchase consideration and the carrying value of the noncontrolling interest of CLPS Hong Kong and CLPS Shenzhen was recorded in the additional paid-in capital on the consolidated balance sheets.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December 22, 2020, Qiner held an 80% equity interest in Ridik. On December 22, 2020, CLPS Technology (Singapore) Pte. Ltd., a fully owned subsidiary of Qiner, entered into a share purchase agreement with the noncontrolling shareholders of Ridik to purchase the remaining 20% equity interest in Ridik. The total purchase consideration is $621,619, including a cash consideration of $436,550 and the Company’s 62,622 common shares valued at $185,069 on January 29, 2021, using the closing market price of US$3.41 per share and discounts for lack of marketability. The carrying amount of the noncontrolling interests of Ridik as of January 29, 2021 was $446,636. The transaction was accounted for as an equity transaction and the difference of $10,080 between the purchase consideration and the carrying value of the noncontrolling interest of Ridik was recorded in the additional paid-in capital on the consolidated balance sheets.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January, 2021, JAJI China, a 60% owned subsidiary of CLPS, entered into an agreement with CareerWin to purchase CareerWin’s 30% equity interest in JAJI HR. JAJI China owned 70% of JAJI HR before January 2021, so after the transaction, JAJI China owned 100% of JAJI HR. The purchase consideration was $18,995. The carrying amount of the noncontrolling interests was $12,189. The transaction was accounted for as an equity transaction and the difference of $6,806 between the purchase consideration and the carrying value of the noncontrolling interest of JAJI HR was recorded in the additional paid-in capital on the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 AND REVENUE ANALYSIS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Company’s revenue and net income are substantially derived from enterprise application services and financial industry IT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The following table presents revenues generated in domestic and overseas markets for the years ended June 30, 2021,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8"/>
          </w:tcPr>
          <w:p>
            <w:pPr>
              <w:ind w:left="640"/>
              <w:spacing w:after="0"/>
              <w:rPr>
                <w:sz w:val="20"/>
                <w:szCs w:val="20"/>
                <w:color w:val="auto"/>
              </w:rPr>
            </w:pPr>
            <w:r>
              <w:rPr>
                <w:rFonts w:ascii="Arial" w:cs="Arial" w:eastAsia="Arial" w:hAnsi="Arial"/>
                <w:sz w:val="18"/>
                <w:szCs w:val="18"/>
                <w:b w:val="1"/>
                <w:bCs w:val="1"/>
                <w:color w:val="auto"/>
              </w:rPr>
              <w:t>For the years ended June 30,</w:t>
            </w:r>
          </w:p>
        </w:tc>
      </w:tr>
      <w:tr>
        <w:trPr>
          <w:trHeight w:val="237"/>
        </w:trPr>
        <w:tc>
          <w:tcPr>
            <w:tcW w:w="73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112,511,341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78,840,635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60,398,820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9,613,026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7,369,345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2,525,489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3,728,039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3,071,857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1,961,763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Malaysia</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148,128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125,748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26,419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India</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126,061,693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89,415,798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64,932,937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8"/>
          </w:tcPr>
          <w:p>
            <w:pPr>
              <w:ind w:left="64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122,273,395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87,136,754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61,755,355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3,130,646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1,844,892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3,041,482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434,152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136,100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vMerge w:val="continue"/>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126,061,693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89,415,798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64,932,937</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F-50</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June 7, 2021, the Company entered into a purchase agreement with a third party to purchase an office property in Hong Kong for self-use at a consideration of $ 3,669,937 (HKD 28,500,000). The Company made the first payment of $ 183,497 (HKD 1,425,000) on May 24,2021 and second payment of $183,497 (HKD 1,425,000) on June 4,2021. Remaining balance of $3,302,943 (HKD25,650,000) was paid on July 21, 2021.</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July 8, 2021, the Company entered into a capital increase agreement with two third-party shareholders of the target company, Beijing UniDev Software Co., Ltd (“UniDev”), to obtain 15% of equity interest in UniDev with a capital injection of $261,593 (RMB 1,689,000). The Company made the payment of $ 78,478 (RMB 506,700) and $ 183,115 (RMB 1,182,300) on August 26,2021 and September 23,2021, respectively.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27, 2021, the Company sold 7% equity interest in CLPS Lihong to a third party for a consideration of $650,497 (RMB4,200,000). After the transaction, the Company no longer holds any interest in CLPS Lihong.</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July 31, 2021, the Company entered into a purchase agreement with a third party to acquire an office property in Singapore for self-use at a consideration of $4,644,243 (SGD 6,247,900 million). The Company made the option payment of $46,442 (SGD 62,479) on the same day.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 2021, the Company entered into an equity transfer and capital increase agreement with a third party shareholder of the target company, Fuson Group Limited (“Fuson”), to obtain 35.02% of equity interest in Fuson with a capital injection of $157,743 (HKD 1,225,000). The Company made the first payment of $78,871 (HKD 612,500) on August 16,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12, 2021, the Company entered into a purchase agreement with a third party to purchase an office property in Hong Kong for self-use at a consideration of $ 11,309,019 (HKD 88,000,000). The Company made the first payment of $ 565,182 (HKD 4,400,000) and second payment of $ 565,182 (HKD 4,400,000) on September 24, 2021and October 5,2021,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16, 2021, the Company entered into a capital increase agreement with a third party shareholder of the target company, MSCT Investment Holdings Limited (“MSCT”), to obtain 53.33% of equity interest in MCST with a capital injection $206,032 (HKD 1,600,000). The Company made the payment of $206,032 (HKD 1,600,000) on the same day.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NOTE 22 – PARENT COMPANY ONLY CONDENSED FINANCIAL INFORMATION</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Condensed balance sheets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9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12,975,407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181,513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Amounts due from subsidiaries</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7,576,560</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7,121,760</w:t>
            </w:r>
          </w:p>
        </w:tc>
        <w:tc>
          <w:tcPr>
            <w:tcW w:w="0" w:type="dxa"/>
            <w:vAlign w:val="bottom"/>
          </w:tcPr>
          <w:p>
            <w:pPr>
              <w:spacing w:after="0"/>
              <w:rPr>
                <w:sz w:val="1"/>
                <w:szCs w:val="1"/>
                <w:color w:val="auto"/>
              </w:rPr>
            </w:pPr>
          </w:p>
        </w:tc>
      </w:tr>
      <w:tr>
        <w:trPr>
          <w:trHeight w:val="23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382,807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161,767</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20,934,774</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7,465,040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36,295,558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20,598,908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57,230,332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28,063,948</w:t>
            </w:r>
          </w:p>
        </w:tc>
        <w:tc>
          <w:tcPr>
            <w:tcW w:w="0" w:type="dxa"/>
            <w:vAlign w:val="bottom"/>
          </w:tcPr>
          <w:p>
            <w:pPr>
              <w:spacing w:after="0"/>
              <w:rPr>
                <w:sz w:val="1"/>
                <w:szCs w:val="1"/>
                <w:color w:val="auto"/>
              </w:rPr>
            </w:pPr>
          </w:p>
        </w:tc>
      </w:tr>
      <w:tr>
        <w:trPr>
          <w:trHeight w:val="216"/>
        </w:trPr>
        <w:tc>
          <w:tcPr>
            <w:tcW w:w="8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541,285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715,304</w:t>
            </w:r>
          </w:p>
        </w:tc>
        <w:tc>
          <w:tcPr>
            <w:tcW w:w="0" w:type="dxa"/>
            <w:vAlign w:val="bottom"/>
          </w:tcPr>
          <w:p>
            <w:pPr>
              <w:spacing w:after="0"/>
              <w:rPr>
                <w:sz w:val="1"/>
                <w:szCs w:val="1"/>
                <w:color w:val="auto"/>
              </w:rPr>
            </w:pPr>
          </w:p>
        </w:tc>
      </w:tr>
      <w:tr>
        <w:trPr>
          <w:trHeight w:val="236"/>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541,285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715,304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541,285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715,304</w:t>
            </w:r>
          </w:p>
        </w:tc>
        <w:tc>
          <w:tcPr>
            <w:tcW w:w="0" w:type="dxa"/>
            <w:vAlign w:val="bottom"/>
          </w:tcPr>
          <w:p>
            <w:pPr>
              <w:spacing w:after="0"/>
              <w:rPr>
                <w:sz w:val="1"/>
                <w:szCs w:val="1"/>
                <w:color w:val="auto"/>
              </w:rPr>
            </w:pPr>
          </w:p>
        </w:tc>
      </w:tr>
      <w:tr>
        <w:trPr>
          <w:trHeight w:val="216"/>
        </w:trPr>
        <w:tc>
          <w:tcPr>
            <w:tcW w:w="8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$0.0001 par value, 100,000,000 shares authorized; 20,293,552 shares issued and outstanding as of June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2021; 15,930,330 shares issued and outstanding as of June 30, 2020*</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48,516,695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28,586,048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Accumulated retained earnings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6,940,240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123,668</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1,230,083</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(1,362,665)</w:t>
            </w:r>
          </w:p>
        </w:tc>
        <w:tc>
          <w:tcPr>
            <w:tcW w:w="0" w:type="dxa"/>
            <w:vAlign w:val="bottom"/>
          </w:tcPr>
          <w:p>
            <w:pPr>
              <w:spacing w:after="0"/>
              <w:rPr>
                <w:sz w:val="1"/>
                <w:szCs w:val="1"/>
                <w:color w:val="auto"/>
              </w:rPr>
            </w:pPr>
          </w:p>
        </w:tc>
      </w:tr>
      <w:tr>
        <w:trPr>
          <w:trHeight w:val="216"/>
        </w:trPr>
        <w:tc>
          <w:tcPr>
            <w:tcW w:w="8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56,689,047</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27,348,644</w:t>
            </w:r>
          </w:p>
        </w:tc>
        <w:tc>
          <w:tcPr>
            <w:tcW w:w="0" w:type="dxa"/>
            <w:vAlign w:val="bottom"/>
          </w:tcPr>
          <w:p>
            <w:pPr>
              <w:spacing w:after="0"/>
              <w:rPr>
                <w:sz w:val="1"/>
                <w:szCs w:val="1"/>
                <w:color w:val="auto"/>
              </w:rPr>
            </w:pPr>
          </w:p>
        </w:tc>
      </w:tr>
      <w:tr>
        <w:trPr>
          <w:trHeight w:val="216"/>
        </w:trPr>
        <w:tc>
          <w:tcPr>
            <w:tcW w:w="8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57,230,332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28,063,948</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5460"/>
              <w:spacing w:after="0"/>
              <w:rPr>
                <w:sz w:val="20"/>
                <w:szCs w:val="20"/>
                <w:color w:val="auto"/>
              </w:rPr>
            </w:pPr>
            <w:r>
              <w:rPr>
                <w:rFonts w:ascii="Arial" w:cs="Arial" w:eastAsia="Arial" w:hAnsi="Arial"/>
                <w:sz w:val="18"/>
                <w:szCs w:val="18"/>
                <w:color w:val="auto"/>
              </w:rPr>
              <w:t>F-52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9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COMPANY ONLY CONDENSED FINANCIAL INFORMATION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Condensed statements of comprehensive income (loss)</w:t>
            </w: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88"/>
              </w:rPr>
              <w:t>For the years ended June 30,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(200,954)</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(6,267,334)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(5,505,559)</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(8,651,816)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Share of profit in subsidiaries, net (Note a)</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13,202,527</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8,404,632</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5,317,315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46,904</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66,806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expenses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(124,986)</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(7,739)</w:t>
            </w:r>
          </w:p>
        </w:tc>
        <w:tc>
          <w:tcPr>
            <w:tcW w:w="1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6,816,572</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2,938,238</w:t>
            </w: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(3,269,776)</w:t>
            </w: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 (loss)</w:t>
            </w:r>
          </w:p>
        </w:tc>
        <w:tc>
          <w:tcPr>
            <w:tcW w:w="18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6,816,572</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2,938,238</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(3,269,776)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2,592,748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(411,973)</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9,409,320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2,389,223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(3,681,749</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8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88"/>
              </w:rPr>
              <w:t>For the years ended June 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(2,107,118)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(3,586,857)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(3,189,448)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14,799,107</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1,472,592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101,905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97,179</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18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12,793,894</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(3,289,678)</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(1,716,287)</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181,513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3,471,191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cash equivalents at the end of the year</w:t>
            </w: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12,975,407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181,513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3,471,191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Company-only financial statements, the Company’s investment in subsidiaries is stated at cost plus equity in undistributed earnings of subsidiaries since inception.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its investment in its subsidiaries under the equity method of accounting as prescribed in ASC 323</w:t>
      </w:r>
      <w:r>
        <w:rPr>
          <w:rFonts w:ascii="Arial" w:cs="Arial" w:eastAsia="Arial" w:hAnsi="Arial"/>
          <w:sz w:val="18"/>
          <w:szCs w:val="18"/>
          <w:i w:val="1"/>
          <w:iCs w:val="1"/>
          <w:color w:val="auto"/>
        </w:rPr>
        <w:t>.</w:t>
      </w:r>
      <w:r>
        <w:rPr>
          <w:rFonts w:ascii="Arial" w:cs="Arial" w:eastAsia="Arial" w:hAnsi="Arial"/>
          <w:sz w:val="18"/>
          <w:szCs w:val="18"/>
          <w:color w:val="auto"/>
        </w:rPr>
        <w:t xml:space="preserve"> Such investments are presented on the balance sheets as “Investments in subsidiaries” and share of the subsidiaries’ profit or loss are shown as “Share of profit in subsidiaries, net” on the statements of comprehensive income (loss).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0" w:name="page171"/>
    <w:bookmarkEnd w:id="170"/>
    <w:p>
      <w:pPr>
        <w:spacing w:after="0"/>
        <w:tabs>
          <w:tab w:leader="none" w:pos="12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271">
        <w:r>
          <w:rPr>
            <w:rFonts w:ascii="Arial" w:cs="Arial" w:eastAsia="Arial" w:hAnsi="Arial"/>
            <w:sz w:val="16"/>
            <w:szCs w:val="16"/>
            <w:u w:val="single" w:color="auto"/>
            <w:color w:val="0000EE"/>
          </w:rPr>
          <w:t>Form of Underwriting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140" w:hanging="1132"/>
        <w:spacing w:after="0"/>
        <w:tabs>
          <w:tab w:leader="none" w:pos="1140" w:val="left"/>
        </w:tabs>
        <w:numPr>
          <w:ilvl w:val="0"/>
          <w:numId w:val="99"/>
        </w:numPr>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Description of Securities registered under Section 12 of the Exchange Act</w:t>
        </w:r>
      </w:hyperlink>
    </w:p>
    <w:tbl>
      <w:tblPr>
        <w:tblLayout w:type="fixed"/>
        <w:tblInd w:w="0" w:type="dxa"/>
        <w:tblCellMar>
          <w:top w:w="0" w:type="dxa"/>
          <w:left w:w="0" w:type="dxa"/>
          <w:bottom w:w="0" w:type="dxa"/>
          <w:right w:w="0" w:type="dxa"/>
        </w:tblCellMar>
      </w:tblPr>
      <w:tr>
        <w:trPr>
          <w:trHeight w:val="205"/>
        </w:trPr>
        <w:tc>
          <w:tcPr>
            <w:tcW w:w="114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3.1</w:t>
            </w:r>
          </w:p>
        </w:tc>
        <w:tc>
          <w:tcPr>
            <w:tcW w:w="10100" w:type="dxa"/>
            <w:vAlign w:val="bottom"/>
            <w:gridSpan w:val="26"/>
            <w:shd w:val="clear" w:color="auto" w:fill="CCEEFF"/>
          </w:tcPr>
          <w:p>
            <w:pPr>
              <w:spacing w:after="0" w:line="184" w:lineRule="exact"/>
              <w:rPr>
                <w:rFonts w:ascii="Arial" w:cs="Arial" w:eastAsia="Arial" w:hAnsi="Arial"/>
                <w:sz w:val="18"/>
                <w:szCs w:val="18"/>
                <w:color w:val="0000EE"/>
              </w:rPr>
            </w:pPr>
            <w:hyperlink r:id="rId273">
              <w:r>
                <w:rPr>
                  <w:rFonts w:ascii="Arial" w:cs="Arial" w:eastAsia="Arial" w:hAnsi="Arial"/>
                  <w:sz w:val="18"/>
                  <w:szCs w:val="18"/>
                  <w:color w:val="0000EE"/>
                </w:rPr>
                <w:t>Memorandum and Articles of Association (1).</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4.1</w:t>
            </w:r>
          </w:p>
        </w:tc>
        <w:tc>
          <w:tcPr>
            <w:tcW w:w="33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r:id="rId274">
              <w:r>
                <w:rPr>
                  <w:rFonts w:ascii="Arial" w:cs="Arial" w:eastAsia="Arial" w:hAnsi="Arial"/>
                  <w:sz w:val="18"/>
                  <w:szCs w:val="18"/>
                  <w:color w:val="0000EE"/>
                </w:rPr>
                <w:t>Specimen Share Certificate (1).</w:t>
              </w:r>
            </w:hyperlink>
          </w:p>
        </w:tc>
        <w:tc>
          <w:tcPr>
            <w:tcW w:w="6780" w:type="dxa"/>
            <w:vAlign w:val="bottom"/>
            <w:tcBorders>
              <w:top w:val="single" w:sz="8" w:color="CCEEFF"/>
            </w:tcBorders>
            <w:gridSpan w:val="11"/>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100" w:type="dxa"/>
            <w:vAlign w:val="bottom"/>
            <w:gridSpan w:val="26"/>
            <w:shd w:val="clear" w:color="auto" w:fill="CCEEFF"/>
          </w:tcPr>
          <w:p>
            <w:pPr>
              <w:spacing w:after="0" w:line="176" w:lineRule="exact"/>
              <w:rPr>
                <w:rFonts w:ascii="Arial" w:cs="Arial" w:eastAsia="Arial" w:hAnsi="Arial"/>
                <w:sz w:val="18"/>
                <w:szCs w:val="18"/>
                <w:color w:val="0000EE"/>
              </w:rPr>
            </w:pPr>
            <w:hyperlink r:id="rId275">
              <w:r>
                <w:rPr>
                  <w:rFonts w:ascii="Arial" w:cs="Arial" w:eastAsia="Arial" w:hAnsi="Arial"/>
                  <w:sz w:val="18"/>
                  <w:szCs w:val="18"/>
                  <w:color w:val="0000EE"/>
                </w:rPr>
                <w:t>2017 Equity Incentive Plan (1).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0100" w:type="dxa"/>
            <w:vAlign w:val="bottom"/>
            <w:gridSpan w:val="26"/>
          </w:tcPr>
          <w:p>
            <w:pPr>
              <w:spacing w:after="0" w:line="176" w:lineRule="exact"/>
              <w:rPr>
                <w:rFonts w:ascii="Arial" w:cs="Arial" w:eastAsia="Arial" w:hAnsi="Arial"/>
                <w:sz w:val="18"/>
                <w:szCs w:val="18"/>
                <w:color w:val="0000EE"/>
              </w:rPr>
            </w:pPr>
            <w:hyperlink r:id="rId276">
              <w:r>
                <w:rPr>
                  <w:rFonts w:ascii="Arial" w:cs="Arial" w:eastAsia="Arial" w:hAnsi="Arial"/>
                  <w:sz w:val="18"/>
                  <w:szCs w:val="18"/>
                  <w:color w:val="0000EE"/>
                </w:rPr>
                <w:t>2019 Equity Incentive Plan (3).</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21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2020 Equity Incentive Plan(4)</w:t>
              </w:r>
            </w:hyperlink>
          </w:p>
        </w:tc>
        <w:tc>
          <w:tcPr>
            <w:tcW w:w="7920" w:type="dxa"/>
            <w:vAlign w:val="bottom"/>
            <w:tcBorders>
              <w:bottom w:val="single" w:sz="8" w:color="CCEEFF"/>
            </w:tcBorders>
            <w:gridSpan w:val="22"/>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0100" w:type="dxa"/>
            <w:vAlign w:val="bottom"/>
            <w:gridSpan w:val="26"/>
          </w:tcPr>
          <w:p>
            <w:pPr>
              <w:spacing w:after="0" w:line="176" w:lineRule="exact"/>
              <w:rPr>
                <w:rFonts w:ascii="Arial" w:cs="Arial" w:eastAsia="Arial" w:hAnsi="Arial"/>
                <w:sz w:val="18"/>
                <w:szCs w:val="18"/>
                <w:color w:val="0000EE"/>
              </w:rPr>
            </w:pPr>
            <w:hyperlink r:id="rId278">
              <w:r>
                <w:rPr>
                  <w:rFonts w:ascii="Arial" w:cs="Arial" w:eastAsia="Arial" w:hAnsi="Arial"/>
                  <w:sz w:val="18"/>
                  <w:szCs w:val="18"/>
                  <w:color w:val="0000EE"/>
                </w:rPr>
                <w:t>Form Independent Director Agreement (1).</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52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279">
              <w:r>
                <w:rPr>
                  <w:rFonts w:ascii="Arial" w:cs="Arial" w:eastAsia="Arial" w:hAnsi="Arial"/>
                  <w:sz w:val="18"/>
                  <w:szCs w:val="18"/>
                  <w:color w:val="0000EE"/>
                  <w:w w:val="90"/>
                </w:rPr>
                <w:t>Employment Agreement between the Company and Xiao Feng Yang (1).</w:t>
              </w:r>
            </w:hyperlink>
          </w:p>
        </w:tc>
        <w:tc>
          <w:tcPr>
            <w:tcW w:w="484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100" w:type="dxa"/>
            <w:vAlign w:val="bottom"/>
            <w:gridSpan w:val="26"/>
          </w:tcPr>
          <w:p>
            <w:pPr>
              <w:spacing w:after="0" w:line="176" w:lineRule="exact"/>
              <w:rPr>
                <w:rFonts w:ascii="Arial" w:cs="Arial" w:eastAsia="Arial" w:hAnsi="Arial"/>
                <w:sz w:val="18"/>
                <w:szCs w:val="18"/>
                <w:color w:val="0000EE"/>
              </w:rPr>
            </w:pPr>
            <w:hyperlink r:id="rId280">
              <w:r>
                <w:rPr>
                  <w:rFonts w:ascii="Arial" w:cs="Arial" w:eastAsia="Arial" w:hAnsi="Arial"/>
                  <w:sz w:val="18"/>
                  <w:szCs w:val="18"/>
                  <w:color w:val="0000EE"/>
                </w:rPr>
                <w:t>Employment Agreement between the Company and Raymond Ming Hui Lin (1).</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47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Employment Agreement between the Company and Rui Yang (5).</w:t>
              </w:r>
            </w:hyperlink>
          </w:p>
        </w:tc>
        <w:tc>
          <w:tcPr>
            <w:tcW w:w="5340" w:type="dxa"/>
            <w:vAlign w:val="bottom"/>
            <w:tcBorders>
              <w:bottom w:val="single" w:sz="8" w:color="CCEEFF"/>
            </w:tcBorders>
            <w:gridSpan w:val="8"/>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100" w:type="dxa"/>
            <w:vAlign w:val="bottom"/>
            <w:gridSpan w:val="26"/>
          </w:tcPr>
          <w:p>
            <w:pPr>
              <w:spacing w:after="0" w:line="176" w:lineRule="exact"/>
              <w:rPr>
                <w:rFonts w:ascii="Arial" w:cs="Arial" w:eastAsia="Arial" w:hAnsi="Arial"/>
                <w:sz w:val="18"/>
                <w:szCs w:val="18"/>
                <w:color w:val="0000EE"/>
              </w:rPr>
            </w:pPr>
            <w:hyperlink w:anchor="page175">
              <w:r>
                <w:rPr>
                  <w:rFonts w:ascii="Arial" w:cs="Arial" w:eastAsia="Arial" w:hAnsi="Arial"/>
                  <w:sz w:val="18"/>
                  <w:szCs w:val="18"/>
                  <w:color w:val="0000EE"/>
                </w:rPr>
                <w:t>Employment Agreement between the Company and Li Li.</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60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1"/>
              </w:rPr>
            </w:pPr>
            <w:hyperlink r:id="rId282">
              <w:r>
                <w:rPr>
                  <w:rFonts w:ascii="Arial" w:cs="Arial" w:eastAsia="Arial" w:hAnsi="Arial"/>
                  <w:sz w:val="18"/>
                  <w:szCs w:val="18"/>
                  <w:color w:val="0000EE"/>
                  <w:w w:val="91"/>
                </w:rPr>
                <w:t>ANZ Global Services and Operations (Chengdu) Company Limited Agreement (1).</w:t>
              </w:r>
            </w:hyperlink>
          </w:p>
        </w:tc>
        <w:tc>
          <w:tcPr>
            <w:tcW w:w="408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10100" w:type="dxa"/>
            <w:vAlign w:val="bottom"/>
            <w:gridSpan w:val="26"/>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Master Lease Agreement - Shanghai Pudong Software Park Co., Ltd.</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4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Master Lease Agreement - Shanghai Pudong Software Park Co., Ltd.</w:t>
              </w:r>
            </w:hyperlink>
          </w:p>
        </w:tc>
        <w:tc>
          <w:tcPr>
            <w:tcW w:w="512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10100" w:type="dxa"/>
            <w:vAlign w:val="bottom"/>
            <w:gridSpan w:val="26"/>
          </w:tcPr>
          <w:p>
            <w:pPr>
              <w:spacing w:after="0" w:line="176" w:lineRule="exact"/>
              <w:rPr>
                <w:rFonts w:ascii="Arial" w:cs="Arial" w:eastAsia="Arial" w:hAnsi="Arial"/>
                <w:sz w:val="18"/>
                <w:szCs w:val="18"/>
                <w:color w:val="0000EE"/>
              </w:rPr>
            </w:pPr>
            <w:hyperlink r:id="rId283">
              <w:r>
                <w:rPr>
                  <w:rFonts w:ascii="Arial" w:cs="Arial" w:eastAsia="Arial" w:hAnsi="Arial"/>
                  <w:sz w:val="18"/>
                  <w:szCs w:val="18"/>
                  <w:color w:val="0000EE"/>
                </w:rPr>
                <w:t>Form of Framework Contract for Subcontracting (1).</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2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Form Warrant Agreement (2).</w:t>
              </w:r>
            </w:hyperlink>
          </w:p>
        </w:tc>
        <w:tc>
          <w:tcPr>
            <w:tcW w:w="7940" w:type="dxa"/>
            <w:vAlign w:val="bottom"/>
            <w:tcBorders>
              <w:bottom w:val="single" w:sz="8" w:color="CCEEFF"/>
            </w:tcBorders>
            <w:gridSpan w:val="23"/>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10100" w:type="dxa"/>
            <w:vAlign w:val="bottom"/>
            <w:gridSpan w:val="26"/>
          </w:tcPr>
          <w:p>
            <w:pPr>
              <w:spacing w:after="0" w:line="176" w:lineRule="exact"/>
              <w:rPr>
                <w:rFonts w:ascii="Arial" w:cs="Arial" w:eastAsia="Arial" w:hAnsi="Arial"/>
                <w:sz w:val="18"/>
                <w:szCs w:val="18"/>
                <w:color w:val="0000EE"/>
              </w:rPr>
            </w:pPr>
            <w:hyperlink r:id="rId285">
              <w:r>
                <w:rPr>
                  <w:rFonts w:ascii="Arial" w:cs="Arial" w:eastAsia="Arial" w:hAnsi="Arial"/>
                  <w:sz w:val="18"/>
                  <w:szCs w:val="18"/>
                  <w:color w:val="0000EE"/>
                </w:rPr>
                <w:t>Form Lockup Agreement (2).</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2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286">
              <w:r>
                <w:rPr>
                  <w:rFonts w:ascii="Arial" w:cs="Arial" w:eastAsia="Arial" w:hAnsi="Arial"/>
                  <w:sz w:val="18"/>
                  <w:szCs w:val="18"/>
                  <w:color w:val="0000EE"/>
                  <w:w w:val="92"/>
                </w:rPr>
                <w:t>Escrow Indemnification Agreement (2).</w:t>
              </w:r>
            </w:hyperlink>
          </w:p>
        </w:tc>
        <w:tc>
          <w:tcPr>
            <w:tcW w:w="7220" w:type="dxa"/>
            <w:vAlign w:val="bottom"/>
            <w:tcBorders>
              <w:bottom w:val="single" w:sz="8" w:color="CCEEFF"/>
            </w:tcBorders>
            <w:gridSpan w:val="1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10100" w:type="dxa"/>
            <w:vAlign w:val="bottom"/>
            <w:gridSpan w:val="26"/>
          </w:tcPr>
          <w:p>
            <w:pPr>
              <w:spacing w:after="0" w:line="176" w:lineRule="exact"/>
              <w:rPr>
                <w:rFonts w:ascii="Arial" w:cs="Arial" w:eastAsia="Arial" w:hAnsi="Arial"/>
                <w:sz w:val="18"/>
                <w:szCs w:val="18"/>
                <w:color w:val="0000EE"/>
              </w:rPr>
            </w:pPr>
            <w:hyperlink w:anchor="page219">
              <w:r>
                <w:rPr>
                  <w:rFonts w:ascii="Arial" w:cs="Arial" w:eastAsia="Arial" w:hAnsi="Arial"/>
                  <w:sz w:val="18"/>
                  <w:szCs w:val="18"/>
                  <w:color w:val="0000EE"/>
                </w:rPr>
                <w:t>Credit Agreement with Bank of Shanghai Pudong Development Co. Ltd-10 million</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0100" w:type="dxa"/>
            <w:vAlign w:val="bottom"/>
            <w:gridSpan w:val="26"/>
            <w:shd w:val="clear" w:color="auto" w:fill="CCEEFF"/>
          </w:tcPr>
          <w:p>
            <w:pPr>
              <w:spacing w:after="0" w:line="176" w:lineRule="exact"/>
              <w:rPr>
                <w:rFonts w:ascii="Arial" w:cs="Arial" w:eastAsia="Arial" w:hAnsi="Arial"/>
                <w:sz w:val="18"/>
                <w:szCs w:val="18"/>
                <w:color w:val="0000EE"/>
              </w:rPr>
            </w:pPr>
            <w:hyperlink w:anchor="page246">
              <w:r>
                <w:rPr>
                  <w:rFonts w:ascii="Arial" w:cs="Arial" w:eastAsia="Arial" w:hAnsi="Arial"/>
                  <w:sz w:val="18"/>
                  <w:szCs w:val="18"/>
                  <w:color w:val="0000EE"/>
                </w:rPr>
                <w:t>Credit Agreement with Bank of Shanghai Pudong Development Co. Ltd-10 million</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10.18</w:t>
            </w:r>
          </w:p>
        </w:tc>
        <w:tc>
          <w:tcPr>
            <w:tcW w:w="600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273">
              <w:r>
                <w:rPr>
                  <w:rFonts w:ascii="Arial" w:cs="Arial" w:eastAsia="Arial" w:hAnsi="Arial"/>
                  <w:sz w:val="18"/>
                  <w:szCs w:val="18"/>
                  <w:color w:val="0000EE"/>
                </w:rPr>
                <w:t>Credit Agreement with Bank of Communications Co., Ltd.- 8 million.</w:t>
              </w:r>
            </w:hyperlink>
          </w:p>
        </w:tc>
        <w:tc>
          <w:tcPr>
            <w:tcW w:w="4100" w:type="dxa"/>
            <w:vAlign w:val="bottom"/>
            <w:tcBorders>
              <w:top w:val="single" w:sz="8" w:color="CCEEFF"/>
            </w:tcBorders>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10100" w:type="dxa"/>
            <w:vAlign w:val="bottom"/>
            <w:gridSpan w:val="26"/>
            <w:shd w:val="clear" w:color="auto" w:fill="CCEEFF"/>
          </w:tcPr>
          <w:p>
            <w:pPr>
              <w:spacing w:after="0" w:line="176" w:lineRule="exact"/>
              <w:rPr>
                <w:rFonts w:ascii="Arial" w:cs="Arial" w:eastAsia="Arial" w:hAnsi="Arial"/>
                <w:sz w:val="18"/>
                <w:szCs w:val="18"/>
                <w:color w:val="0000EE"/>
              </w:rPr>
            </w:pPr>
            <w:hyperlink w:anchor="page298">
              <w:r>
                <w:rPr>
                  <w:rFonts w:ascii="Arial" w:cs="Arial" w:eastAsia="Arial" w:hAnsi="Arial"/>
                  <w:sz w:val="18"/>
                  <w:szCs w:val="18"/>
                  <w:color w:val="0000EE"/>
                </w:rPr>
                <w:t>Credit Agreement with Bank of Communications Co., Ltd.- 12 million</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12.1</w:t>
            </w:r>
          </w:p>
        </w:tc>
        <w:tc>
          <w:tcPr>
            <w:tcW w:w="10100" w:type="dxa"/>
            <w:vAlign w:val="bottom"/>
            <w:tcBorders>
              <w:bottom w:val="single" w:sz="8" w:color="0000EE"/>
            </w:tcBorders>
            <w:gridSpan w:val="26"/>
          </w:tcPr>
          <w:p>
            <w:pPr>
              <w:spacing w:after="0" w:line="176" w:lineRule="exact"/>
              <w:rPr>
                <w:rFonts w:ascii="Arial" w:cs="Arial" w:eastAsia="Arial" w:hAnsi="Arial"/>
                <w:sz w:val="18"/>
                <w:szCs w:val="18"/>
                <w:color w:val="0000EE"/>
                <w:w w:val="95"/>
              </w:rPr>
            </w:pPr>
            <w:hyperlink w:anchor="page323">
              <w:r>
                <w:rPr>
                  <w:rFonts w:ascii="Arial" w:cs="Arial" w:eastAsia="Arial" w:hAnsi="Arial"/>
                  <w:sz w:val="18"/>
                  <w:szCs w:val="18"/>
                  <w:color w:val="0000EE"/>
                  <w:w w:val="95"/>
                </w:rPr>
                <w:t>Certification of the Chief Executive Officer (Principal Executive Officer) pursuant to Rule 13a-14(a) of the Securities Exchange Act, as</w:t>
              </w:r>
            </w:hyperlink>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w:anchor="page323">
              <w:r>
                <w:rPr>
                  <w:rFonts w:ascii="Arial" w:cs="Arial" w:eastAsia="Arial" w:hAnsi="Arial"/>
                  <w:sz w:val="18"/>
                  <w:szCs w:val="18"/>
                  <w:color w:val="0000EE"/>
                </w:rPr>
                <w:t>amended.</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12.2</w:t>
            </w:r>
          </w:p>
        </w:tc>
        <w:tc>
          <w:tcPr>
            <w:tcW w:w="101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6"/>
              </w:rPr>
            </w:pPr>
            <w:hyperlink w:anchor="page324">
              <w:r>
                <w:rPr>
                  <w:rFonts w:ascii="Arial" w:cs="Arial" w:eastAsia="Arial" w:hAnsi="Arial"/>
                  <w:sz w:val="18"/>
                  <w:szCs w:val="18"/>
                  <w:color w:val="0000EE"/>
                  <w:w w:val="96"/>
                </w:rPr>
                <w:t>Certification of the Chief Financial Officer (Principal Financial Officer) pursuant to Rule 13a-14(a) of the Securities Exchange Act, as</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324">
              <w:r>
                <w:rPr>
                  <w:rFonts w:ascii="Arial" w:cs="Arial" w:eastAsia="Arial" w:hAnsi="Arial"/>
                  <w:sz w:val="18"/>
                  <w:szCs w:val="18"/>
                  <w:color w:val="0000EE"/>
                  <w:w w:val="84"/>
                </w:rPr>
                <w:t>amended.</w:t>
              </w:r>
            </w:hyperlink>
          </w:p>
        </w:tc>
        <w:tc>
          <w:tcPr>
            <w:tcW w:w="9400" w:type="dxa"/>
            <w:vAlign w:val="bottom"/>
            <w:tcBorders>
              <w:bottom w:val="single" w:sz="8" w:color="CCEEFF"/>
            </w:tcBorders>
            <w:gridSpan w:val="2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13.1</w:t>
            </w:r>
          </w:p>
        </w:tc>
        <w:tc>
          <w:tcPr>
            <w:tcW w:w="10100" w:type="dxa"/>
            <w:vAlign w:val="bottom"/>
            <w:tcBorders>
              <w:bottom w:val="single" w:sz="8" w:color="0000EE"/>
            </w:tcBorders>
            <w:gridSpan w:val="26"/>
          </w:tcPr>
          <w:p>
            <w:pPr>
              <w:spacing w:after="0" w:line="176" w:lineRule="exact"/>
              <w:rPr>
                <w:rFonts w:ascii="Arial" w:cs="Arial" w:eastAsia="Arial" w:hAnsi="Arial"/>
                <w:sz w:val="18"/>
                <w:szCs w:val="18"/>
                <w:color w:val="0000EE"/>
                <w:w w:val="92"/>
              </w:rPr>
            </w:pPr>
            <w:hyperlink w:anchor="page325">
              <w:r>
                <w:rPr>
                  <w:rFonts w:ascii="Arial" w:cs="Arial" w:eastAsia="Arial" w:hAnsi="Arial"/>
                  <w:sz w:val="18"/>
                  <w:szCs w:val="18"/>
                  <w:color w:val="0000EE"/>
                  <w:w w:val="92"/>
                </w:rPr>
                <w:t>Certification of the Chief Executive Officer and Chief Financial Officer pursuant to 18 U.S.C. 1350, as adopted pursuant to Section 906 of</w:t>
              </w:r>
            </w:hyperlink>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w:anchor="page325">
              <w:r>
                <w:rPr>
                  <w:rFonts w:ascii="Arial" w:cs="Arial" w:eastAsia="Arial" w:hAnsi="Arial"/>
                  <w:sz w:val="18"/>
                  <w:szCs w:val="18"/>
                  <w:color w:val="0000EE"/>
                </w:rPr>
                <w:t>the Sarbanes-Oxley Act of 2002.</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2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r:id="rId287">
              <w:r>
                <w:rPr>
                  <w:rFonts w:ascii="Arial" w:cs="Arial" w:eastAsia="Arial" w:hAnsi="Arial"/>
                  <w:sz w:val="18"/>
                  <w:szCs w:val="18"/>
                  <w:color w:val="0000EE"/>
                  <w:w w:val="90"/>
                </w:rPr>
                <w:t>Code of Conduct and Ethics (1).</w:t>
              </w:r>
            </w:hyperlink>
          </w:p>
        </w:tc>
        <w:tc>
          <w:tcPr>
            <w:tcW w:w="7760" w:type="dxa"/>
            <w:vAlign w:val="bottom"/>
            <w:tcBorders>
              <w:bottom w:val="single" w:sz="8" w:color="CCEEFF"/>
            </w:tcBorders>
            <w:gridSpan w:val="20"/>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10100" w:type="dxa"/>
            <w:vAlign w:val="bottom"/>
            <w:gridSpan w:val="26"/>
          </w:tcPr>
          <w:p>
            <w:pPr>
              <w:spacing w:after="0" w:line="176" w:lineRule="exact"/>
              <w:rPr>
                <w:rFonts w:ascii="Arial" w:cs="Arial" w:eastAsia="Arial" w:hAnsi="Arial"/>
                <w:sz w:val="18"/>
                <w:szCs w:val="18"/>
                <w:color w:val="0000EE"/>
              </w:rPr>
            </w:pPr>
            <w:hyperlink w:anchor="page326">
              <w:r>
                <w:rPr>
                  <w:rFonts w:ascii="Arial" w:cs="Arial" w:eastAsia="Arial" w:hAnsi="Arial"/>
                  <w:sz w:val="18"/>
                  <w:szCs w:val="18"/>
                  <w:color w:val="0000EE"/>
                </w:rPr>
                <w:t>List of Subsidiaries of the Registrant.</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100" w:type="dxa"/>
            <w:vAlign w:val="bottom"/>
            <w:gridSpan w:val="26"/>
            <w:shd w:val="clear" w:color="auto" w:fill="CCEEFF"/>
          </w:tcPr>
          <w:p>
            <w:pPr>
              <w:spacing w:after="0" w:line="176" w:lineRule="exact"/>
              <w:rPr>
                <w:rFonts w:ascii="Arial" w:cs="Arial" w:eastAsia="Arial" w:hAnsi="Arial"/>
                <w:sz w:val="18"/>
                <w:szCs w:val="18"/>
                <w:color w:val="0000EE"/>
              </w:rPr>
            </w:pPr>
            <w:hyperlink w:anchor="page327">
              <w:r>
                <w:rPr>
                  <w:rFonts w:ascii="Arial" w:cs="Arial" w:eastAsia="Arial" w:hAnsi="Arial"/>
                  <w:sz w:val="18"/>
                  <w:szCs w:val="18"/>
                  <w:color w:val="0000EE"/>
                </w:rPr>
                <w:t>Consent of Ernst &amp; Young Hua Ming LLP.</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30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r:id="rId288">
              <w:r>
                <w:rPr>
                  <w:rFonts w:ascii="Arial" w:cs="Arial" w:eastAsia="Arial" w:hAnsi="Arial"/>
                  <w:sz w:val="18"/>
                  <w:szCs w:val="18"/>
                  <w:color w:val="0000EE"/>
                </w:rPr>
                <w:t>Charter of the Audit Committee (1).</w:t>
              </w:r>
            </w:hyperlink>
          </w:p>
        </w:tc>
        <w:tc>
          <w:tcPr>
            <w:tcW w:w="7020" w:type="dxa"/>
            <w:vAlign w:val="bottom"/>
            <w:tcBorders>
              <w:top w:val="single" w:sz="8" w:color="CCEEFF"/>
            </w:tcBorders>
            <w:gridSpan w:val="1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100" w:type="dxa"/>
            <w:vAlign w:val="bottom"/>
            <w:gridSpan w:val="26"/>
            <w:shd w:val="clear" w:color="auto" w:fill="CCEEFF"/>
          </w:tcPr>
          <w:p>
            <w:pPr>
              <w:spacing w:after="0" w:line="176" w:lineRule="exact"/>
              <w:rPr>
                <w:rFonts w:ascii="Arial" w:cs="Arial" w:eastAsia="Arial" w:hAnsi="Arial"/>
                <w:sz w:val="18"/>
                <w:szCs w:val="18"/>
                <w:color w:val="0000EE"/>
              </w:rPr>
            </w:pPr>
            <w:hyperlink r:id="rId289">
              <w:r>
                <w:rPr>
                  <w:rFonts w:ascii="Arial" w:cs="Arial" w:eastAsia="Arial" w:hAnsi="Arial"/>
                  <w:sz w:val="18"/>
                  <w:szCs w:val="18"/>
                  <w:color w:val="0000EE"/>
                </w:rPr>
                <w:t>Charter of the Compensation Committee (1).</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99.3</w:t>
            </w:r>
          </w:p>
        </w:tc>
        <w:tc>
          <w:tcPr>
            <w:tcW w:w="3220" w:type="dxa"/>
            <w:vAlign w:val="bottom"/>
            <w:tcBorders>
              <w:top w:val="single" w:sz="8" w:color="0000EE"/>
            </w:tcBorders>
            <w:gridSpan w:val="14"/>
          </w:tcPr>
          <w:p>
            <w:pPr>
              <w:spacing w:after="0" w:line="176" w:lineRule="exact"/>
              <w:rPr>
                <w:rFonts w:ascii="Arial" w:cs="Arial" w:eastAsia="Arial" w:hAnsi="Arial"/>
                <w:sz w:val="18"/>
                <w:szCs w:val="18"/>
                <w:color w:val="0000EE"/>
                <w:w w:val="96"/>
              </w:rPr>
            </w:pPr>
            <w:hyperlink r:id="rId290">
              <w:r>
                <w:rPr>
                  <w:rFonts w:ascii="Arial" w:cs="Arial" w:eastAsia="Arial" w:hAnsi="Arial"/>
                  <w:sz w:val="18"/>
                  <w:szCs w:val="18"/>
                  <w:color w:val="0000EE"/>
                  <w:w w:val="96"/>
                </w:rPr>
                <w:t>Charter of the Nominating Committee (1).</w:t>
              </w:r>
            </w:hyperlink>
          </w:p>
        </w:tc>
        <w:tc>
          <w:tcPr>
            <w:tcW w:w="6880" w:type="dxa"/>
            <w:vAlign w:val="bottom"/>
            <w:tcBorders>
              <w:top w:val="single" w:sz="8" w:color="CCEEFF"/>
            </w:tcBorders>
            <w:gridSpan w:val="1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27, 2018 and incorporated by reference herein.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Previously filed with the SEC as an exhibit to Report on Form 6-K and incorporated by reference herein.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29, 2019 and incorporated by reference herein.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27, 2020 and incorporated by reference herein.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November 4, 2019 and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October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October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 xml:space="preserve">/s/ </w:t>
      </w:r>
      <w:r>
        <w:rPr>
          <w:rFonts w:ascii="Arial" w:cs="Arial" w:eastAsia="Arial" w:hAnsi="Arial"/>
          <w:sz w:val="15"/>
          <w:szCs w:val="15"/>
          <w:i w:val="1"/>
          <w:iCs w:val="1"/>
          <w:color w:val="auto"/>
        </w:rPr>
        <w:t>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Rui Yang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The following are summaries of material provisions of our memorandum and articles of association and the Companies Law insofar as they relate to the material terms of our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association provide that our board of directors may declare and pay dividends if justified by our financial position and permitted by law.</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our list of shareholders or our corporate records. However, we will provide our shareholders with annual audited financial statements. See “Where You Can Find Additional Information.”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ind w:left="1032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EMPLOYMENT AGREEMENT (the “Agreement”) is entered into as of June 11, 2019 with the effective date of June 11,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CLPS INCORPORATION, a Cayman Islands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having its principal place of business at c/o 2nd Floor, Building 18, Shanghai Pudong Software Park, 498 Guoshoujin Road, Pudong, Shanghai 201203, People’s Republic of China, and Li Li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and the Company and the Executive collectively referred to herein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hire Executive and to employ him as the Company’s Chief Operation Officer (“COO”)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the Parties desire to enter into this Agreement embodying the terms of such employment;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THISEFORE</w:t>
      </w:r>
      <w:r>
        <w:rPr>
          <w:rFonts w:ascii="Arial" w:cs="Arial" w:eastAsia="Arial" w:hAnsi="Arial"/>
          <w:sz w:val="18"/>
          <w:szCs w:val="18"/>
          <w:color w:val="auto"/>
        </w:rPr>
        <w:t>, in consideration of the premises and the mutual covenants and promises of the Parties contained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166" w:lineRule="exact"/>
        <w:rPr>
          <w:sz w:val="20"/>
          <w:szCs w:val="20"/>
          <w:color w:val="auto"/>
        </w:rPr>
      </w:pPr>
    </w:p>
    <w:p>
      <w:pPr>
        <w:ind w:left="840" w:hanging="184"/>
        <w:spacing w:after="0"/>
        <w:tabs>
          <w:tab w:leader="none" w:pos="8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Title and Job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54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the Company agrees to employ Executive as Chief Operation Officer. Executive shall report directly to the Chief Executive Officer of the Company (the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556"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Executive accepts such employment and agrees, during the term of his employment, to devote his full business and professional time and energy to the Company, and agrees faithfully to perform his duties and responsibilities in an efficient, trustworthy and business-like manner. Executive also agrees that the CEO shall determine from time to time such of his duties as may be assigned to him. Executive agrees to carry out and abide by such directions of the CEO. Visible leadership is expected from Executive, which will require frequent travelling.</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154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Executive shall not, without the written approval of the Company, render services of a business or commercial nature on his own behalf or on behalf of any person, firm, or corporation, whether for compensation or otherwise, during his employment hereunder.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Salary and Additional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Executive an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of a total of RMB 360,000, HK$273,600, in accordance with the Company’s normal payroll procedures and an eligibility to receive 12,000 restricted shares in November 2020.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both"/>
        <w:ind w:firstLine="1304"/>
        <w:spacing w:after="0" w:line="254" w:lineRule="auto"/>
        <w:tabs>
          <w:tab w:leader="none" w:pos="156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Commencing with the year ending June 30, 2020, Executive will be entitled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94" w:lineRule="exact"/>
        <w:rPr>
          <w:rFonts w:ascii="Arial" w:cs="Arial" w:eastAsia="Arial" w:hAnsi="Arial"/>
          <w:sz w:val="18"/>
          <w:szCs w:val="18"/>
          <w:color w:val="auto"/>
        </w:rPr>
      </w:pPr>
    </w:p>
    <w:p>
      <w:pPr>
        <w:jc w:val="both"/>
        <w:ind w:firstLine="656"/>
        <w:spacing w:after="0" w:line="273" w:lineRule="auto"/>
        <w:tabs>
          <w:tab w:leader="none" w:pos="828"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his duties under this Agreement, including without limitation all travel expenses to and from his designated office as set forth in the opening paragraph of this Agreement, upon his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 Executive shall be entitled to eighteen (18) days of vacation per year , which shall accrue at a pro rata rate per pay period. Vacation must be taken in the year in which it accrues and the dates of any vacation must be approved by the CEO.</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4"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Health Insurance and Other Plans</w:t>
      </w:r>
      <w:r>
        <w:rPr>
          <w:rFonts w:ascii="Arial" w:cs="Arial" w:eastAsia="Arial" w:hAnsi="Arial"/>
          <w:sz w:val="18"/>
          <w:szCs w:val="18"/>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83" w:lineRule="exact"/>
        <w:rPr>
          <w:rFonts w:ascii="Arial" w:cs="Arial" w:eastAsia="Arial" w:hAnsi="Arial"/>
          <w:sz w:val="18"/>
          <w:szCs w:val="18"/>
          <w:color w:val="auto"/>
        </w:rPr>
      </w:pPr>
    </w:p>
    <w:p>
      <w:pPr>
        <w:jc w:val="both"/>
        <w:ind w:firstLine="656"/>
        <w:spacing w:after="0" w:line="290" w:lineRule="auto"/>
        <w:tabs>
          <w:tab w:leader="none" w:pos="82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employment under this Agreement (the “Term) shall be for a five-year period commencing on the Effective Date and shall be automatically extended for an additional consecutive twelve (12)-month period on the fifth (5th)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his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ind w:left="840" w:hanging="184"/>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at the Company’s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1" w:lineRule="auto"/>
        <w:tabs>
          <w:tab w:leader="none" w:pos="2172" w:val="left"/>
        </w:tabs>
        <w:numPr>
          <w:ilvl w:val="2"/>
          <w:numId w:val="105"/>
        </w:numPr>
        <w:rPr>
          <w:rFonts w:ascii="Arial" w:cs="Arial" w:eastAsia="Arial" w:hAnsi="Arial"/>
          <w:sz w:val="17"/>
          <w:szCs w:val="17"/>
          <w:color w:val="auto"/>
        </w:rPr>
      </w:pPr>
      <w:r>
        <w:rPr>
          <w:rFonts w:ascii="Arial" w:cs="Arial" w:eastAsia="Arial" w:hAnsi="Arial"/>
          <w:sz w:val="17"/>
          <w:szCs w:val="17"/>
          <w:u w:val="single" w:color="auto"/>
          <w:color w:val="auto"/>
        </w:rPr>
        <w:t>For Cause</w:t>
      </w:r>
      <w:r>
        <w:rPr>
          <w:rFonts w:ascii="Arial" w:cs="Arial" w:eastAsia="Arial" w:hAnsi="Arial"/>
          <w:sz w:val="17"/>
          <w:szCs w:val="17"/>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his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78" w:lineRule="exact"/>
        <w:rPr>
          <w:rFonts w:ascii="Arial" w:cs="Arial" w:eastAsia="Arial" w:hAnsi="Arial"/>
          <w:sz w:val="17"/>
          <w:szCs w:val="17"/>
          <w:color w:val="auto"/>
        </w:rPr>
      </w:pPr>
    </w:p>
    <w:p>
      <w:pPr>
        <w:jc w:val="both"/>
        <w:ind w:firstLine="1952"/>
        <w:spacing w:after="0" w:line="259" w:lineRule="auto"/>
        <w:tabs>
          <w:tab w:leader="none" w:pos="2209"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Upon Disability, Death or Without Cause</w:t>
      </w:r>
      <w:r>
        <w:rPr>
          <w:rFonts w:ascii="Arial" w:cs="Arial" w:eastAsia="Arial" w:hAnsi="Arial"/>
          <w:sz w:val="18"/>
          <w:szCs w:val="18"/>
          <w:color w:val="auto"/>
        </w:rPr>
        <w:t>. At the election of the Company, Executive’s employment may be terminated: (A) should Executive have a physical or mental impairment that substantially limits a major life activity and Executive is unable to perform the essential functions of his job with or without reasonable accommodation (“</w:t>
      </w:r>
      <w:r>
        <w:rPr>
          <w:rFonts w:ascii="Arial" w:cs="Arial" w:eastAsia="Arial" w:hAnsi="Arial"/>
          <w:sz w:val="18"/>
          <w:szCs w:val="18"/>
          <w:u w:val="single" w:color="auto"/>
          <w:color w:val="auto"/>
        </w:rPr>
        <w:t>Disability</w:t>
      </w:r>
      <w:r>
        <w:rPr>
          <w:rFonts w:ascii="Arial" w:cs="Arial" w:eastAsia="Arial" w:hAnsi="Arial"/>
          <w:sz w:val="18"/>
          <w:szCs w:val="18"/>
          <w:color w:val="auto"/>
        </w:rPr>
        <w:t>”); (B) upon Executive’s death; or (C) with ninety (90) days prior written notice, at any time Without Cause for any or no reason.</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1551"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Termination at Executive’s Election; Good Reason Termination</w:t>
      </w:r>
      <w:r>
        <w:rPr>
          <w:rFonts w:ascii="Arial" w:cs="Arial" w:eastAsia="Arial" w:hAnsi="Arial"/>
          <w:sz w:val="17"/>
          <w:szCs w:val="17"/>
          <w:color w:val="auto"/>
        </w:rPr>
        <w:t>. Notwithstanding anything contained elsewhere in this Agreement to the contrary, Executive may terminate his employment hereunder at any time and for any reason, upon thirty (30) days’ prior written notice given pursuant to Section 12 of this Agreement (“</w:t>
      </w:r>
      <w:r>
        <w:rPr>
          <w:rFonts w:ascii="Arial" w:cs="Arial" w:eastAsia="Arial" w:hAnsi="Arial"/>
          <w:sz w:val="17"/>
          <w:szCs w:val="17"/>
          <w:u w:val="single" w:color="auto"/>
          <w:color w:val="auto"/>
        </w:rPr>
        <w:t>Voluntary Resignation</w:t>
      </w:r>
      <w:r>
        <w:rPr>
          <w:rFonts w:ascii="Arial" w:cs="Arial" w:eastAsia="Arial" w:hAnsi="Arial"/>
          <w:sz w:val="17"/>
          <w:szCs w:val="17"/>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7"/>
          <w:szCs w:val="17"/>
          <w:u w:val="single" w:color="auto"/>
          <w:color w:val="auto"/>
        </w:rPr>
        <w:t>Good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Reason</w:t>
      </w:r>
      <w:r>
        <w:rPr>
          <w:rFonts w:ascii="Arial" w:cs="Arial" w:eastAsia="Arial" w:hAnsi="Arial"/>
          <w:sz w:val="17"/>
          <w:szCs w:val="17"/>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178" w:lineRule="exact"/>
        <w:rPr>
          <w:rFonts w:ascii="Arial" w:cs="Arial" w:eastAsia="Arial" w:hAnsi="Arial"/>
          <w:sz w:val="17"/>
          <w:szCs w:val="17"/>
          <w:color w:val="auto"/>
        </w:rPr>
      </w:pPr>
    </w:p>
    <w:p>
      <w:pPr>
        <w:ind w:left="1540" w:hanging="236"/>
        <w:spacing w:after="0"/>
        <w:tabs>
          <w:tab w:leader="none" w:pos="154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Termination in General</w:t>
      </w:r>
      <w:r>
        <w:rPr>
          <w:rFonts w:ascii="Arial" w:cs="Arial" w:eastAsia="Arial" w:hAnsi="Arial"/>
          <w:sz w:val="16"/>
          <w:szCs w:val="16"/>
          <w:color w:val="auto"/>
        </w:rPr>
        <w:t>. If Executive’s employment with the Company terminates for any reason, the Company will pay or provide to</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ind w:left="840" w:hanging="184"/>
        <w:spacing w:after="0"/>
        <w:tabs>
          <w:tab w:leader="none" w:pos="84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4" w:lineRule="auto"/>
        <w:tabs>
          <w:tab w:leader="none" w:pos="1541" w:val="left"/>
        </w:tabs>
        <w:numPr>
          <w:ilvl w:val="2"/>
          <w:numId w:val="106"/>
        </w:numPr>
        <w:rPr>
          <w:rFonts w:ascii="Arial" w:cs="Arial" w:eastAsia="Arial" w:hAnsi="Arial"/>
          <w:sz w:val="16"/>
          <w:szCs w:val="16"/>
          <w:color w:val="auto"/>
        </w:rPr>
      </w:pPr>
      <w:r>
        <w:rPr>
          <w:rFonts w:ascii="Arial" w:cs="Arial" w:eastAsia="Arial" w:hAnsi="Arial"/>
          <w:sz w:val="16"/>
          <w:szCs w:val="16"/>
          <w:color w:val="auto"/>
        </w:rPr>
        <w:t>Subject to Section 7(b) below, if Executive’s employment is terminated prior to the end of the Term by the Company without Cause or by Executive for Good Reason, Executive shall be entitled to receive a severance payment equal to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days of termination.</w:t>
      </w:r>
    </w:p>
    <w:p>
      <w:pPr>
        <w:spacing w:after="0" w:line="210" w:lineRule="exact"/>
        <w:rPr>
          <w:rFonts w:ascii="Arial" w:cs="Arial" w:eastAsia="Arial" w:hAnsi="Arial"/>
          <w:sz w:val="18"/>
          <w:szCs w:val="18"/>
          <w:color w:val="auto"/>
        </w:rPr>
      </w:pPr>
    </w:p>
    <w:p>
      <w:pPr>
        <w:jc w:val="both"/>
        <w:ind w:firstLine="1304"/>
        <w:spacing w:after="0" w:line="269" w:lineRule="auto"/>
        <w:tabs>
          <w:tab w:leader="none" w:pos="1574" w:val="left"/>
        </w:tabs>
        <w:numPr>
          <w:ilvl w:val="2"/>
          <w:numId w:val="107"/>
        </w:numPr>
        <w:rPr>
          <w:rFonts w:ascii="Arial" w:cs="Arial" w:eastAsia="Arial" w:hAnsi="Arial"/>
          <w:sz w:val="17"/>
          <w:szCs w:val="17"/>
          <w:color w:val="auto"/>
        </w:rPr>
      </w:pPr>
      <w:r>
        <w:rPr>
          <w:rFonts w:ascii="Arial" w:cs="Arial" w:eastAsia="Arial" w:hAnsi="Arial"/>
          <w:sz w:val="17"/>
          <w:szCs w:val="17"/>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RS Grant or, if the termination occurs after the Change of Control, the Substitute Grant, as applicable. For purposes of this Agreement,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7"/>
          <w:szCs w:val="17"/>
          <w:u w:val="single" w:color="auto"/>
          <w:color w:val="auto"/>
        </w:rPr>
        <w:t>Exchange Act</w:t>
      </w:r>
      <w:r>
        <w:rPr>
          <w:rFonts w:ascii="Arial" w:cs="Arial" w:eastAsia="Arial" w:hAnsi="Arial"/>
          <w:sz w:val="17"/>
          <w:szCs w:val="17"/>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156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840" w:hanging="184"/>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6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Executive understands that during the Term 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6"/>
          <w:szCs w:val="16"/>
          <w:u w:val="single" w:color="auto"/>
          <w:color w:val="auto"/>
        </w:rPr>
        <w:t>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or clients, including without limitation any of their actual or anticipated business, research or development, any of their technology or the implementation or exploitation thereof, including without limitation information Executive and other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 under agreements to hold such information confidential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to observe all Company policies and procedures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when necessary in the performance of his duties for the Company. Executive’s obligations under this Agreement will continue with respect to Confidential Information, whether or not his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he first notifies promptly the Company of such subpoena, order or other requirement and allows the Company the opportunity to obtain a protective order or other appropriate remedy.</w:t>
      </w:r>
    </w:p>
    <w:p>
      <w:pPr>
        <w:spacing w:after="0" w:line="170" w:lineRule="exact"/>
        <w:rPr>
          <w:rFonts w:ascii="Arial" w:cs="Arial" w:eastAsia="Arial" w:hAnsi="Arial"/>
          <w:sz w:val="16"/>
          <w:szCs w:val="16"/>
          <w:color w:val="auto"/>
        </w:rPr>
      </w:pPr>
    </w:p>
    <w:p>
      <w:pPr>
        <w:jc w:val="both"/>
        <w:ind w:firstLine="1304"/>
        <w:spacing w:after="0" w:line="255" w:lineRule="auto"/>
        <w:tabs>
          <w:tab w:leader="none" w:pos="155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 and all copies of such materials, whether of a technical, business or fiscal nature, whether on the hard drive of a laptop or desktop computer, in hard copy, disk or any other format, which are in Executive’s possession, custody or control.</w:t>
      </w:r>
    </w:p>
    <w:p>
      <w:pPr>
        <w:spacing w:after="0" w:line="192" w:lineRule="exact"/>
        <w:rPr>
          <w:rFonts w:ascii="Arial" w:cs="Arial" w:eastAsia="Arial" w:hAnsi="Arial"/>
          <w:sz w:val="18"/>
          <w:szCs w:val="18"/>
          <w:color w:val="auto"/>
        </w:rPr>
      </w:pPr>
    </w:p>
    <w:p>
      <w:pPr>
        <w:jc w:val="both"/>
        <w:ind w:firstLine="1304"/>
        <w:spacing w:after="0" w:line="289" w:lineRule="auto"/>
        <w:tabs>
          <w:tab w:leader="none" w:pos="158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Executive will promptly disclose to the Company any idea, invention, discovery or improvement, whether patentable or not (“</w:t>
      </w:r>
      <w:r>
        <w:rPr>
          <w:rFonts w:ascii="Arial" w:cs="Arial" w:eastAsia="Arial" w:hAnsi="Arial"/>
          <w:sz w:val="16"/>
          <w:szCs w:val="16"/>
          <w:u w:val="single" w:color="auto"/>
          <w:color w:val="auto"/>
        </w:rPr>
        <w:t>Creations</w:t>
      </w:r>
      <w:r>
        <w:rPr>
          <w:rFonts w:ascii="Arial" w:cs="Arial" w:eastAsia="Arial" w:hAnsi="Arial"/>
          <w:sz w:val="16"/>
          <w:szCs w:val="16"/>
          <w:color w:val="auto"/>
        </w:rPr>
        <w:t>”), conceived or made by him alone or with other at any time during his employment. Executive agrees that the Company owns all such Creations, conceived or made by Executive alone or with other at any time during his employment, and Executive hereby assigns and agrees to assign to the Company all rights he has or may acquire their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Executive understands that the obligation to assign Creations to the Company shall not apply to any Creation which is developed entirely on his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his work at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firstLine="1304"/>
        <w:spacing w:after="0" w:line="308" w:lineRule="auto"/>
        <w:tabs>
          <w:tab w:leader="none" w:pos="155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Executive will not assert any rights to any invention, discovery, idea or improvement relating to the business of the Company or any of its Affiliated Entities or to his duties hereunder as having been made or acquired by Executive prior to his work for the Company.</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155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During the Term</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hereby granted and shall have a non- 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53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Executive agrees to cooperate fully with the Company,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w:t>
      </w:r>
    </w:p>
    <w:p>
      <w:pPr>
        <w:spacing w:after="0" w:line="196" w:lineRule="exact"/>
        <w:rPr>
          <w:rFonts w:ascii="Arial" w:cs="Arial" w:eastAsia="Arial" w:hAnsi="Arial"/>
          <w:sz w:val="18"/>
          <w:szCs w:val="18"/>
          <w:color w:val="auto"/>
        </w:rPr>
      </w:pPr>
    </w:p>
    <w:p>
      <w:pPr>
        <w:jc w:val="both"/>
        <w:ind w:firstLine="656"/>
        <w:spacing w:after="0" w:line="259" w:lineRule="auto"/>
        <w:tabs>
          <w:tab w:leader="none" w:pos="84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w:t>
      </w:r>
      <w:r>
        <w:rPr>
          <w:rFonts w:ascii="Arial" w:cs="Arial" w:eastAsia="Arial" w:hAnsi="Arial"/>
          <w:sz w:val="18"/>
          <w:szCs w:val="18"/>
          <w:color w:val="auto"/>
        </w:rPr>
        <w:t>. (a) Executive agrees that, during the Term of his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termination of Executive’s employment, or induce any such employee to terminate him or his employment with the Company or any of its Affiliated Entities.</w:t>
      </w:r>
    </w:p>
    <w:p>
      <w:pPr>
        <w:spacing w:after="0" w:line="186" w:lineRule="exact"/>
        <w:rPr>
          <w:rFonts w:ascii="Arial" w:cs="Arial" w:eastAsia="Arial" w:hAnsi="Arial"/>
          <w:sz w:val="18"/>
          <w:szCs w:val="18"/>
          <w:color w:val="auto"/>
        </w:rPr>
      </w:pPr>
    </w:p>
    <w:p>
      <w:pPr>
        <w:jc w:val="both"/>
        <w:ind w:firstLine="1304"/>
        <w:spacing w:after="0" w:line="293" w:lineRule="auto"/>
        <w:tabs>
          <w:tab w:leader="none" w:pos="156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Executive further agrees that, during the Term,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164" w:lineRule="exact"/>
        <w:rPr>
          <w:rFonts w:ascii="Arial" w:cs="Arial" w:eastAsia="Arial" w:hAnsi="Arial"/>
          <w:sz w:val="16"/>
          <w:szCs w:val="16"/>
          <w:color w:val="auto"/>
        </w:rPr>
      </w:pPr>
    </w:p>
    <w:p>
      <w:pPr>
        <w:jc w:val="both"/>
        <w:ind w:firstLine="1304"/>
        <w:spacing w:after="0" w:line="259" w:lineRule="auto"/>
        <w:tabs>
          <w:tab w:leader="none" w:pos="154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firstLine="1304"/>
        <w:spacing w:after="0" w:line="277" w:lineRule="auto"/>
        <w:tabs>
          <w:tab w:leader="none" w:pos="157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70" w:lineRule="exact"/>
        <w:rPr>
          <w:rFonts w:ascii="Arial" w:cs="Arial" w:eastAsia="Arial" w:hAnsi="Arial"/>
          <w:sz w:val="18"/>
          <w:szCs w:val="18"/>
          <w:color w:val="auto"/>
        </w:rPr>
      </w:pPr>
    </w:p>
    <w:p>
      <w:pPr>
        <w:jc w:val="both"/>
        <w:ind w:firstLine="1304"/>
        <w:spacing w:after="0" w:line="272" w:lineRule="auto"/>
        <w:tabs>
          <w:tab w:leader="none" w:pos="156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the People’s Republic of China,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77" w:lineRule="exact"/>
        <w:rPr>
          <w:rFonts w:ascii="Arial" w:cs="Arial" w:eastAsia="Arial" w:hAnsi="Arial"/>
          <w:sz w:val="17"/>
          <w:szCs w:val="17"/>
          <w:color w:val="auto"/>
        </w:rPr>
      </w:pPr>
    </w:p>
    <w:p>
      <w:pPr>
        <w:jc w:val="both"/>
        <w:ind w:firstLine="656"/>
        <w:spacing w:after="0" w:line="269" w:lineRule="auto"/>
        <w:tabs>
          <w:tab w:leader="none" w:pos="91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Executive hereby acknowledges and represents that he has had the opportunity to consult with legal counsel regarding his rights and obligations under this Agreement and that 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85" w:lineRule="exact"/>
        <w:rPr>
          <w:rFonts w:ascii="Arial" w:cs="Arial" w:eastAsia="Arial" w:hAnsi="Arial"/>
          <w:sz w:val="17"/>
          <w:szCs w:val="17"/>
          <w:color w:val="auto"/>
        </w:rPr>
      </w:pPr>
    </w:p>
    <w:p>
      <w:pPr>
        <w:jc w:val="both"/>
        <w:ind w:firstLine="656"/>
        <w:spacing w:after="0" w:line="255" w:lineRule="auto"/>
        <w:tabs>
          <w:tab w:leader="none" w:pos="92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Without limiting the remedies available to the Company, Executive acknowledges that a breach of any of the covenants contained in Sections 7(c)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7(c) and 9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ind w:left="-20" w:firstLine="656"/>
        <w:spacing w:after="0" w:line="277" w:lineRule="auto"/>
        <w:tabs>
          <w:tab w:leader="none" w:pos="91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to the Parties shall be deemed to have been given if either personally delivered, or if sent for next- day delivery by nationally recognized overnight courier, and addressed as follows:</w:t>
      </w:r>
    </w:p>
    <w:p>
      <w:pPr>
        <w:spacing w:after="0" w:line="170" w:lineRule="exact"/>
        <w:rPr>
          <w:rFonts w:ascii="Arial" w:cs="Arial" w:eastAsia="Arial" w:hAnsi="Arial"/>
          <w:sz w:val="18"/>
          <w:szCs w:val="18"/>
          <w:color w:val="auto"/>
        </w:rPr>
      </w:pPr>
    </w:p>
    <w:p>
      <w:pPr>
        <w:ind w:left="1520" w:hanging="236"/>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2nd Floor, Building 18, Shanghai Pudong Software Park,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498 Guoshoujin Road, Pudong, Shanghai 201203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 If to the Company,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2nd Floor, Building 18, Shanghai Pudong Software Park,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498 Guoshoujin Road, Pudong, Shanghai 201203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20" w:right="20" w:firstLine="656"/>
        <w:spacing w:after="0" w:line="277" w:lineRule="auto"/>
        <w:tabs>
          <w:tab w:leader="none" w:pos="91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void or unenforceable by a court of competent jurisdiction, all other provisions shall nonetheless remain in full force and effect.</w:t>
      </w:r>
    </w:p>
    <w:p>
      <w:pPr>
        <w:spacing w:after="0" w:line="170" w:lineRule="exact"/>
        <w:rPr>
          <w:rFonts w:ascii="Arial" w:cs="Arial" w:eastAsia="Arial" w:hAnsi="Arial"/>
          <w:sz w:val="18"/>
          <w:szCs w:val="18"/>
          <w:color w:val="auto"/>
        </w:rPr>
      </w:pPr>
    </w:p>
    <w:p>
      <w:pPr>
        <w:ind w:left="-20" w:firstLine="656"/>
        <w:spacing w:after="0" w:line="277" w:lineRule="auto"/>
        <w:tabs>
          <w:tab w:leader="none" w:pos="91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 applicable withholding requirements under any federal, state or local law.</w:t>
      </w:r>
    </w:p>
    <w:p>
      <w:pPr>
        <w:spacing w:after="0" w:line="170" w:lineRule="exact"/>
        <w:rPr>
          <w:rFonts w:ascii="Arial" w:cs="Arial" w:eastAsia="Arial" w:hAnsi="Arial"/>
          <w:sz w:val="18"/>
          <w:szCs w:val="18"/>
          <w:color w:val="auto"/>
        </w:rPr>
      </w:pPr>
    </w:p>
    <w:p>
      <w:pPr>
        <w:ind w:left="-20" w:right="20" w:firstLine="656"/>
        <w:spacing w:after="0" w:line="277" w:lineRule="auto"/>
        <w:tabs>
          <w:tab w:leader="none" w:pos="91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that Executive will be covered by any “directors and officers” insurance policies then in effect with respect to Executive’s acts as an officer.</w:t>
      </w:r>
    </w:p>
    <w:p>
      <w:pPr>
        <w:spacing w:after="0" w:line="170" w:lineRule="exact"/>
        <w:rPr>
          <w:rFonts w:ascii="Arial" w:cs="Arial" w:eastAsia="Arial" w:hAnsi="Arial"/>
          <w:sz w:val="18"/>
          <w:szCs w:val="18"/>
          <w:color w:val="auto"/>
        </w:rPr>
      </w:pPr>
    </w:p>
    <w:p>
      <w:pPr>
        <w:ind w:left="-20" w:firstLine="656"/>
        <w:spacing w:after="0" w:line="277" w:lineRule="auto"/>
        <w:tabs>
          <w:tab w:leader="none" w:pos="89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Hong Kong, without regard to the conflict of laws provisions thereof.</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89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186" w:lineRule="exact"/>
        <w:rPr>
          <w:rFonts w:ascii="Arial" w:cs="Arial" w:eastAsia="Arial" w:hAnsi="Arial"/>
          <w:sz w:val="18"/>
          <w:szCs w:val="18"/>
          <w:color w:val="auto"/>
        </w:rPr>
      </w:pPr>
    </w:p>
    <w:p>
      <w:pPr>
        <w:jc w:val="both"/>
        <w:ind w:left="-20" w:firstLine="656"/>
        <w:spacing w:after="0" w:line="301" w:lineRule="auto"/>
        <w:tabs>
          <w:tab w:leader="none" w:pos="898"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2" w:name="page183"/>
    <w:bookmarkEnd w:id="182"/>
    <w:p>
      <w:pPr>
        <w:jc w:val="both"/>
        <w:ind w:firstLine="656"/>
        <w:spacing w:after="0" w:line="259" w:lineRule="auto"/>
        <w:tabs>
          <w:tab w:leader="none" w:pos="93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ind w:left="620"/>
        <w:spacing w:after="0"/>
        <w:rPr>
          <w:sz w:val="20"/>
          <w:szCs w:val="20"/>
          <w:color w:val="auto"/>
        </w:rPr>
      </w:pPr>
      <w:r>
        <w:rPr>
          <w:rFonts w:ascii="Arial" w:cs="Arial" w:eastAsia="Arial" w:hAnsi="Arial"/>
          <w:sz w:val="16"/>
          <w:szCs w:val="16"/>
          <w:color w:val="auto"/>
        </w:rPr>
        <w:t>IN WITNESS WHEREOF, the Parties have caused this Agreement to be duly executed and delivered on the date first written above.</w:t>
      </w:r>
    </w:p>
    <w:p>
      <w:pPr>
        <w:spacing w:after="0" w:line="24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-130175</wp:posOffset>
            </wp:positionV>
            <wp:extent cx="249428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285432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360" w:top="908" w:right="137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NO:ZL(R)20210069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B (Lessee): ChinaLink Professional Services Co., Ltd.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house which is rented to Party B by Party A is located in Room 18201/18202/18203/18204/18205/18206/18207/18208, Building 18,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Party A establishes a leasing relationship with Party B as the real estate owner of the House. Party A has told Party B and Party B has fully known that the House has been mortgaged before the contract is signed.</w:t>
      </w:r>
    </w:p>
    <w:p>
      <w:pPr>
        <w:spacing w:after="0" w:line="170"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 Rental Purposes</w:t>
      </w:r>
    </w:p>
    <w:p>
      <w:pPr>
        <w:spacing w:after="0" w:line="225"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3. Renewal Term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4"/>
              </w:rPr>
              <w:t>3-1</w:t>
            </w:r>
          </w:p>
        </w:tc>
        <w:tc>
          <w:tcPr>
            <w:tcW w:w="10780" w:type="dxa"/>
            <w:vAlign w:val="bottom"/>
          </w:tcPr>
          <w:p>
            <w:pPr>
              <w:ind w:left="200"/>
              <w:spacing w:after="0"/>
              <w:rPr>
                <w:sz w:val="20"/>
                <w:szCs w:val="20"/>
                <w:color w:val="auto"/>
              </w:rPr>
            </w:pPr>
            <w:r>
              <w:rPr>
                <w:rFonts w:ascii="Arial" w:cs="Arial" w:eastAsia="Arial" w:hAnsi="Arial"/>
                <w:sz w:val="18"/>
                <w:szCs w:val="18"/>
                <w:color w:val="auto"/>
              </w:rPr>
              <w:t>The Contract is a renewal contract based on the original contract (No. ZL(R)20190043) which was signed for renting the House.</w:t>
            </w:r>
          </w:p>
        </w:tc>
      </w:tr>
      <w:tr>
        <w:trPr>
          <w:trHeight w:val="458"/>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4"/>
              </w:rPr>
              <w:t>3-2</w:t>
            </w:r>
          </w:p>
        </w:tc>
        <w:tc>
          <w:tcPr>
            <w:tcW w:w="10780" w:type="dxa"/>
            <w:vAlign w:val="bottom"/>
          </w:tcPr>
          <w:p>
            <w:pPr>
              <w:ind w:left="200"/>
              <w:spacing w:after="0"/>
              <w:rPr>
                <w:sz w:val="20"/>
                <w:szCs w:val="20"/>
                <w:color w:val="auto"/>
              </w:rPr>
            </w:pPr>
            <w:r>
              <w:rPr>
                <w:rFonts w:ascii="Arial" w:cs="Arial" w:eastAsia="Arial" w:hAnsi="Arial"/>
                <w:sz w:val="18"/>
                <w:szCs w:val="18"/>
                <w:color w:val="auto"/>
                <w:w w:val="90"/>
              </w:rPr>
              <w:t>The renewal term is from July 1</w:t>
            </w:r>
            <w:r>
              <w:rPr>
                <w:rFonts w:ascii="Arial" w:cs="Arial" w:eastAsia="Arial" w:hAnsi="Arial"/>
                <w:sz w:val="29"/>
                <w:szCs w:val="29"/>
                <w:color w:val="auto"/>
                <w:w w:val="90"/>
                <w:vertAlign w:val="superscript"/>
              </w:rPr>
              <w:t>st</w:t>
            </w:r>
            <w:r>
              <w:rPr>
                <w:rFonts w:ascii="Arial" w:cs="Arial" w:eastAsia="Arial" w:hAnsi="Arial"/>
                <w:sz w:val="18"/>
                <w:szCs w:val="18"/>
                <w:color w:val="auto"/>
                <w:w w:val="90"/>
              </w:rPr>
              <w:t>, 2021 (hereinafter referred to as “lease date”) to June 30</w:t>
            </w:r>
            <w:r>
              <w:rPr>
                <w:rFonts w:ascii="Arial" w:cs="Arial" w:eastAsia="Arial" w:hAnsi="Arial"/>
                <w:sz w:val="29"/>
                <w:szCs w:val="29"/>
                <w:color w:val="auto"/>
                <w:w w:val="90"/>
                <w:vertAlign w:val="superscript"/>
              </w:rPr>
              <w:t>th</w:t>
            </w:r>
            <w:r>
              <w:rPr>
                <w:rFonts w:ascii="Arial" w:cs="Arial" w:eastAsia="Arial" w:hAnsi="Arial"/>
                <w:sz w:val="18"/>
                <w:szCs w:val="18"/>
                <w:color w:val="auto"/>
                <w:w w:val="90"/>
              </w:rPr>
              <w:t>, 2024 (hereinafter referred to as “terminal date”). The</w:t>
            </w:r>
          </w:p>
        </w:tc>
      </w:tr>
      <w:tr>
        <w:trPr>
          <w:trHeight w:val="230"/>
        </w:trPr>
        <w:tc>
          <w:tcPr>
            <w:tcW w:w="46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rent will be counted from July 1st, 2021 (hereinafter referred to as “rent date”) to terminal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Both Parties agree that the unit rental price is counted according to the daily construction area per square meter.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July 1st, 2021 to July 15</w:t>
      </w:r>
      <w:r>
        <w:rPr>
          <w:rFonts w:ascii="Arial" w:cs="Arial" w:eastAsia="Arial" w:hAnsi="Arial"/>
          <w:sz w:val="29"/>
          <w:szCs w:val="29"/>
          <w:color w:val="auto"/>
          <w:vertAlign w:val="superscript"/>
        </w:rPr>
        <w:t>th</w:t>
      </w:r>
      <w:r>
        <w:rPr>
          <w:rFonts w:ascii="Arial" w:cs="Arial" w:eastAsia="Arial" w:hAnsi="Arial"/>
          <w:sz w:val="18"/>
          <w:szCs w:val="18"/>
          <w:color w:val="auto"/>
        </w:rPr>
        <w:t>, 2021, rent free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July 16st, 2021 to June 30</w:t>
      </w:r>
      <w:r>
        <w:rPr>
          <w:rFonts w:ascii="Arial" w:cs="Arial" w:eastAsia="Arial" w:hAnsi="Arial"/>
          <w:sz w:val="29"/>
          <w:szCs w:val="29"/>
          <w:color w:val="auto"/>
          <w:vertAlign w:val="superscript"/>
        </w:rPr>
        <w:t>th</w:t>
      </w:r>
      <w:r>
        <w:rPr>
          <w:rFonts w:ascii="Arial" w:cs="Arial" w:eastAsia="Arial" w:hAnsi="Arial"/>
          <w:sz w:val="18"/>
          <w:szCs w:val="18"/>
          <w:color w:val="auto"/>
        </w:rPr>
        <w:t>, 2022, the unit rental price is RMB 3.86 yuan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July 1st, 2022 to June 30</w:t>
      </w:r>
      <w:r>
        <w:rPr>
          <w:rFonts w:ascii="Arial" w:cs="Arial" w:eastAsia="Arial" w:hAnsi="Arial"/>
          <w:sz w:val="29"/>
          <w:szCs w:val="29"/>
          <w:color w:val="auto"/>
          <w:vertAlign w:val="superscript"/>
        </w:rPr>
        <w:t>th</w:t>
      </w:r>
      <w:r>
        <w:rPr>
          <w:rFonts w:ascii="Arial" w:cs="Arial" w:eastAsia="Arial" w:hAnsi="Arial"/>
          <w:sz w:val="18"/>
          <w:szCs w:val="18"/>
          <w:color w:val="auto"/>
        </w:rPr>
        <w:t>, 2023, the unit rental price is RMB 3.98 yuan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July 1st, 2023 to June 30</w:t>
      </w:r>
      <w:r>
        <w:rPr>
          <w:rFonts w:ascii="Arial" w:cs="Arial" w:eastAsia="Arial" w:hAnsi="Arial"/>
          <w:sz w:val="29"/>
          <w:szCs w:val="29"/>
          <w:color w:val="auto"/>
          <w:vertAlign w:val="superscript"/>
        </w:rPr>
        <w:t>th</w:t>
      </w:r>
      <w:r>
        <w:rPr>
          <w:rFonts w:ascii="Arial" w:cs="Arial" w:eastAsia="Arial" w:hAnsi="Arial"/>
          <w:sz w:val="18"/>
          <w:szCs w:val="18"/>
          <w:color w:val="auto"/>
        </w:rPr>
        <w:t>, 2024, the unit rental price is RMB 4.08 yuan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unit rental prices are tax-inclusive prices)</w:t>
      </w:r>
    </w:p>
    <w:p>
      <w:pPr>
        <w:spacing w:after="0" w:line="225" w:lineRule="exact"/>
        <w:rPr>
          <w:sz w:val="20"/>
          <w:szCs w:val="20"/>
          <w:color w:val="auto"/>
        </w:rPr>
      </w:pPr>
    </w:p>
    <w:p>
      <w:pPr>
        <w:jc w:val="both"/>
        <w:ind w:left="660" w:hanging="647"/>
        <w:spacing w:after="0" w:line="221" w:lineRule="exact"/>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Arial" w:cs="Arial" w:eastAsia="Arial" w:hAnsi="Arial"/>
          <w:sz w:val="16"/>
          <w:szCs w:val="16"/>
          <w:color w:val="auto"/>
        </w:rPr>
        <w:t xml:space="preserve"> unit rental price </w:t>
      </w:r>
      <w:r>
        <w:rPr>
          <w:rFonts w:ascii="MS PGothic" w:cs="MS PGothic" w:eastAsia="MS PGothic" w:hAnsi="MS PGothic"/>
          <w:sz w:val="16"/>
          <w:szCs w:val="16"/>
          <w:color w:val="auto"/>
        </w:rPr>
        <w:t>☐</w:t>
      </w:r>
      <w:r>
        <w:rPr>
          <w:rFonts w:ascii="Arial" w:cs="Arial" w:eastAsia="Arial" w:hAnsi="Arial"/>
          <w:sz w:val="16"/>
          <w:szCs w:val="16"/>
          <w:color w:val="auto"/>
        </w:rPr>
        <w:t xml:space="preserve"> the calendar days of the month. The monthly rental amount is rounded to</w:t>
      </w:r>
    </w:p>
    <w:p>
      <w:pPr>
        <w:spacing w:after="0" w:line="1" w:lineRule="exact"/>
        <w:rPr>
          <w:sz w:val="20"/>
          <w:szCs w:val="20"/>
          <w:color w:val="auto"/>
        </w:rPr>
      </w:pPr>
    </w:p>
    <w:p>
      <w:pPr>
        <w:jc w:val="both"/>
        <w:ind w:left="660"/>
        <w:spacing w:after="0" w:line="247" w:lineRule="auto"/>
        <w:rPr>
          <w:sz w:val="20"/>
          <w:szCs w:val="20"/>
          <w:color w:val="auto"/>
        </w:rPr>
      </w:pPr>
      <w:r>
        <w:rPr>
          <w:rFonts w:ascii="Arial" w:cs="Arial" w:eastAsia="Arial" w:hAnsi="Arial"/>
          <w:sz w:val="16"/>
          <w:szCs w:val="16"/>
          <w:color w:val="auto"/>
        </w:rPr>
        <w:t>one decimal place). 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w:t>
      </w:r>
    </w:p>
    <w:p>
      <w:pPr>
        <w:spacing w:after="0" w:line="1" w:lineRule="exact"/>
        <w:rPr>
          <w:sz w:val="20"/>
          <w:szCs w:val="20"/>
          <w:color w:val="auto"/>
        </w:rPr>
      </w:pPr>
    </w:p>
    <w:p>
      <w:pPr>
        <w:jc w:val="both"/>
        <w:ind w:left="660"/>
        <w:spacing w:after="0" w:line="209" w:lineRule="auto"/>
        <w:rPr>
          <w:sz w:val="20"/>
          <w:szCs w:val="20"/>
          <w:color w:val="auto"/>
        </w:rPr>
      </w:pPr>
      <w:r>
        <w:rPr>
          <w:rFonts w:ascii="Arial" w:cs="Arial" w:eastAsia="Arial" w:hAnsi="Arial"/>
          <w:sz w:val="18"/>
          <w:szCs w:val="18"/>
          <w:color w:val="auto"/>
        </w:rPr>
        <w:t>be paid before the10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Party B pays the rent to Party A’s following account by check or transfer: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1001194909004601783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ICBC Shanghai Zhangjiang sub branch</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Party A may entrust a property management company to assist in collecting the 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2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 462,650 yuan. Party B has paid RMB 437,703 yuan for rental deposit under the original contract, and it will be automatically converted to the deposit under the Contract after the Contract becomes effective. The margin of the deposit is RMB 24,947 yuan,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166"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left="660"/>
        <w:spacing w:after="0" w:line="255" w:lineRule="auto"/>
        <w:rPr>
          <w:sz w:val="20"/>
          <w:szCs w:val="20"/>
          <w:color w:val="auto"/>
        </w:rPr>
      </w:pPr>
      <w:r>
        <w:rPr>
          <w:rFonts w:ascii="Arial" w:cs="Arial" w:eastAsia="Arial" w:hAnsi="Arial"/>
          <w:sz w:val="18"/>
          <w:szCs w:val="18"/>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2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7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88"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146"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9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18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8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88"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9. Sublet, Mix, Transfer and Exchange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84"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10. Priority Renewal Rights</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7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Party B shall return the House to Party A no later than the expiry date of the lease or the date on which the Contract is terminated prematurely.</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92"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84" w:lineRule="exact"/>
        <w:rPr>
          <w:sz w:val="20"/>
          <w:szCs w:val="20"/>
          <w:color w:val="auto"/>
        </w:rPr>
      </w:pPr>
    </w:p>
    <w:p>
      <w:pPr>
        <w:ind w:left="980" w:hanging="324"/>
        <w:spacing w:after="0" w:line="277"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loss or damage due to expropriation, acquisition, confiscation, nationalization or any force majeure caused by state or government agencies;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left="980" w:hanging="324"/>
        <w:spacing w:after="0" w:line="308" w:lineRule="auto"/>
        <w:tabs>
          <w:tab w:leader="none" w:pos="9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Party A’s default</w:t>
      </w:r>
    </w:p>
    <w:p>
      <w:pPr>
        <w:spacing w:after="0" w:line="225" w:lineRule="exact"/>
        <w:rPr>
          <w:sz w:val="20"/>
          <w:szCs w:val="20"/>
          <w:color w:val="auto"/>
        </w:rPr>
      </w:pPr>
    </w:p>
    <w:p>
      <w:pPr>
        <w:ind w:left="980" w:hanging="324"/>
        <w:spacing w:after="0" w:line="277"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83"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Party B’s default</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left="980" w:hanging="324"/>
        <w:spacing w:after="0" w:line="275" w:lineRule="auto"/>
        <w:tabs>
          <w:tab w:leader="none" w:pos="98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76" w:lineRule="exact"/>
        <w:rPr>
          <w:rFonts w:ascii="Arial" w:cs="Arial" w:eastAsia="Arial" w:hAnsi="Arial"/>
          <w:sz w:val="17"/>
          <w:szCs w:val="17"/>
          <w:color w:val="auto"/>
        </w:rPr>
      </w:pPr>
    </w:p>
    <w:p>
      <w:pPr>
        <w:ind w:left="980"/>
        <w:spacing w:after="0" w:line="277" w:lineRule="auto"/>
        <w:rPr>
          <w:rFonts w:ascii="Arial" w:cs="Arial" w:eastAsia="Arial" w:hAnsi="Arial"/>
          <w:sz w:val="17"/>
          <w:szCs w:val="17"/>
          <w:color w:val="auto"/>
        </w:rPr>
      </w:pPr>
      <w:r>
        <w:rPr>
          <w:rFonts w:ascii="Arial" w:cs="Arial" w:eastAsia="Arial" w:hAnsi="Arial"/>
          <w:sz w:val="18"/>
          <w:szCs w:val="18"/>
          <w:color w:val="auto"/>
        </w:rPr>
        <w:t>Retirement refers to the behavior that Party B decides to terminate the lease relationship early for its own reasons, limited to a written statement.</w:t>
      </w:r>
    </w:p>
    <w:p>
      <w:pPr>
        <w:spacing w:after="0" w:line="170"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Party A has right to request Party B to compensate Party A for the losses suffered thereby, if Party B takes the following 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25"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187"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Party A fails to deliver the House on time and still cannot deliver the House 30 days after the written notice from Party B;</w:t>
      </w:r>
    </w:p>
    <w:p>
      <w:pPr>
        <w:spacing w:after="0" w:line="192" w:lineRule="exact"/>
        <w:rPr>
          <w:rFonts w:ascii="Arial" w:cs="Arial" w:eastAsia="Arial" w:hAnsi="Arial"/>
          <w:sz w:val="18"/>
          <w:szCs w:val="18"/>
          <w:color w:val="auto"/>
        </w:rPr>
      </w:pPr>
    </w:p>
    <w:p>
      <w:pPr>
        <w:ind w:left="980" w:right="20" w:hanging="324"/>
        <w:spacing w:after="0" w:line="239" w:lineRule="exact"/>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Due to the breach of item (8) of the preceding paragraph, the Party A has the right to retain all the articles in the House until Party B pays all the money (including the liquidated damages) to Party A.</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Both Parties agree that the Contract is terminated under the following situations, and neither of them should be responsible for the termination.</w:t>
      </w:r>
    </w:p>
    <w:p>
      <w:pPr>
        <w:spacing w:after="0" w:line="225" w:lineRule="exact"/>
        <w:rPr>
          <w:sz w:val="20"/>
          <w:szCs w:val="20"/>
          <w:color w:val="auto"/>
        </w:rPr>
      </w:pPr>
    </w:p>
    <w:p>
      <w:pPr>
        <w:ind w:left="980" w:hanging="324"/>
        <w:spacing w:after="0"/>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Statements and Guarantees</w:t>
      </w:r>
    </w:p>
    <w:p>
      <w:pPr>
        <w:spacing w:after="0" w:line="22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ind w:left="980" w:right="20" w:hanging="324"/>
        <w:spacing w:after="0" w:line="308" w:lineRule="auto"/>
        <w:tabs>
          <w:tab w:leader="none" w:pos="9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Safe Production</w:t>
      </w:r>
    </w:p>
    <w:p>
      <w:pPr>
        <w:spacing w:after="0" w:line="225" w:lineRule="exact"/>
        <w:rPr>
          <w:sz w:val="20"/>
          <w:szCs w:val="20"/>
          <w:color w:val="auto"/>
        </w:rPr>
      </w:pPr>
    </w:p>
    <w:p>
      <w:pPr>
        <w:jc w:val="both"/>
        <w:ind w:left="660" w:hanging="647"/>
        <w:spacing w:after="0" w:line="219" w:lineRule="exact"/>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7"/>
          <w:szCs w:val="17"/>
          <w:color w:val="auto"/>
        </w:rPr>
        <w:t>Ⅲ</w:t>
      </w:r>
      <w:r>
        <w:rPr>
          <w:rFonts w:ascii="Arial" w:cs="Arial" w:eastAsia="Arial" w:hAnsi="Arial"/>
          <w:sz w:val="17"/>
          <w:szCs w:val="17"/>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5"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17-2    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Party B’s safety records shall be used as a reference for Party B’s priority rights such as renewal and extension of lease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Contract takes effect immediately after both parties have signed and sealed the contract.</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65"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center"/>
        <w:ind w:right="20"/>
        <w:spacing w:after="0" w:line="308" w:lineRule="auto"/>
        <w:rPr>
          <w:sz w:val="20"/>
          <w:szCs w:val="20"/>
          <w:color w:val="auto"/>
        </w:rPr>
      </w:pPr>
      <w:r>
        <w:rPr>
          <w:rFonts w:ascii="Arial" w:cs="Arial" w:eastAsia="Arial" w:hAnsi="Arial"/>
          <w:sz w:val="17"/>
          <w:szCs w:val="17"/>
          <w:color w:val="auto"/>
        </w:rPr>
        <w:t>18-4    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46" w:lineRule="exact"/>
        <w:rPr>
          <w:sz w:val="20"/>
          <w:szCs w:val="20"/>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The Contract has four copies with the Annex, and Party A, Party B, the business department, the tax department each hold a copy. All of them have the same effect.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All fees and taxes related to the registration of the Contract (including but not limited to stamp duty) should be borne by both parties in accordance with the regulations of the People’s Republic of China and Shanghai.</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Plan of the House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color w:val="auto"/>
        </w:rPr>
        <w:t>Annex II</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08" w:right="41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65"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65" w:lineRule="exact"/>
        <w:rPr>
          <w:rFonts w:ascii="Arial" w:cs="Arial" w:eastAsia="Arial" w:hAnsi="Arial"/>
          <w:sz w:val="17"/>
          <w:szCs w:val="17"/>
          <w:color w:val="auto"/>
        </w:rPr>
      </w:pPr>
    </w:p>
    <w:p>
      <w:pPr>
        <w:jc w:val="both"/>
        <w:ind w:left="980" w:right="20" w:hanging="324"/>
        <w:spacing w:after="0" w:line="342" w:lineRule="auto"/>
        <w:tabs>
          <w:tab w:leader="none" w:pos="9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left="980" w:hanging="324"/>
        <w:spacing w:after="0"/>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Contract No: ZL (C) 20210016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B (Lessee): Jaji (Shanghai) Co., Ltd.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house which is rented to Party B by Party A is located in Room 18101/18102/18103/18104, Building 18, Guo Shoujing Road No.498, Zhang Jiang High Tech Park, Pudong, Shanghai (hereinafter referred to as “the House”). The building area of the House is 914.62 square meters. The House should be used for research and development and office. The structure of the House is reinforced concrete structure. The plan of the house is shown in Annex I of this contract.</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Party A establishes a leasing relationship with Party B as the real estate owner of the House. Party A has told Party B and Party B has fully known that the House has been mortgaged before the contract is signed.</w:t>
      </w:r>
    </w:p>
    <w:p>
      <w:pPr>
        <w:spacing w:after="0" w:line="170"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 Rental Purposes</w:t>
      </w:r>
    </w:p>
    <w:p>
      <w:pPr>
        <w:spacing w:after="0" w:line="225"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3. Lease Term</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lease term of the house starts from April 1, 2021 (hereinafter referred to as the lease commencement date) to December 31, 2023 (hereinafter referred to as the lease expiration date).The rent period is from April 1, 2021 (hereinafter referred to as the rent payment date) to the expiration date of the lease term.</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he delivery date of the house is April 1, 2021</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Party A shall notify Party B of the acceptance and handover of the house at least one day in advance and no later than the delivery date. Party B shall send a representative to jointly accept the house with Party A and / or the property management company entrusted by Party A at the time notified by Party A.After the acceptance, Party B shall sign the written House acceptance handover certificate to show that Party A has delivered the house to Party B.</w:t>
      </w:r>
    </w:p>
    <w:p>
      <w:pPr>
        <w:spacing w:after="0" w:line="187" w:lineRule="exact"/>
        <w:rPr>
          <w:sz w:val="20"/>
          <w:szCs w:val="20"/>
          <w:color w:val="auto"/>
        </w:rPr>
      </w:pPr>
    </w:p>
    <w:p>
      <w:pPr>
        <w:jc w:val="both"/>
        <w:ind w:left="660" w:firstLine="360"/>
        <w:spacing w:after="0" w:line="259" w:lineRule="auto"/>
        <w:rPr>
          <w:sz w:val="20"/>
          <w:szCs w:val="20"/>
          <w:color w:val="auto"/>
        </w:rPr>
      </w:pPr>
      <w:r>
        <w:rPr>
          <w:rFonts w:ascii="Arial" w:cs="Arial" w:eastAsia="Arial" w:hAnsi="Arial"/>
          <w:sz w:val="18"/>
          <w:szCs w:val="18"/>
          <w:color w:val="auto"/>
        </w:rPr>
        <w:t>If both parties check that the house and its ancillary facilities do not meet the delivery standards agreed in this contract, Party A shall correct them within 3 days or within a reasonable period agreed by both parties to meet the delivery standards, and notify Party B and Party A to jointly accept the house again.After the re acceptance, Party B shall sign the written House acceptance handover letter to show that Party A has delivered the house to Party B.</w:t>
      </w:r>
    </w:p>
    <w:p>
      <w:pPr>
        <w:spacing w:after="0" w:line="187" w:lineRule="exact"/>
        <w:rPr>
          <w:sz w:val="20"/>
          <w:szCs w:val="20"/>
          <w:color w:val="auto"/>
        </w:rPr>
      </w:pPr>
    </w:p>
    <w:p>
      <w:pPr>
        <w:jc w:val="both"/>
        <w:ind w:left="660" w:firstLine="360"/>
        <w:spacing w:after="0" w:line="254" w:lineRule="auto"/>
        <w:rPr>
          <w:sz w:val="20"/>
          <w:szCs w:val="20"/>
          <w:color w:val="auto"/>
        </w:rPr>
      </w:pPr>
      <w:r>
        <w:rPr>
          <w:rFonts w:ascii="Arial" w:cs="Arial" w:eastAsia="Arial" w:hAnsi="Arial"/>
          <w:sz w:val="18"/>
          <w:szCs w:val="18"/>
          <w:color w:val="auto"/>
        </w:rPr>
        <w:t>If Party A fails to deliver the house to Party B as of the lease commencement date of Article 31, Party A shall extend the lease commencement date of Party B, and the new lease commencement date shall be calculated from the actual delivery date.From the lease date of Article 3.1, if the delivery of the house is delayed for more than 10 working days due to Party A, Party A shall pay Party B 10% of the daily rent of the house as liquidated damages for each delayed delivery day from the first working day after the lease date of Article 3.1, and postpone Party B&amp;apos;s lease date. The new lease date shall be calculated from the actual delivery date.If the starting date of rent is postponed according to this paragraph, the starting date of rent shall be postponed accordingly.If the aforesaid breach of contract by Party A lasts for more than 30 days, Party B has the right to terminate this contract.</w:t>
      </w:r>
    </w:p>
    <w:p>
      <w:pPr>
        <w:spacing w:after="0" w:line="19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B shall handle the relevant handover procedures of the leased house no later than the delivery date. Party B&amp;apos;s delay in handling the handover procedures will not affect the rent payable by Party B from the date of rent payment and other expenses borne by Party B.If the relevant handover procedures are not completed within 30 days after the delivery date agreed in the contract due to Party B, Party A has the right to terminate the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A and Party B agree that the rental unit price of the house is calculated according to the construction area per square meter per day, and Party A will issue a valid invoice after receiving Party B’s monthly rent. Within the lease term agreed in this Contract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April 1</w:t>
      </w:r>
      <w:r>
        <w:rPr>
          <w:rFonts w:ascii="Arial" w:cs="Arial" w:eastAsia="Arial" w:hAnsi="Arial"/>
          <w:sz w:val="29"/>
          <w:szCs w:val="29"/>
          <w:color w:val="auto"/>
          <w:vertAlign w:val="superscript"/>
        </w:rPr>
        <w:t>st</w:t>
      </w:r>
      <w:r>
        <w:rPr>
          <w:rFonts w:ascii="Arial" w:cs="Arial" w:eastAsia="Arial" w:hAnsi="Arial"/>
          <w:sz w:val="18"/>
          <w:szCs w:val="18"/>
          <w:color w:val="auto"/>
        </w:rPr>
        <w:t>,2021 to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,2021, the unit rental price is RMB 3.97 yuan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2022 to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,2022, the unit rental price is RMB 4.09 yuan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2023 to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,2023, the unit rental price is RMB 4.19 yuan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unit rental prices are tax-inclusive prices)</w:t>
      </w:r>
    </w:p>
    <w:p>
      <w:pPr>
        <w:spacing w:after="0" w:line="225" w:lineRule="exact"/>
        <w:rPr>
          <w:sz w:val="20"/>
          <w:szCs w:val="20"/>
          <w:color w:val="auto"/>
        </w:rPr>
      </w:pPr>
    </w:p>
    <w:p>
      <w:pPr>
        <w:jc w:val="both"/>
        <w:ind w:left="660" w:hanging="647"/>
        <w:spacing w:after="0" w:line="221" w:lineRule="exact"/>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Arial" w:cs="Arial" w:eastAsia="Arial" w:hAnsi="Arial"/>
          <w:sz w:val="16"/>
          <w:szCs w:val="16"/>
          <w:color w:val="auto"/>
        </w:rPr>
        <w:t xml:space="preserve"> unit rental price </w:t>
      </w:r>
      <w:r>
        <w:rPr>
          <w:rFonts w:ascii="MS PGothic" w:cs="MS PGothic" w:eastAsia="MS PGothic" w:hAnsi="MS PGothic"/>
          <w:sz w:val="16"/>
          <w:szCs w:val="16"/>
          <w:color w:val="auto"/>
        </w:rPr>
        <w:t>╳</w:t>
      </w:r>
      <w:r>
        <w:rPr>
          <w:rFonts w:ascii="Arial" w:cs="Arial" w:eastAsia="Arial" w:hAnsi="Arial"/>
          <w:sz w:val="16"/>
          <w:szCs w:val="16"/>
          <w:color w:val="auto"/>
        </w:rPr>
        <w:t xml:space="preserve"> the calendar days of the month. The monthly rental amount is rounded to</w:t>
      </w:r>
    </w:p>
    <w:p>
      <w:pPr>
        <w:spacing w:after="0" w:line="1" w:lineRule="exact"/>
        <w:rPr>
          <w:sz w:val="20"/>
          <w:szCs w:val="20"/>
          <w:color w:val="auto"/>
        </w:rPr>
      </w:pPr>
    </w:p>
    <w:p>
      <w:pPr>
        <w:jc w:val="both"/>
        <w:ind w:left="660"/>
        <w:spacing w:after="0" w:line="247" w:lineRule="auto"/>
        <w:rPr>
          <w:sz w:val="20"/>
          <w:szCs w:val="20"/>
          <w:color w:val="auto"/>
        </w:rPr>
      </w:pPr>
      <w:r>
        <w:rPr>
          <w:rFonts w:ascii="Arial" w:cs="Arial" w:eastAsia="Arial" w:hAnsi="Arial"/>
          <w:sz w:val="16"/>
          <w:szCs w:val="16"/>
          <w:color w:val="auto"/>
        </w:rPr>
        <w:t>one decimal place). 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w:t>
      </w:r>
    </w:p>
    <w:p>
      <w:pPr>
        <w:spacing w:after="0" w:line="1" w:lineRule="exact"/>
        <w:rPr>
          <w:sz w:val="20"/>
          <w:szCs w:val="20"/>
          <w:color w:val="auto"/>
        </w:rPr>
      </w:pPr>
    </w:p>
    <w:p>
      <w:pPr>
        <w:jc w:val="both"/>
        <w:ind w:left="660"/>
        <w:spacing w:after="0" w:line="209" w:lineRule="auto"/>
        <w:rPr>
          <w:sz w:val="20"/>
          <w:szCs w:val="20"/>
          <w:color w:val="auto"/>
        </w:rPr>
      </w:pPr>
      <w:r>
        <w:rPr>
          <w:rFonts w:ascii="Arial" w:cs="Arial" w:eastAsia="Arial" w:hAnsi="Arial"/>
          <w:sz w:val="18"/>
          <w:szCs w:val="18"/>
          <w:color w:val="auto"/>
        </w:rPr>
        <w:t>be paid before the10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4" w:name="page205"/>
    <w:bookmarkEnd w:id="204"/>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Party B pays the rent to Party A’s following account by check or transfer: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1001194909004601783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ICBC Shanghai Zhangjiang sub branch</w:t>
      </w:r>
    </w:p>
    <w:p>
      <w:pPr>
        <w:spacing w:after="0" w:line="21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Party A may entrust a property management company to assist in collecting the 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RMB344,903 yuan.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5" w:name="page206"/>
    <w:bookmarkEnd w:id="205"/>
    <w:p>
      <w:pPr>
        <w:jc w:val="both"/>
        <w:ind w:left="660"/>
        <w:spacing w:after="0" w:line="275" w:lineRule="auto"/>
        <w:rPr>
          <w:sz w:val="20"/>
          <w:szCs w:val="20"/>
          <w:color w:val="auto"/>
        </w:rPr>
      </w:pPr>
      <w:r>
        <w:rPr>
          <w:rFonts w:ascii="Arial" w:cs="Arial" w:eastAsia="Arial" w:hAnsi="Arial"/>
          <w:sz w:val="17"/>
          <w:szCs w:val="17"/>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7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2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7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6" w:name="page207"/>
    <w:bookmarkEnd w:id="206"/>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88"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146"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9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8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7" w:name="page208"/>
    <w:bookmarkEnd w:id="207"/>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8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88"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9. Sublet, Mix, Transfer and Exchange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84"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10. Priority Renewal Rights</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7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Party B shall return the House to Party A no later than the expiry date of the lease or the date on which the Contract is terminated prematurely.</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18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92"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84" w:lineRule="exact"/>
        <w:rPr>
          <w:sz w:val="20"/>
          <w:szCs w:val="20"/>
          <w:color w:val="auto"/>
        </w:rPr>
      </w:pPr>
    </w:p>
    <w:p>
      <w:pPr>
        <w:ind w:left="980" w:hanging="324"/>
        <w:spacing w:after="0" w:line="277" w:lineRule="auto"/>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loss or damage due to expropriation, acquisition, confiscation, nationalization or any force majeure caused by state or government agencies;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9" w:name="page210"/>
    <w:bookmarkEnd w:id="209"/>
    <w:p>
      <w:pPr>
        <w:ind w:left="980" w:hanging="324"/>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Party A’s default</w:t>
      </w:r>
    </w:p>
    <w:p>
      <w:pPr>
        <w:spacing w:after="0" w:line="225" w:lineRule="exact"/>
        <w:rPr>
          <w:sz w:val="20"/>
          <w:szCs w:val="20"/>
          <w:color w:val="auto"/>
        </w:rPr>
      </w:pPr>
    </w:p>
    <w:p>
      <w:pPr>
        <w:ind w:left="980" w:hanging="324"/>
        <w:spacing w:after="0" w:line="277"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83"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Party B’s default</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0" w:name="page211"/>
    <w:bookmarkEnd w:id="210"/>
    <w:p>
      <w:pPr>
        <w:jc w:val="both"/>
        <w:ind w:left="980" w:hanging="324"/>
        <w:spacing w:after="0" w:line="275" w:lineRule="auto"/>
        <w:tabs>
          <w:tab w:leader="none" w:pos="9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Retirement refers to the behavior that Party B decides to terminate the lease relationship early for its own reasons, limited to a written statement.</w:t>
      </w:r>
    </w:p>
    <w:p>
      <w:pPr>
        <w:spacing w:after="0" w:line="248" w:lineRule="exact"/>
        <w:rPr>
          <w:sz w:val="20"/>
          <w:szCs w:val="20"/>
          <w:color w:val="auto"/>
        </w:rPr>
      </w:pPr>
    </w:p>
    <w:p>
      <w:pPr>
        <w:jc w:val="both"/>
        <w:ind w:left="980" w:right="20" w:hanging="324"/>
        <w:spacing w:after="0" w:line="263" w:lineRule="auto"/>
        <w:tabs>
          <w:tab w:leader="none" w:pos="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Party A has right to request Party B to compensate Party A for the losses suffered thereby, if Party B takes the following 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25"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6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Party A fails to deliver the House on time and still cannot deliver the House 30 days after the written notice from Party B;</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1" w:name="page212"/>
    <w:bookmarkEnd w:id="211"/>
    <w:p>
      <w:pPr>
        <w:ind w:left="980" w:right="20" w:hanging="324"/>
        <w:spacing w:after="0" w:line="239" w:lineRule="exact"/>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Due to the breach of item (8) of the preceding paragraph, the Party A has the right to retain all the articles in the House until Party B pays all the money (including the liquidated damages) to Party A.</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Both Parties agree that the Contract is terminated under the following situations, and neither of them should be responsible for the termination.</w:t>
      </w:r>
    </w:p>
    <w:p>
      <w:pPr>
        <w:spacing w:after="0" w:line="225"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16. Statements and Guarantees</w:t>
      </w:r>
    </w:p>
    <w:p>
      <w:pPr>
        <w:spacing w:after="0" w:line="225"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17. Safe Production</w:t>
      </w:r>
    </w:p>
    <w:p>
      <w:pPr>
        <w:spacing w:after="0" w:line="225" w:lineRule="exact"/>
        <w:rPr>
          <w:sz w:val="20"/>
          <w:szCs w:val="20"/>
          <w:color w:val="auto"/>
        </w:rPr>
      </w:pPr>
    </w:p>
    <w:p>
      <w:pPr>
        <w:jc w:val="both"/>
        <w:ind w:left="660" w:hanging="647"/>
        <w:spacing w:after="0" w:line="219" w:lineRule="exact"/>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7"/>
          <w:szCs w:val="17"/>
          <w:color w:val="auto"/>
        </w:rPr>
        <w:t>Ⅲ</w:t>
      </w:r>
      <w:r>
        <w:rPr>
          <w:rFonts w:ascii="Arial" w:cs="Arial" w:eastAsia="Arial" w:hAnsi="Arial"/>
          <w:sz w:val="17"/>
          <w:szCs w:val="17"/>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5"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17-2    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Party B’s safety records shall be used as a reference for Party B’s priority rights such as renewal and extension of lease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Contract takes effect immediately after both parties have signed and sealed the contract.</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3" w:name="page214"/>
    <w:bookmarkEnd w:id="213"/>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24" w:lineRule="exact"/>
        <w:rPr>
          <w:sz w:val="20"/>
          <w:szCs w:val="20"/>
          <w:color w:val="auto"/>
        </w:rPr>
      </w:pPr>
    </w:p>
    <w:p>
      <w:pPr>
        <w:jc w:val="center"/>
        <w:ind w:right="20"/>
        <w:spacing w:after="0" w:line="308" w:lineRule="auto"/>
        <w:rPr>
          <w:sz w:val="20"/>
          <w:szCs w:val="20"/>
          <w:color w:val="auto"/>
        </w:rPr>
      </w:pPr>
      <w:r>
        <w:rPr>
          <w:rFonts w:ascii="Arial" w:cs="Arial" w:eastAsia="Arial" w:hAnsi="Arial"/>
          <w:sz w:val="17"/>
          <w:szCs w:val="17"/>
          <w:color w:val="auto"/>
        </w:rPr>
        <w:t>18-4    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46" w:lineRule="exact"/>
        <w:rPr>
          <w:sz w:val="20"/>
          <w:szCs w:val="20"/>
          <w:color w:val="auto"/>
        </w:rPr>
      </w:pP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The Contract has four copies with the Annex, and Party A, Party B, the business department, the tax department each hold a copy. All of them have the same effect.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All fees and taxes related to the registration of the Contract (including but not limited to stamp duty) should be borne by both parties in accordance with the regulations of the People’s Republic of China and Shanghai.</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Plan of the House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color w:val="auto"/>
        </w:rPr>
        <w:t>Annex II</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341" w:right="41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65"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7" w:name="page218"/>
    <w:bookmarkEnd w:id="217"/>
    <w:p>
      <w:pPr>
        <w:ind w:left="660" w:hanging="328"/>
        <w:spacing w:after="0"/>
        <w:tabs>
          <w:tab w:leader="none" w:pos="6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 9884201280129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SPD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1129030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contract for loans of working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Borrower: ChinaLink Professional Services Co., Ltd.</w:t>
      </w:r>
    </w:p>
    <w:p>
      <w:pPr>
        <w:spacing w:after="0" w:line="23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Principal business address</w:t>
      </w:r>
      <w:r>
        <w:rPr>
          <w:rFonts w:ascii="SimSun" w:cs="SimSun" w:eastAsia="SimSun" w:hAnsi="SimSun"/>
          <w:sz w:val="18"/>
          <w:szCs w:val="18"/>
          <w:color w:val="auto"/>
        </w:rPr>
        <w:t>：</w:t>
      </w:r>
      <w:r>
        <w:rPr>
          <w:rFonts w:ascii="Arial" w:cs="Arial" w:eastAsia="Arial" w:hAnsi="Arial"/>
          <w:sz w:val="18"/>
          <w:szCs w:val="18"/>
          <w:color w:val="auto"/>
        </w:rPr>
        <w:t>2nd floor, building 18, No. 498, GuoShouJing Road, Pudong New Area, Shanghai</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contact</w:t>
      </w:r>
      <w:r>
        <w:rPr>
          <w:rFonts w:ascii="SimSun" w:cs="SimSun" w:eastAsia="SimSun" w:hAnsi="SimSun"/>
          <w:sz w:val="18"/>
          <w:szCs w:val="18"/>
          <w:color w:val="auto"/>
        </w:rPr>
        <w:t>：</w:t>
      </w:r>
      <w:r>
        <w:rPr>
          <w:rFonts w:ascii="Arial" w:cs="Arial" w:eastAsia="Arial" w:hAnsi="Arial"/>
          <w:sz w:val="18"/>
          <w:szCs w:val="18"/>
          <w:color w:val="auto"/>
        </w:rPr>
        <w:t>Lisa Wu Tell</w:t>
      </w:r>
      <w:r>
        <w:rPr>
          <w:rFonts w:ascii="SimSun" w:cs="SimSun" w:eastAsia="SimSun" w:hAnsi="SimSun"/>
          <w:sz w:val="18"/>
          <w:szCs w:val="18"/>
          <w:color w:val="auto"/>
        </w:rPr>
        <w:t>：</w:t>
      </w:r>
      <w:r>
        <w:rPr>
          <w:rFonts w:ascii="Arial" w:cs="Arial" w:eastAsia="Arial" w:hAnsi="Arial"/>
          <w:sz w:val="18"/>
          <w:szCs w:val="18"/>
          <w:color w:val="auto"/>
        </w:rPr>
        <w:t>18516502856</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Fax</w:t>
      </w:r>
      <w:r>
        <w:rPr>
          <w:rFonts w:ascii="SimSun" w:cs="SimSun" w:eastAsia="SimSun" w:hAnsi="SimSun"/>
          <w:sz w:val="18"/>
          <w:szCs w:val="18"/>
          <w:color w:val="auto"/>
        </w:rPr>
        <w:t>：</w:t>
      </w:r>
      <w:r>
        <w:rPr>
          <w:rFonts w:ascii="Arial" w:cs="Arial" w:eastAsia="Arial" w:hAnsi="Arial"/>
          <w:sz w:val="18"/>
          <w:szCs w:val="18"/>
          <w:color w:val="auto"/>
        </w:rPr>
        <w:t>/ Email</w:t>
      </w:r>
      <w:r>
        <w:rPr>
          <w:rFonts w:ascii="SimSun" w:cs="SimSun" w:eastAsia="SimSun" w:hAnsi="SimSun"/>
          <w:sz w:val="18"/>
          <w:szCs w:val="18"/>
          <w:color w:val="auto"/>
        </w:rPr>
        <w:t>：</w:t>
      </w:r>
      <w:r>
        <w:rPr>
          <w:rFonts w:ascii="Arial" w:cs="Arial" w:eastAsia="Arial" w:hAnsi="Arial"/>
          <w:sz w:val="18"/>
          <w:szCs w:val="18"/>
          <w:color w:val="auto"/>
        </w:rPr>
        <w:t>lisa.wu@clpsglobal.com</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Lender</w:t>
      </w:r>
      <w:r>
        <w:rPr>
          <w:rFonts w:ascii="SimSun" w:cs="SimSun" w:eastAsia="SimSun" w:hAnsi="SimSun"/>
          <w:sz w:val="18"/>
          <w:szCs w:val="18"/>
          <w:color w:val="auto"/>
        </w:rPr>
        <w:t>：</w:t>
      </w:r>
      <w:r>
        <w:rPr>
          <w:rFonts w:ascii="Arial" w:cs="Arial" w:eastAsia="Arial" w:hAnsi="Arial"/>
          <w:sz w:val="18"/>
          <w:szCs w:val="18"/>
          <w:color w:val="auto"/>
        </w:rPr>
        <w:t>Shanghai Pudong Development Bank Co., LTD. Jinqiao Branch</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Principal business address</w:t>
      </w:r>
      <w:r>
        <w:rPr>
          <w:rFonts w:ascii="SimSun" w:cs="SimSun" w:eastAsia="SimSun" w:hAnsi="SimSun"/>
          <w:sz w:val="18"/>
          <w:szCs w:val="18"/>
          <w:color w:val="auto"/>
        </w:rPr>
        <w:t>：</w:t>
      </w:r>
      <w:r>
        <w:rPr>
          <w:rFonts w:ascii="Arial" w:cs="Arial" w:eastAsia="Arial" w:hAnsi="Arial"/>
          <w:sz w:val="18"/>
          <w:szCs w:val="18"/>
          <w:color w:val="auto"/>
        </w:rPr>
        <w:t>No.509 Jinqiao Road, Pudong New Area, Shanghai</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contact</w:t>
      </w:r>
      <w:r>
        <w:rPr>
          <w:rFonts w:ascii="SimSun" w:cs="SimSun" w:eastAsia="SimSun" w:hAnsi="SimSun"/>
          <w:sz w:val="18"/>
          <w:szCs w:val="18"/>
          <w:color w:val="auto"/>
        </w:rPr>
        <w:t>：</w:t>
      </w:r>
      <w:r>
        <w:rPr>
          <w:rFonts w:ascii="Arial" w:cs="Arial" w:eastAsia="Arial" w:hAnsi="Arial"/>
          <w:sz w:val="18"/>
          <w:szCs w:val="18"/>
          <w:color w:val="auto"/>
        </w:rPr>
        <w:t>Lin Xie Tell</w:t>
      </w:r>
      <w:r>
        <w:rPr>
          <w:rFonts w:ascii="SimSun" w:cs="SimSun" w:eastAsia="SimSun" w:hAnsi="SimSun"/>
          <w:sz w:val="18"/>
          <w:szCs w:val="18"/>
          <w:color w:val="auto"/>
        </w:rPr>
        <w:t>：</w:t>
      </w:r>
      <w:r>
        <w:rPr>
          <w:rFonts w:ascii="Arial" w:cs="Arial" w:eastAsia="Arial" w:hAnsi="Arial"/>
          <w:sz w:val="18"/>
          <w:szCs w:val="18"/>
          <w:color w:val="auto"/>
        </w:rPr>
        <w:t>021-58994702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same time, the borrower and the lender confirm the following principal terms (please select in the box below according to the situation, tick X if not selected);</w:t>
      </w:r>
    </w:p>
    <w:p>
      <w:pPr>
        <w:spacing w:after="0" w:line="170" w:lineRule="exact"/>
        <w:rPr>
          <w:sz w:val="20"/>
          <w:szCs w:val="20"/>
          <w:color w:val="auto"/>
        </w:rPr>
      </w:pPr>
    </w:p>
    <w:p>
      <w:pPr>
        <w:jc w:val="both"/>
        <w:ind w:firstLine="656"/>
        <w:spacing w:after="0" w:line="311" w:lineRule="auto"/>
        <w:tabs>
          <w:tab w:leader="none" w:pos="855" w:val="left"/>
        </w:tabs>
        <w:numPr>
          <w:ilvl w:val="0"/>
          <w:numId w:val="148"/>
        </w:numPr>
        <w:rPr>
          <w:rFonts w:ascii="MS PGothic" w:cs="MS PGothic" w:eastAsia="MS PGothic" w:hAnsi="MS PGothic"/>
          <w:sz w:val="16"/>
          <w:szCs w:val="16"/>
          <w:color w:val="auto"/>
        </w:rPr>
      </w:pPr>
      <w:r>
        <w:rPr>
          <w:rFonts w:ascii="Arial" w:cs="Arial" w:eastAsia="Arial" w:hAnsi="Arial"/>
          <w:sz w:val="16"/>
          <w:szCs w:val="16"/>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ind w:right="20" w:firstLine="648"/>
        <w:spacing w:after="0" w:line="227" w:lineRule="auto"/>
        <w:rPr>
          <w:sz w:val="20"/>
          <w:szCs w:val="20"/>
          <w:color w:val="auto"/>
        </w:rPr>
      </w:pPr>
      <w:r>
        <w:rPr>
          <w:rFonts w:ascii="Arial" w:cs="Arial" w:eastAsia="Arial" w:hAnsi="Arial"/>
          <w:sz w:val="22"/>
          <w:szCs w:val="22"/>
          <w:color w:val="auto"/>
        </w:rPr>
        <w:t xml:space="preserve">R </w:t>
      </w:r>
      <w:r>
        <w:rPr>
          <w:rFonts w:ascii="Arial" w:cs="Arial" w:eastAsia="Arial" w:hAnsi="Arial"/>
          <w:sz w:val="17"/>
          <w:szCs w:val="17"/>
          <w:color w:val="auto"/>
        </w:rPr>
        <w:t>This contract is an independent credit document signed between the borrower and the lender (this item should be selected if the borrower and</w:t>
      </w:r>
      <w:r>
        <w:rPr>
          <w:rFonts w:ascii="Arial" w:cs="Arial" w:eastAsia="Arial" w:hAnsi="Arial"/>
          <w:sz w:val="22"/>
          <w:szCs w:val="22"/>
          <w:color w:val="auto"/>
        </w:rPr>
        <w:t xml:space="preserve"> </w:t>
      </w:r>
      <w:r>
        <w:rPr>
          <w:rFonts w:ascii="Arial" w:cs="Arial" w:eastAsia="Arial" w:hAnsi="Arial"/>
          <w:sz w:val="17"/>
          <w:szCs w:val="17"/>
          <w:color w:val="auto"/>
        </w:rPr>
        <w:t>the lender have not signed the financing line agreement);</w:t>
      </w:r>
    </w:p>
    <w:p>
      <w:pPr>
        <w:spacing w:after="0" w:line="204" w:lineRule="exact"/>
        <w:rPr>
          <w:sz w:val="20"/>
          <w:szCs w:val="20"/>
          <w:color w:val="auto"/>
        </w:rPr>
      </w:pPr>
    </w:p>
    <w:p>
      <w:pPr>
        <w:ind w:left="860" w:hanging="204"/>
        <w:spacing w:after="0"/>
        <w:tabs>
          <w:tab w:leader="none" w:pos="860" w:val="left"/>
        </w:tabs>
        <w:numPr>
          <w:ilvl w:val="0"/>
          <w:numId w:val="149"/>
        </w:numPr>
        <w:rPr>
          <w:rFonts w:ascii="MS PGothic" w:cs="MS PGothic" w:eastAsia="MS PGothic" w:hAnsi="MS PGothic"/>
          <w:sz w:val="16"/>
          <w:szCs w:val="16"/>
          <w:color w:val="auto"/>
        </w:rPr>
      </w:pPr>
      <w:r>
        <w:rPr>
          <w:rFonts w:ascii="Arial" w:cs="Arial" w:eastAsia="Arial" w:hAnsi="Arial"/>
          <w:sz w:val="16"/>
          <w:szCs w:val="16"/>
          <w:color w:val="auto"/>
        </w:rPr>
        <w:t>The guarantor has been informed that the purpose of the loan under this contract is to repay the loan under the original contract name: ___Date</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of signing:___ No: ___.(Select this item if the purpose of borrowing is to repay the old or renew the loan)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 One Commercial terms</w:t>
      </w:r>
    </w:p>
    <w:p>
      <w:pPr>
        <w:spacing w:after="0" w:line="196" w:lineRule="exact"/>
        <w:rPr>
          <w:sz w:val="20"/>
          <w:szCs w:val="20"/>
          <w:color w:val="auto"/>
        </w:rPr>
      </w:pPr>
    </w:p>
    <w:p>
      <w:pPr>
        <w:ind w:left="340" w:hanging="332"/>
        <w:spacing w:after="0" w:line="207" w:lineRule="exact"/>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Types of Loans: R Short-term working capital loans; </w:t>
      </w:r>
      <w:r>
        <w:rPr>
          <w:rFonts w:ascii="MS PGothic" w:cs="MS PGothic" w:eastAsia="MS PGothic" w:hAnsi="MS PGothic"/>
          <w:sz w:val="18"/>
          <w:szCs w:val="18"/>
          <w:color w:val="auto"/>
        </w:rPr>
        <w:t>☐</w:t>
      </w:r>
      <w:r>
        <w:rPr>
          <w:rFonts w:ascii="Arial" w:cs="Arial" w:eastAsia="Arial" w:hAnsi="Arial"/>
          <w:sz w:val="18"/>
          <w:szCs w:val="18"/>
          <w:color w:val="auto"/>
        </w:rPr>
        <w:t xml:space="preserve"> mid-term liquidity loan,</w:t>
      </w:r>
    </w:p>
    <w:p>
      <w:pPr>
        <w:spacing w:after="0" w:line="257"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loan amount under this contract is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10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specific use of loan under this contract as follows: </w:t>
      </w:r>
      <w:r>
        <w:rPr>
          <w:rFonts w:ascii="Arial" w:cs="Arial" w:eastAsia="Arial" w:hAnsi="Arial"/>
          <w:sz w:val="18"/>
          <w:szCs w:val="18"/>
          <w:u w:val="single" w:color="auto"/>
          <w:color w:val="auto"/>
        </w:rPr>
        <w:t>payroll</w:t>
      </w:r>
    </w:p>
    <w:p>
      <w:pPr>
        <w:spacing w:after="0" w:line="225" w:lineRule="exact"/>
        <w:rPr>
          <w:rFonts w:ascii="Arial" w:cs="Arial" w:eastAsia="Arial" w:hAnsi="Arial"/>
          <w:sz w:val="18"/>
          <w:szCs w:val="18"/>
          <w:color w:val="auto"/>
        </w:rPr>
      </w:pPr>
    </w:p>
    <w:p>
      <w:pPr>
        <w:ind w:left="660" w:right="3820" w:hanging="652"/>
        <w:spacing w:after="0" w:line="489" w:lineRule="auto"/>
        <w:tabs>
          <w:tab w:leader="none" w:pos="3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time limit for the loan under this contract (in the following box, please, don’t choose to play x) R since _______to __________.</w:t>
      </w:r>
    </w:p>
    <w:p>
      <w:pPr>
        <w:spacing w:after="0" w:line="1" w:lineRule="exact"/>
        <w:rPr>
          <w:rFonts w:ascii="Arial" w:cs="Arial" w:eastAsia="Arial" w:hAnsi="Arial"/>
          <w:sz w:val="18"/>
          <w:szCs w:val="18"/>
          <w:color w:val="auto"/>
        </w:rPr>
      </w:pPr>
    </w:p>
    <w:p>
      <w:pPr>
        <w:ind w:left="660"/>
        <w:spacing w:after="0" w:line="219"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From the date of first withdrawal </w:t>
      </w:r>
      <w:r>
        <w:rPr>
          <w:rFonts w:ascii="Arial" w:cs="Arial" w:eastAsia="Arial" w:hAnsi="Arial"/>
          <w:sz w:val="18"/>
          <w:szCs w:val="18"/>
          <w:u w:val="single" w:color="auto"/>
          <w:color w:val="auto"/>
        </w:rPr>
        <w:t>__/_</w:t>
      </w:r>
      <w:r>
        <w:rPr>
          <w:rFonts w:ascii="Arial" w:cs="Arial" w:eastAsia="Arial" w:hAnsi="Arial"/>
          <w:sz w:val="18"/>
          <w:szCs w:val="18"/>
          <w:color w:val="auto"/>
        </w:rPr>
        <w:t xml:space="preserve"> year </w:t>
      </w:r>
      <w:r>
        <w:rPr>
          <w:rFonts w:ascii="SimSun" w:cs="SimSun" w:eastAsia="SimSun" w:hAnsi="SimSun"/>
          <w:sz w:val="18"/>
          <w:szCs w:val="18"/>
          <w:color w:val="auto"/>
        </w:rPr>
        <w:t>（</w:t>
      </w:r>
      <w:r>
        <w:rPr>
          <w:rFonts w:ascii="Arial" w:cs="Arial" w:eastAsia="Arial" w:hAnsi="Arial"/>
          <w:sz w:val="18"/>
          <w:szCs w:val="18"/>
          <w:color w:val="auto"/>
        </w:rPr>
        <w:t xml:space="preserve">or </w:t>
      </w:r>
      <w:r>
        <w:rPr>
          <w:rFonts w:ascii="Arial" w:cs="Arial" w:eastAsia="Arial" w:hAnsi="Arial"/>
          <w:sz w:val="18"/>
          <w:szCs w:val="18"/>
          <w:u w:val="single" w:color="auto"/>
          <w:color w:val="auto"/>
        </w:rPr>
        <w:t>_/_</w:t>
      </w:r>
      <w:r>
        <w:rPr>
          <w:rFonts w:ascii="Arial" w:cs="Arial" w:eastAsia="Arial" w:hAnsi="Arial"/>
          <w:sz w:val="18"/>
          <w:szCs w:val="18"/>
          <w:color w:val="auto"/>
        </w:rPr>
        <w:t xml:space="preserve"> months</w:t>
      </w:r>
      <w:r>
        <w:rPr>
          <w:rFonts w:ascii="SimSun" w:cs="SimSun" w:eastAsia="SimSun" w:hAnsi="SimSun"/>
          <w:sz w:val="18"/>
          <w:szCs w:val="18"/>
          <w:color w:val="auto"/>
        </w:rPr>
        <w:t>）</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84" w:lineRule="exact"/>
        <w:rPr>
          <w:sz w:val="20"/>
          <w:szCs w:val="20"/>
          <w:color w:val="auto"/>
        </w:rPr>
      </w:pPr>
    </w:p>
    <w:p>
      <w:pPr>
        <w:ind w:left="660"/>
        <w:spacing w:after="0" w:line="219" w:lineRule="exact"/>
        <w:rPr>
          <w:sz w:val="20"/>
          <w:szCs w:val="20"/>
          <w:color w:val="auto"/>
        </w:rPr>
      </w:pPr>
      <w:r>
        <w:rPr>
          <w:rFonts w:ascii="Arial" w:cs="Arial" w:eastAsia="Arial" w:hAnsi="Arial"/>
          <w:sz w:val="18"/>
          <w:szCs w:val="18"/>
          <w:color w:val="auto"/>
        </w:rPr>
        <w:t>5</w:t>
      </w:r>
      <w:r>
        <w:rPr>
          <w:rFonts w:ascii="SimSun" w:cs="SimSun" w:eastAsia="SimSun" w:hAnsi="SimSun"/>
          <w:sz w:val="18"/>
          <w:szCs w:val="18"/>
          <w:color w:val="auto"/>
        </w:rPr>
        <w:t>．</w:t>
      </w:r>
      <w:r>
        <w:rPr>
          <w:rFonts w:ascii="Arial" w:cs="Arial" w:eastAsia="Arial" w:hAnsi="Arial"/>
          <w:sz w:val="18"/>
          <w:szCs w:val="18"/>
          <w:color w:val="auto"/>
        </w:rPr>
        <w:t>The interest rate of the loan under this Contract is (please tick V in the box below and x if not)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R </w:t>
      </w:r>
      <w:r>
        <w:rPr>
          <w:rFonts w:ascii="Arial" w:cs="Arial" w:eastAsia="Arial" w:hAnsi="Arial"/>
          <w:sz w:val="17"/>
          <w:szCs w:val="17"/>
          <w:color w:val="auto"/>
        </w:rPr>
        <w:t>(1) the RMB loans Interest Rate :</w:t>
      </w:r>
    </w:p>
    <w:p>
      <w:pPr>
        <w:spacing w:after="0" w:line="21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Each loan under this Contract shall be issued according to the loan market quoted APR (term) -1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21" w:name="page222"/>
    <w:bookmarkEnd w:id="221"/>
    <w:p>
      <w:pPr>
        <w:ind w:firstLine="648"/>
        <w:spacing w:after="0" w:line="277" w:lineRule="auto"/>
        <w:rPr>
          <w:sz w:val="20"/>
          <w:szCs w:val="20"/>
          <w:color w:val="auto"/>
        </w:rPr>
      </w:pPr>
      <w:r>
        <w:rPr>
          <w:rFonts w:ascii="Arial" w:cs="Arial" w:eastAsia="Arial" w:hAnsi="Arial"/>
          <w:sz w:val="18"/>
          <w:szCs w:val="18"/>
          <w:color w:val="auto"/>
        </w:rPr>
        <w:t>After each loan is issued, if the quoted interest rate of the loan market is adjusted during the loan term, the loan interest rate (please put a in the box below and x in case of non-I):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 Fixed interest rate without adjustment;</w:t>
      </w:r>
    </w:p>
    <w:p>
      <w:pPr>
        <w:spacing w:after="0" w:line="225" w:lineRule="exact"/>
        <w:rPr>
          <w:sz w:val="20"/>
          <w:szCs w:val="20"/>
          <w:color w:val="auto"/>
        </w:rPr>
      </w:pPr>
    </w:p>
    <w:p>
      <w:pPr>
        <w:jc w:val="both"/>
        <w:ind w:firstLine="656"/>
        <w:spacing w:after="0" w:line="263" w:lineRule="auto"/>
        <w:tabs>
          <w:tab w:leader="none" w:pos="855"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v is selected in the following box, does not escape the x) :</w:t>
      </w:r>
    </w:p>
    <w:p>
      <w:pPr>
        <w:spacing w:after="0" w:line="183" w:lineRule="exact"/>
        <w:rPr>
          <w:rFonts w:ascii="MS PGothic" w:cs="MS PGothic" w:eastAsia="MS PGothic" w:hAnsi="MS PGothic"/>
          <w:sz w:val="18"/>
          <w:szCs w:val="18"/>
          <w:color w:val="auto"/>
        </w:rPr>
      </w:pPr>
    </w:p>
    <w:p>
      <w:pPr>
        <w:jc w:val="both"/>
        <w:ind w:firstLine="656"/>
        <w:spacing w:after="0" w:line="279" w:lineRule="auto"/>
        <w:tabs>
          <w:tab w:leader="none" w:pos="832" w:val="left"/>
        </w:tabs>
        <w:numPr>
          <w:ilvl w:val="0"/>
          <w:numId w:val="151"/>
        </w:numPr>
        <w:rPr>
          <w:rFonts w:ascii="MS PGothic" w:cs="MS PGothic" w:eastAsia="MS PGothic" w:hAnsi="MS PGothic"/>
          <w:sz w:val="17"/>
          <w:szCs w:val="17"/>
          <w:color w:val="auto"/>
        </w:rPr>
      </w:pPr>
      <w:r>
        <w:rPr>
          <w:rFonts w:ascii="Arial" w:cs="Arial" w:eastAsia="Arial" w:hAnsi="Arial"/>
          <w:sz w:val="17"/>
          <w:szCs w:val="17"/>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84" w:lineRule="exact"/>
        <w:rPr>
          <w:rFonts w:ascii="MS PGothic" w:cs="MS PGothic" w:eastAsia="MS PGothic" w:hAnsi="MS PGothic"/>
          <w:sz w:val="17"/>
          <w:szCs w:val="17"/>
          <w:color w:val="auto"/>
        </w:rPr>
      </w:pPr>
    </w:p>
    <w:p>
      <w:pPr>
        <w:ind w:left="860" w:hanging="204"/>
        <w:spacing w:after="0" w:line="219" w:lineRule="exact"/>
        <w:tabs>
          <w:tab w:leader="none" w:pos="86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Adjust the interest rate according to year, the interest rate adjustment date is January 1 of each year</w:t>
      </w:r>
      <w:r>
        <w:rPr>
          <w:rFonts w:ascii="SimSun" w:cs="SimSun" w:eastAsia="SimSun" w:hAnsi="SimSun"/>
          <w:sz w:val="18"/>
          <w:szCs w:val="18"/>
          <w:color w:val="auto"/>
        </w:rPr>
        <w:t>；</w:t>
      </w:r>
    </w:p>
    <w:p>
      <w:pPr>
        <w:spacing w:after="0" w:line="227" w:lineRule="exact"/>
        <w:rPr>
          <w:rFonts w:ascii="MS PGothic" w:cs="MS PGothic" w:eastAsia="MS PGothic" w:hAnsi="MS PGothic"/>
          <w:sz w:val="18"/>
          <w:szCs w:val="18"/>
          <w:color w:val="auto"/>
        </w:rPr>
      </w:pPr>
    </w:p>
    <w:p>
      <w:pPr>
        <w:ind w:left="880" w:hanging="224"/>
        <w:spacing w:after="0"/>
        <w:tabs>
          <w:tab w:leader="none" w:pos="880" w:val="left"/>
        </w:tabs>
        <w:numPr>
          <w:ilvl w:val="0"/>
          <w:numId w:val="151"/>
        </w:numPr>
        <w:rPr>
          <w:rFonts w:ascii="MS PGothic" w:cs="MS PGothic" w:eastAsia="MS PGothic" w:hAnsi="MS PGothic"/>
          <w:sz w:val="16"/>
          <w:szCs w:val="16"/>
          <w:color w:val="auto"/>
        </w:rPr>
      </w:pPr>
      <w:r>
        <w:rPr>
          <w:rFonts w:ascii="Arial" w:cs="Arial" w:eastAsia="Arial" w:hAnsi="Arial"/>
          <w:sz w:val="16"/>
          <w:szCs w:val="16"/>
          <w:color w:val="auto"/>
        </w:rPr>
        <w:t>Adjust the interest rate according to the interest settlement date, and the interest rate adjustment day is the next day of the interest settlement</w:t>
      </w:r>
    </w:p>
    <w:p>
      <w:pPr>
        <w:spacing w:after="0" w:line="61" w:lineRule="exact"/>
        <w:rPr>
          <w:rFonts w:ascii="MS PGothic" w:cs="MS PGothic" w:eastAsia="MS PGothic" w:hAnsi="MS PGothic"/>
          <w:sz w:val="16"/>
          <w:szCs w:val="16"/>
          <w:color w:val="auto"/>
        </w:rPr>
      </w:pPr>
    </w:p>
    <w:p>
      <w:pPr>
        <w:spacing w:after="0" w:line="214" w:lineRule="exact"/>
        <w:rPr>
          <w:rFonts w:ascii="MS PGothic" w:cs="MS PGothic" w:eastAsia="MS PGothic" w:hAnsi="MS PGothic"/>
          <w:sz w:val="16"/>
          <w:szCs w:val="16"/>
          <w:color w:val="auto"/>
        </w:rPr>
      </w:pPr>
      <w:r>
        <w:rPr>
          <w:rFonts w:ascii="Arial" w:cs="Arial" w:eastAsia="Arial" w:hAnsi="Arial"/>
          <w:sz w:val="18"/>
          <w:szCs w:val="18"/>
          <w:color w:val="auto"/>
        </w:rPr>
        <w:t>date</w:t>
      </w:r>
      <w:r>
        <w:rPr>
          <w:rFonts w:ascii="SimSun" w:cs="SimSun" w:eastAsia="SimSun" w:hAnsi="SimSun"/>
          <w:sz w:val="18"/>
          <w:szCs w:val="18"/>
          <w:color w:val="auto"/>
        </w:rPr>
        <w:t>；</w:t>
      </w:r>
    </w:p>
    <w:p>
      <w:pPr>
        <w:spacing w:after="0" w:line="229" w:lineRule="exact"/>
        <w:rPr>
          <w:rFonts w:ascii="MS PGothic" w:cs="MS PGothic" w:eastAsia="MS PGothic" w:hAnsi="MS PGothic"/>
          <w:sz w:val="16"/>
          <w:szCs w:val="16"/>
          <w:color w:val="auto"/>
        </w:rPr>
      </w:pPr>
    </w:p>
    <w:p>
      <w:pPr>
        <w:ind w:left="860" w:hanging="204"/>
        <w:spacing w:after="0" w:line="219" w:lineRule="exact"/>
        <w:tabs>
          <w:tab w:leader="none" w:pos="86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Quarterly adjustment of interest rate, interest rate adjustment day for the end of each quarter on a monthly basis,</w:t>
      </w:r>
      <w:r>
        <w:rPr>
          <w:rFonts w:ascii="SimSun" w:cs="SimSun" w:eastAsia="SimSun" w:hAnsi="SimSun"/>
          <w:sz w:val="18"/>
          <w:szCs w:val="18"/>
          <w:color w:val="auto"/>
        </w:rPr>
        <w:t>；</w:t>
      </w:r>
    </w:p>
    <w:p>
      <w:pPr>
        <w:spacing w:after="0" w:line="227" w:lineRule="exact"/>
        <w:rPr>
          <w:rFonts w:ascii="MS PGothic" w:cs="MS PGothic" w:eastAsia="MS PGothic" w:hAnsi="MS PGothic"/>
          <w:sz w:val="18"/>
          <w:szCs w:val="18"/>
          <w:color w:val="auto"/>
        </w:rPr>
      </w:pPr>
    </w:p>
    <w:p>
      <w:pPr>
        <w:ind w:left="860" w:hanging="204"/>
        <w:spacing w:after="0"/>
        <w:tabs>
          <w:tab w:leader="none" w:pos="86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interest rate adjustment day for a monthly/daily</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other agreement (specific interest rate adjustment day),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860" w:hanging="204"/>
        <w:spacing w:after="0"/>
        <w:tabs>
          <w:tab w:leader="none" w:pos="860" w:val="left"/>
        </w:tabs>
        <w:numPr>
          <w:ilvl w:val="0"/>
          <w:numId w:val="152"/>
        </w:numPr>
        <w:rPr>
          <w:rFonts w:ascii="MS PGothic" w:cs="MS PGothic" w:eastAsia="MS PGothic" w:hAnsi="MS PGothic"/>
          <w:sz w:val="18"/>
          <w:szCs w:val="18"/>
          <w:color w:val="auto"/>
        </w:rPr>
      </w:pPr>
      <w:r>
        <w:rPr>
          <w:rFonts w:ascii="Arial" w:cs="Arial" w:eastAsia="Arial" w:hAnsi="Arial"/>
          <w:sz w:val="18"/>
          <w:szCs w:val="18"/>
          <w:color w:val="auto"/>
        </w:rPr>
        <w:t>(2) interest rate of foreign currency loan;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each loan under this Contract will be issued __at the rate of ___(LIBORAHIBORSIBOR) published by the Lender on the date of disbursement plus/BPS.</w:t>
      </w:r>
    </w:p>
    <w:p>
      <w:pPr>
        <w:spacing w:after="0" w:line="170" w:lineRule="exact"/>
        <w:rPr>
          <w:sz w:val="20"/>
          <w:szCs w:val="20"/>
          <w:color w:val="auto"/>
        </w:rPr>
      </w:pPr>
    </w:p>
    <w:p>
      <w:pPr>
        <w:ind w:left="860" w:hanging="204"/>
        <w:spacing w:after="0"/>
        <w:tabs>
          <w:tab w:leader="none" w:pos="860" w:val="left"/>
        </w:tabs>
        <w:numPr>
          <w:ilvl w:val="1"/>
          <w:numId w:val="153"/>
        </w:numPr>
        <w:rPr>
          <w:rFonts w:ascii="MS PGothic" w:cs="MS PGothic" w:eastAsia="MS PGothic" w:hAnsi="MS PGothic"/>
          <w:sz w:val="18"/>
          <w:szCs w:val="18"/>
          <w:color w:val="auto"/>
        </w:rPr>
      </w:pPr>
      <w:r>
        <w:rPr>
          <w:rFonts w:ascii="Arial" w:cs="Arial" w:eastAsia="Arial" w:hAnsi="Arial"/>
          <w:sz w:val="18"/>
          <w:szCs w:val="18"/>
          <w:color w:val="auto"/>
        </w:rPr>
        <w:t>After each loan under this joint venture is issued, the loan interest rate shall be adjusted by __.</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1"/>
          <w:numId w:val="153"/>
        </w:numPr>
        <w:rPr>
          <w:rFonts w:ascii="MS PGothic" w:cs="MS PGothic" w:eastAsia="MS PGothic" w:hAnsi="MS PGothic"/>
          <w:sz w:val="18"/>
          <w:szCs w:val="18"/>
          <w:color w:val="auto"/>
        </w:rPr>
      </w:pPr>
      <w:r>
        <w:rPr>
          <w:rFonts w:ascii="Arial" w:cs="Arial" w:eastAsia="Arial" w:hAnsi="Arial"/>
          <w:sz w:val="18"/>
          <w:szCs w:val="18"/>
          <w:color w:val="auto"/>
        </w:rPr>
        <w:t>Fixed rate, that is, the interest rate is not adjusted.</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method of loan settlement under this Contract is (please check the box below/tick X if not selected):</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1"/>
          <w:numId w:val="153"/>
        </w:numPr>
        <w:rPr>
          <w:rFonts w:ascii="MS PGothic" w:cs="MS PGothic" w:eastAsia="MS PGothic" w:hAnsi="MS PGothic"/>
          <w:sz w:val="18"/>
          <w:szCs w:val="18"/>
          <w:color w:val="auto"/>
        </w:rPr>
      </w:pPr>
      <w:r>
        <w:rPr>
          <w:rFonts w:ascii="Arial" w:cs="Arial" w:eastAsia="Arial" w:hAnsi="Arial"/>
          <w:sz w:val="18"/>
          <w:szCs w:val="18"/>
          <w:color w:val="auto"/>
        </w:rPr>
        <w:t>On a monthly basis, the settlement date is the second +(20) day of each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 Quarterly, then the settlement date is the twentieth (20th) day of the last month of each quarter:</w:t>
      </w:r>
    </w:p>
    <w:p>
      <w:pPr>
        <w:spacing w:after="0" w:line="225" w:lineRule="exact"/>
        <w:rPr>
          <w:sz w:val="20"/>
          <w:szCs w:val="20"/>
          <w:color w:val="auto"/>
        </w:rPr>
      </w:pPr>
    </w:p>
    <w:p>
      <w:pPr>
        <w:ind w:left="840" w:hanging="184"/>
        <w:spacing w:after="0"/>
        <w:tabs>
          <w:tab w:leader="none" w:pos="84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Other methods: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Penalty interest rate under the Contract 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This overdue penalty interest rate shall be applied at the loan execution rate applicable on the date of penalty interest collection plus </w:t>
      </w:r>
      <w:r>
        <w:rPr>
          <w:rFonts w:ascii="Arial" w:cs="Arial" w:eastAsia="Arial" w:hAnsi="Arial"/>
          <w:sz w:val="16"/>
          <w:szCs w:val="16"/>
          <w:u w:val="single" w:color="auto"/>
          <w:color w:val="auto"/>
        </w:rPr>
        <w:t>30</w:t>
      </w:r>
      <w:r>
        <w:rPr>
          <w:rFonts w:ascii="Arial" w:cs="Arial" w:eastAsia="Arial" w:hAnsi="Arial"/>
          <w:sz w:val="16"/>
          <w:szCs w:val="16"/>
          <w:color w:val="auto"/>
        </w:rPr>
        <w:t xml:space="preserve"> %.</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If the loan is not used in accordance with the purpose agreed herein, the penalty interest rate will be calculated and the loan execution interest rate applied on the penalty interest date shall be charged plus </w:t>
      </w:r>
      <w:r>
        <w:rPr>
          <w:rFonts w:ascii="Arial" w:cs="Arial" w:eastAsia="Arial" w:hAnsi="Arial"/>
          <w:sz w:val="18"/>
          <w:szCs w:val="18"/>
          <w:u w:val="single" w:color="auto"/>
          <w:color w:val="auto"/>
        </w:rPr>
        <w:t>50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The drawdown period of the loan under the Contract is from </w:t>
      </w:r>
      <w:r>
        <w:rPr>
          <w:rFonts w:ascii="Arial" w:cs="Arial" w:eastAsia="Arial" w:hAnsi="Arial"/>
          <w:sz w:val="17"/>
          <w:szCs w:val="17"/>
          <w:u w:val="single" w:color="auto"/>
          <w:color w:val="auto"/>
        </w:rPr>
        <w:t>Jun 7, 2021</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Jun 30, 2021</w:t>
      </w:r>
      <w:r>
        <w:rPr>
          <w:rFonts w:ascii="Arial" w:cs="Arial" w:eastAsia="Arial" w:hAnsi="Arial"/>
          <w:sz w:val="17"/>
          <w:szCs w:val="17"/>
          <w:color w:val="auto"/>
        </w:rPr>
        <w:t xml:space="preserve">. The first withdrawal shall be made before </w:t>
      </w:r>
      <w:r>
        <w:rPr>
          <w:rFonts w:ascii="Arial" w:cs="Arial" w:eastAsia="Arial" w:hAnsi="Arial"/>
          <w:sz w:val="17"/>
          <w:szCs w:val="17"/>
          <w:u w:val="single" w:color="auto"/>
          <w:color w:val="auto"/>
        </w:rPr>
        <w:t>Jun 30, 2021</w:t>
      </w:r>
    </w:p>
    <w:p>
      <w:pPr>
        <w:spacing w:after="0" w:line="236" w:lineRule="exact"/>
        <w:rPr>
          <w:rFonts w:ascii="Arial" w:cs="Arial" w:eastAsia="Arial" w:hAnsi="Arial"/>
          <w:sz w:val="17"/>
          <w:szCs w:val="17"/>
          <w:color w:val="auto"/>
        </w:rPr>
      </w:pPr>
    </w:p>
    <w:p>
      <w:pPr>
        <w:ind w:left="180" w:hanging="172"/>
        <w:spacing w:after="0"/>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withdrawal plan for the loan under this Contract is as follows (please select√ in the box below, tick X if you do not select)</w:t>
      </w:r>
    </w:p>
    <w:p>
      <w:pPr>
        <w:spacing w:after="0" w:line="23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withdrawal plan is shown in the table below</w:t>
      </w:r>
      <w:r>
        <w:rPr>
          <w:rFonts w:ascii="SimSun" w:cs="SimSun" w:eastAsia="SimSun" w:hAnsi="SimSun"/>
          <w:sz w:val="18"/>
          <w:szCs w:val="18"/>
          <w:color w:val="auto"/>
        </w:rPr>
        <w:t>：</w:t>
      </w:r>
    </w:p>
    <w:p>
      <w:pPr>
        <w:spacing w:after="0" w:line="227" w:lineRule="exact"/>
        <w:rPr>
          <w:sz w:val="20"/>
          <w:szCs w:val="20"/>
          <w:color w:val="auto"/>
        </w:rPr>
      </w:pPr>
    </w:p>
    <w:p>
      <w:pPr>
        <w:ind w:right="3680"/>
        <w:spacing w:after="0" w:line="282" w:lineRule="auto"/>
        <w:rPr>
          <w:sz w:val="20"/>
          <w:szCs w:val="20"/>
          <w:color w:val="auto"/>
        </w:rPr>
      </w:pPr>
      <w:r>
        <w:rPr>
          <w:rFonts w:ascii="Arial" w:cs="Arial" w:eastAsia="Arial" w:hAnsi="Arial"/>
          <w:sz w:val="18"/>
          <w:szCs w:val="18"/>
          <w:color w:val="auto"/>
        </w:rPr>
        <w:t>NO The withdrawal date On withdrawals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0" w:hanging="192"/>
        <w:spacing w:after="0"/>
        <w:tabs>
          <w:tab w:leader="none" w:pos="200" w:val="left"/>
        </w:tabs>
        <w:numPr>
          <w:ilvl w:val="0"/>
          <w:numId w:val="156"/>
        </w:numPr>
        <w:rPr>
          <w:rFonts w:ascii="MS PGothic" w:cs="MS PGothic" w:eastAsia="MS PGothic" w:hAnsi="MS PGothic"/>
          <w:sz w:val="18"/>
          <w:szCs w:val="18"/>
          <w:color w:val="auto"/>
        </w:rPr>
      </w:pPr>
      <w:r>
        <w:rPr>
          <w:rFonts w:ascii="Arial" w:cs="Arial" w:eastAsia="Arial" w:hAnsi="Arial"/>
          <w:sz w:val="18"/>
          <w:szCs w:val="18"/>
          <w:color w:val="auto"/>
        </w:rPr>
        <w:t xml:space="preserve">Other withdrawal plans: </w:t>
      </w:r>
      <w:r>
        <w:rPr>
          <w:rFonts w:ascii="Arial" w:cs="Arial" w:eastAsia="Arial" w:hAnsi="Arial"/>
          <w:sz w:val="18"/>
          <w:szCs w:val="18"/>
          <w:u w:val="single" w:color="auto"/>
          <w:color w:val="auto"/>
        </w:rPr>
        <w:t>/ 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w w:val="91"/>
              </w:rPr>
              <w:t>10. The repayment plan of the loan under this Contract is as follows (Please tick R</w:t>
            </w:r>
          </w:p>
        </w:tc>
        <w:tc>
          <w:tcPr>
            <w:tcW w:w="5260" w:type="dxa"/>
            <w:vAlign w:val="bottom"/>
            <w:gridSpan w:val="3"/>
          </w:tcPr>
          <w:p>
            <w:pPr>
              <w:ind w:left="60"/>
              <w:spacing w:after="0"/>
              <w:rPr>
                <w:sz w:val="20"/>
                <w:szCs w:val="20"/>
                <w:color w:val="auto"/>
              </w:rPr>
            </w:pPr>
            <w:r>
              <w:rPr>
                <w:rFonts w:ascii="Arial" w:cs="Arial" w:eastAsia="Arial" w:hAnsi="Arial"/>
                <w:sz w:val="18"/>
                <w:szCs w:val="18"/>
                <w:color w:val="auto"/>
              </w:rPr>
              <w:t>in the box below, if not, tick x)</w:t>
            </w: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NO</w:t>
            </w:r>
          </w:p>
        </w:tc>
        <w:tc>
          <w:tcPr>
            <w:tcW w:w="4840" w:type="dxa"/>
            <w:vAlign w:val="bottom"/>
            <w:gridSpan w:val="2"/>
          </w:tcPr>
          <w:p>
            <w:pPr>
              <w:ind w:left="240"/>
              <w:spacing w:after="0"/>
              <w:rPr>
                <w:sz w:val="20"/>
                <w:szCs w:val="20"/>
                <w:color w:val="auto"/>
              </w:rPr>
            </w:pPr>
            <w:r>
              <w:rPr>
                <w:rFonts w:ascii="Arial" w:cs="Arial" w:eastAsia="Arial" w:hAnsi="Arial"/>
                <w:sz w:val="18"/>
                <w:szCs w:val="18"/>
                <w:color w:val="auto"/>
              </w:rPr>
              <w:t>Repayment date</w:t>
            </w:r>
          </w:p>
        </w:tc>
        <w:tc>
          <w:tcPr>
            <w:tcW w:w="220" w:type="dxa"/>
            <w:vAlign w:val="bottom"/>
          </w:tcPr>
          <w:p>
            <w:pPr>
              <w:spacing w:after="0"/>
              <w:rPr>
                <w:sz w:val="24"/>
                <w:szCs w:val="24"/>
                <w:color w:val="auto"/>
              </w:rPr>
            </w:pP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Reimbursement amount</w:t>
            </w:r>
          </w:p>
        </w:tc>
      </w:tr>
      <w:tr>
        <w:trPr>
          <w:trHeight w:val="23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4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p>
        </w:tc>
      </w:tr>
    </w:tbl>
    <w:p>
      <w:pPr>
        <w:spacing w:after="0" w:line="187" w:lineRule="exact"/>
        <w:rPr>
          <w:sz w:val="20"/>
          <w:szCs w:val="20"/>
          <w:color w:val="auto"/>
        </w:rPr>
      </w:pPr>
    </w:p>
    <w:p>
      <w:pPr>
        <w:ind w:left="280" w:hanging="272"/>
        <w:spacing w:after="0"/>
        <w:tabs>
          <w:tab w:leader="none" w:pos="2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Liquidated damages for loan repayment in advance; Equivalent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the actual amount of loan repaid in advance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principal amount of loan repayment in advance shall not be less than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currency) </w:t>
      </w:r>
      <w:r>
        <w:rPr>
          <w:rFonts w:ascii="Arial" w:cs="Arial" w:eastAsia="Arial" w:hAnsi="Arial"/>
          <w:sz w:val="18"/>
          <w:szCs w:val="18"/>
          <w:u w:val="single" w:color="auto"/>
          <w:color w:val="auto"/>
        </w:rPr>
        <w:t>0</w:t>
      </w:r>
    </w:p>
    <w:p>
      <w:pPr>
        <w:spacing w:after="0" w:line="225" w:lineRule="exact"/>
        <w:rPr>
          <w:rFonts w:ascii="Arial" w:cs="Arial" w:eastAsia="Arial" w:hAnsi="Arial"/>
          <w:sz w:val="18"/>
          <w:szCs w:val="18"/>
          <w:color w:val="auto"/>
        </w:rPr>
      </w:pPr>
    </w:p>
    <w:p>
      <w:pPr>
        <w:ind w:firstLine="8"/>
        <w:spacing w:after="0" w:line="277" w:lineRule="auto"/>
        <w:tabs>
          <w:tab w:leader="none" w:pos="2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Account opening (select one of the following modes for RMB loans, select the special account mode for foreign currency loans, and mark X for those not selected)</w:t>
      </w:r>
    </w:p>
    <w:p>
      <w:pPr>
        <w:spacing w:after="0" w:line="163"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R </w:t>
      </w:r>
      <w:r>
        <w:rPr>
          <w:rFonts w:ascii="Arial" w:cs="Arial" w:eastAsia="Arial" w:hAnsi="Arial"/>
          <w:sz w:val="17"/>
          <w:szCs w:val="17"/>
          <w:color w:val="auto"/>
        </w:rPr>
        <w:t>Unsegregated account mode</w:t>
      </w:r>
      <w:r>
        <w:rPr>
          <w:rFonts w:ascii="SimSun" w:cs="SimSun" w:eastAsia="SimSun" w:hAnsi="SimSun"/>
          <w:sz w:val="17"/>
          <w:szCs w:val="17"/>
          <w:color w:val="auto"/>
        </w:rPr>
        <w:t>：</w:t>
      </w:r>
    </w:p>
    <w:p>
      <w:pPr>
        <w:spacing w:after="0" w:line="227" w:lineRule="exact"/>
        <w:rPr>
          <w:sz w:val="20"/>
          <w:szCs w:val="20"/>
          <w:color w:val="auto"/>
        </w:rPr>
      </w:pPr>
    </w:p>
    <w:p>
      <w:pPr>
        <w:ind w:left="660" w:right="5240" w:hanging="652"/>
        <w:spacing w:after="0" w:line="379" w:lineRule="exact"/>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general settlement account opened by the borrower with the lender is: Bank</w:t>
      </w:r>
      <w:r>
        <w:rPr>
          <w:rFonts w:ascii="SimSun" w:cs="SimSun" w:eastAsia="SimSun" w:hAnsi="SimSun"/>
          <w:sz w:val="16"/>
          <w:szCs w:val="16"/>
          <w:color w:val="auto"/>
        </w:rPr>
        <w:t>：</w:t>
      </w:r>
      <w:r>
        <w:rPr>
          <w:rFonts w:ascii="Arial" w:cs="Arial" w:eastAsia="Arial" w:hAnsi="Arial"/>
          <w:sz w:val="16"/>
          <w:szCs w:val="16"/>
          <w:u w:val="single" w:color="auto"/>
          <w:color w:val="auto"/>
        </w:rPr>
        <w:t>Shanghai Pudong Development Bank Co., LTD. Jinqiao Branch</w:t>
      </w:r>
      <w:r>
        <w:rPr>
          <w:rFonts w:ascii="Arial" w:cs="Arial" w:eastAsia="Arial" w:hAnsi="Arial"/>
          <w:sz w:val="16"/>
          <w:szCs w:val="16"/>
          <w:color w:val="auto"/>
        </w:rPr>
        <w:t xml:space="preserve"> Bank account name</w:t>
      </w:r>
      <w:r>
        <w:rPr>
          <w:rFonts w:ascii="SimSun" w:cs="SimSun" w:eastAsia="SimSun" w:hAnsi="SimSun"/>
          <w:sz w:val="16"/>
          <w:szCs w:val="16"/>
          <w:color w:val="auto"/>
        </w:rPr>
        <w:t>：</w:t>
      </w:r>
      <w:r>
        <w:rPr>
          <w:rFonts w:ascii="Arial" w:cs="Arial" w:eastAsia="Arial" w:hAnsi="Arial"/>
          <w:sz w:val="16"/>
          <w:szCs w:val="16"/>
          <w:u w:val="single" w:color="auto"/>
          <w:color w:val="auto"/>
        </w:rPr>
        <w:t>ChinaLink Professional Services Co., Ltd.</w:t>
      </w:r>
    </w:p>
    <w:p>
      <w:pPr>
        <w:spacing w:after="0" w:line="21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Bank account number:</w:t>
      </w:r>
      <w:r>
        <w:rPr>
          <w:rFonts w:ascii="Arial" w:cs="Arial" w:eastAsia="Arial" w:hAnsi="Arial"/>
          <w:sz w:val="18"/>
          <w:szCs w:val="18"/>
          <w:u w:val="single" w:color="auto"/>
          <w:color w:val="auto"/>
        </w:rPr>
        <w:t>98840078801600002917</w:t>
      </w:r>
    </w:p>
    <w:p>
      <w:pPr>
        <w:spacing w:after="0" w:line="225" w:lineRule="exact"/>
        <w:rPr>
          <w:rFonts w:ascii="Arial" w:cs="Arial" w:eastAsia="Arial" w:hAnsi="Arial"/>
          <w:sz w:val="16"/>
          <w:szCs w:val="16"/>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borrower’s fund recovery account opened with the lender is:</w:t>
      </w:r>
    </w:p>
    <w:p>
      <w:pPr>
        <w:spacing w:after="0" w:line="238" w:lineRule="exact"/>
        <w:rPr>
          <w:rFonts w:ascii="Arial" w:cs="Arial" w:eastAsia="Arial" w:hAnsi="Arial"/>
          <w:sz w:val="18"/>
          <w:szCs w:val="18"/>
          <w:color w:val="auto"/>
        </w:rPr>
      </w:pPr>
    </w:p>
    <w:p>
      <w:pPr>
        <w:ind w:left="660"/>
        <w:spacing w:after="0" w:line="219" w:lineRule="exact"/>
        <w:rPr>
          <w:rFonts w:ascii="Arial" w:cs="Arial" w:eastAsia="Arial" w:hAnsi="Arial"/>
          <w:sz w:val="18"/>
          <w:szCs w:val="18"/>
          <w:color w:val="auto"/>
        </w:rPr>
      </w:pPr>
      <w:r>
        <w:rPr>
          <w:rFonts w:ascii="Arial" w:cs="Arial" w:eastAsia="Arial" w:hAnsi="Arial"/>
          <w:sz w:val="18"/>
          <w:szCs w:val="18"/>
          <w:color w:val="auto"/>
        </w:rPr>
        <w:t>Bank</w:t>
      </w:r>
      <w:r>
        <w:rPr>
          <w:rFonts w:ascii="SimSun" w:cs="SimSun" w:eastAsia="SimSun" w:hAnsi="SimSun"/>
          <w:sz w:val="18"/>
          <w:szCs w:val="18"/>
          <w:color w:val="auto"/>
        </w:rPr>
        <w:t>：</w:t>
      </w:r>
      <w:r>
        <w:rPr>
          <w:rFonts w:ascii="Arial" w:cs="Arial" w:eastAsia="Arial" w:hAnsi="Arial"/>
          <w:sz w:val="18"/>
          <w:szCs w:val="18"/>
          <w:u w:val="single" w:color="auto"/>
          <w:color w:val="auto"/>
        </w:rPr>
        <w:t>Shanghai Pudong Development Bank Co., LTD. Jinqiao Branch</w:t>
      </w:r>
    </w:p>
    <w:p>
      <w:pPr>
        <w:spacing w:after="0" w:line="240" w:lineRule="exact"/>
        <w:rPr>
          <w:rFonts w:ascii="Arial" w:cs="Arial" w:eastAsia="Arial" w:hAnsi="Arial"/>
          <w:sz w:val="18"/>
          <w:szCs w:val="18"/>
          <w:color w:val="auto"/>
        </w:rPr>
      </w:pPr>
    </w:p>
    <w:p>
      <w:pPr>
        <w:ind w:left="660"/>
        <w:spacing w:after="0" w:line="219" w:lineRule="exact"/>
        <w:rPr>
          <w:rFonts w:ascii="Arial" w:cs="Arial" w:eastAsia="Arial" w:hAnsi="Arial"/>
          <w:sz w:val="18"/>
          <w:szCs w:val="18"/>
          <w:color w:val="auto"/>
        </w:rPr>
      </w:pPr>
      <w:r>
        <w:rPr>
          <w:rFonts w:ascii="Arial" w:cs="Arial" w:eastAsia="Arial" w:hAnsi="Arial"/>
          <w:sz w:val="18"/>
          <w:szCs w:val="18"/>
          <w:color w:val="auto"/>
        </w:rPr>
        <w:t>Bank account name</w:t>
      </w:r>
      <w:r>
        <w:rPr>
          <w:rFonts w:ascii="SimSun" w:cs="SimSun" w:eastAsia="SimSun" w:hAnsi="SimSun"/>
          <w:sz w:val="18"/>
          <w:szCs w:val="18"/>
          <w:color w:val="auto"/>
        </w:rPr>
        <w:t>：</w:t>
      </w:r>
      <w:r>
        <w:rPr>
          <w:rFonts w:ascii="Arial" w:cs="Arial" w:eastAsia="Arial" w:hAnsi="Arial"/>
          <w:sz w:val="18"/>
          <w:szCs w:val="18"/>
          <w:u w:val="single" w:color="auto"/>
          <w:color w:val="auto"/>
        </w:rPr>
        <w:t>ChinaLink Professional Services Co., Ltd.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account number:</w:t>
      </w:r>
      <w:r>
        <w:rPr>
          <w:rFonts w:ascii="Arial" w:cs="Arial" w:eastAsia="Arial" w:hAnsi="Arial"/>
          <w:sz w:val="18"/>
          <w:szCs w:val="18"/>
          <w:u w:val="single" w:color="auto"/>
          <w:color w:val="auto"/>
        </w:rPr>
        <w:t>98840078801600002917</w:t>
      </w:r>
    </w:p>
    <w:p>
      <w:pPr>
        <w:spacing w:after="0" w:line="192"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Special Account mode</w:t>
      </w:r>
    </w:p>
    <w:p>
      <w:pPr>
        <w:spacing w:after="0" w:line="257" w:lineRule="exact"/>
        <w:rPr>
          <w:sz w:val="20"/>
          <w:szCs w:val="20"/>
          <w:color w:val="auto"/>
        </w:rPr>
      </w:pPr>
    </w:p>
    <w:p>
      <w:pPr>
        <w:ind w:left="660" w:right="4280" w:hanging="652"/>
        <w:spacing w:after="0" w:line="338" w:lineRule="exact"/>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special account for working capital loan opened by the borrower with the lender is: Bank</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_______/_______ .</w:t>
      </w:r>
    </w:p>
    <w:p>
      <w:pPr>
        <w:spacing w:after="0" w:line="229" w:lineRule="exact"/>
        <w:rPr>
          <w:rFonts w:ascii="Arial" w:cs="Arial" w:eastAsia="Arial" w:hAnsi="Arial"/>
          <w:sz w:val="18"/>
          <w:szCs w:val="18"/>
          <w:color w:val="auto"/>
        </w:rPr>
      </w:pPr>
    </w:p>
    <w:p>
      <w:pPr>
        <w:jc w:val="both"/>
        <w:ind w:left="660" w:right="7460"/>
        <w:spacing w:after="0" w:line="338" w:lineRule="exact"/>
        <w:rPr>
          <w:rFonts w:ascii="Arial" w:cs="Arial" w:eastAsia="Arial" w:hAnsi="Arial"/>
          <w:sz w:val="18"/>
          <w:szCs w:val="18"/>
          <w:color w:val="auto"/>
        </w:rPr>
      </w:pPr>
      <w:r>
        <w:rPr>
          <w:rFonts w:ascii="Arial" w:cs="Arial" w:eastAsia="Arial" w:hAnsi="Arial"/>
          <w:sz w:val="16"/>
          <w:szCs w:val="16"/>
          <w:color w:val="auto"/>
        </w:rPr>
        <w:t>Bank account name</w:t>
      </w:r>
      <w:r>
        <w:rPr>
          <w:rFonts w:ascii="SimSun" w:cs="SimSun" w:eastAsia="SimSun" w:hAnsi="SimSun"/>
          <w:sz w:val="16"/>
          <w:szCs w:val="16"/>
          <w:color w:val="auto"/>
        </w:rPr>
        <w:t>：</w:t>
      </w:r>
      <w:r>
        <w:rPr>
          <w:rFonts w:ascii="Arial" w:cs="Arial" w:eastAsia="Arial" w:hAnsi="Arial"/>
          <w:sz w:val="16"/>
          <w:szCs w:val="16"/>
          <w:color w:val="auto"/>
        </w:rPr>
        <w:t xml:space="preserve">______ </w:t>
      </w:r>
      <w:r>
        <w:rPr>
          <w:rFonts w:ascii="Arial" w:cs="Arial" w:eastAsia="Arial" w:hAnsi="Arial"/>
          <w:sz w:val="16"/>
          <w:szCs w:val="16"/>
          <w:u w:val="single" w:color="auto"/>
          <w:color w:val="auto"/>
        </w:rPr>
        <w:t>/_________</w:t>
      </w:r>
      <w:r>
        <w:rPr>
          <w:rFonts w:ascii="Arial" w:cs="Arial" w:eastAsia="Arial" w:hAnsi="Arial"/>
          <w:sz w:val="16"/>
          <w:szCs w:val="16"/>
          <w:color w:val="auto"/>
        </w:rPr>
        <w:t xml:space="preserve"> . Bank account number: _____</w:t>
      </w:r>
      <w:r>
        <w:rPr>
          <w:rFonts w:ascii="Arial" w:cs="Arial" w:eastAsia="Arial" w:hAnsi="Arial"/>
          <w:sz w:val="16"/>
          <w:szCs w:val="16"/>
          <w:u w:val="single" w:color="auto"/>
          <w:color w:val="auto"/>
        </w:rPr>
        <w:t>/_________</w:t>
      </w:r>
      <w:r>
        <w:rPr>
          <w:rFonts w:ascii="Arial" w:cs="Arial" w:eastAsia="Arial" w:hAnsi="Arial"/>
          <w:sz w:val="16"/>
          <w:szCs w:val="16"/>
          <w:color w:val="auto"/>
        </w:rPr>
        <w:t xml:space="preserve"> .</w:t>
      </w:r>
    </w:p>
    <w:p>
      <w:pPr>
        <w:spacing w:after="0" w:line="202" w:lineRule="exact"/>
        <w:rPr>
          <w:rFonts w:ascii="Arial" w:cs="Arial" w:eastAsia="Arial" w:hAnsi="Arial"/>
          <w:sz w:val="18"/>
          <w:szCs w:val="18"/>
          <w:color w:val="auto"/>
        </w:rPr>
      </w:pPr>
    </w:p>
    <w:p>
      <w:pPr>
        <w:ind w:left="660" w:right="5240" w:hanging="652"/>
        <w:spacing w:after="0" w:line="338" w:lineRule="exact"/>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general settlement account opened by the borrower with the lender is: Bank</w:t>
      </w:r>
      <w:r>
        <w:rPr>
          <w:rFonts w:ascii="SimSun" w:cs="SimSun" w:eastAsia="SimSun" w:hAnsi="SimSun"/>
          <w:sz w:val="18"/>
          <w:szCs w:val="18"/>
          <w:color w:val="auto"/>
        </w:rPr>
        <w:t>：</w:t>
      </w:r>
      <w:r>
        <w:rPr>
          <w:rFonts w:ascii="Arial" w:cs="Arial" w:eastAsia="Arial" w:hAnsi="Arial"/>
          <w:sz w:val="18"/>
          <w:szCs w:val="18"/>
          <w:color w:val="auto"/>
        </w:rPr>
        <w:t xml:space="preserve"> ______</w:t>
      </w:r>
      <w:r>
        <w:rPr>
          <w:rFonts w:ascii="Arial" w:cs="Arial" w:eastAsia="Arial" w:hAnsi="Arial"/>
          <w:sz w:val="18"/>
          <w:szCs w:val="18"/>
          <w:u w:val="single" w:color="auto"/>
          <w:color w:val="auto"/>
        </w:rPr>
        <w:t>/________ .</w:t>
      </w:r>
    </w:p>
    <w:p>
      <w:pPr>
        <w:spacing w:after="0" w:line="229" w:lineRule="exact"/>
        <w:rPr>
          <w:rFonts w:ascii="Arial" w:cs="Arial" w:eastAsia="Arial" w:hAnsi="Arial"/>
          <w:sz w:val="18"/>
          <w:szCs w:val="18"/>
          <w:color w:val="auto"/>
        </w:rPr>
      </w:pPr>
    </w:p>
    <w:p>
      <w:pPr>
        <w:ind w:left="660" w:right="7200"/>
        <w:spacing w:after="0" w:line="338" w:lineRule="exact"/>
        <w:rPr>
          <w:rFonts w:ascii="Arial" w:cs="Arial" w:eastAsia="Arial" w:hAnsi="Arial"/>
          <w:sz w:val="18"/>
          <w:szCs w:val="18"/>
          <w:color w:val="auto"/>
        </w:rPr>
      </w:pPr>
      <w:r>
        <w:rPr>
          <w:rFonts w:ascii="Arial" w:cs="Arial" w:eastAsia="Arial" w:hAnsi="Arial"/>
          <w:sz w:val="16"/>
          <w:szCs w:val="16"/>
          <w:color w:val="auto"/>
        </w:rPr>
        <w:t>Bank account name</w:t>
      </w:r>
      <w:r>
        <w:rPr>
          <w:rFonts w:ascii="SimSun" w:cs="SimSun" w:eastAsia="SimSun" w:hAnsi="SimSun"/>
          <w:sz w:val="16"/>
          <w:szCs w:val="16"/>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______/ _________</w:t>
      </w:r>
      <w:r>
        <w:rPr>
          <w:rFonts w:ascii="Arial" w:cs="Arial" w:eastAsia="Arial" w:hAnsi="Arial"/>
          <w:sz w:val="16"/>
          <w:szCs w:val="16"/>
          <w:color w:val="auto"/>
        </w:rPr>
        <w:t xml:space="preserve"> . Bank account number: </w:t>
      </w:r>
      <w:r>
        <w:rPr>
          <w:rFonts w:ascii="Arial" w:cs="Arial" w:eastAsia="Arial" w:hAnsi="Arial"/>
          <w:sz w:val="16"/>
          <w:szCs w:val="16"/>
          <w:u w:val="single" w:color="auto"/>
          <w:color w:val="auto"/>
        </w:rPr>
        <w:t>______/ ___________</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ind w:left="660" w:right="5820" w:hanging="652"/>
        <w:spacing w:after="0" w:line="338" w:lineRule="exact"/>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Borrower’s fund recovery account opened with the Lender is: Bank</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______________/____ .</w:t>
      </w:r>
    </w:p>
    <w:p>
      <w:pPr>
        <w:spacing w:after="0" w:line="229" w:lineRule="exact"/>
        <w:rPr>
          <w:rFonts w:ascii="Arial" w:cs="Arial" w:eastAsia="Arial" w:hAnsi="Arial"/>
          <w:sz w:val="18"/>
          <w:szCs w:val="18"/>
          <w:color w:val="auto"/>
        </w:rPr>
      </w:pPr>
    </w:p>
    <w:p>
      <w:pPr>
        <w:ind w:left="660" w:right="6880"/>
        <w:spacing w:after="0" w:line="338" w:lineRule="exact"/>
        <w:rPr>
          <w:rFonts w:ascii="Arial" w:cs="Arial" w:eastAsia="Arial" w:hAnsi="Arial"/>
          <w:sz w:val="18"/>
          <w:szCs w:val="18"/>
          <w:color w:val="auto"/>
        </w:rPr>
      </w:pPr>
      <w:r>
        <w:rPr>
          <w:rFonts w:ascii="Arial" w:cs="Arial" w:eastAsia="Arial" w:hAnsi="Arial"/>
          <w:sz w:val="16"/>
          <w:szCs w:val="16"/>
          <w:color w:val="auto"/>
        </w:rPr>
        <w:t>Bank account name</w:t>
      </w:r>
      <w:r>
        <w:rPr>
          <w:rFonts w:ascii="SimSun" w:cs="SimSun" w:eastAsia="SimSun" w:hAnsi="SimSun"/>
          <w:sz w:val="16"/>
          <w:szCs w:val="16"/>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___________/ _________</w:t>
      </w:r>
      <w:r>
        <w:rPr>
          <w:rFonts w:ascii="Arial" w:cs="Arial" w:eastAsia="Arial" w:hAnsi="Arial"/>
          <w:sz w:val="16"/>
          <w:szCs w:val="16"/>
          <w:color w:val="auto"/>
        </w:rPr>
        <w:t xml:space="preserve">. Bank account number: </w:t>
      </w:r>
      <w:r>
        <w:rPr>
          <w:rFonts w:ascii="Arial" w:cs="Arial" w:eastAsia="Arial" w:hAnsi="Arial"/>
          <w:sz w:val="16"/>
          <w:szCs w:val="16"/>
          <w:u w:val="single" w:color="auto"/>
          <w:color w:val="auto"/>
        </w:rPr>
        <w:t>__________/___________</w:t>
      </w:r>
      <w:r>
        <w:rPr>
          <w:rFonts w:ascii="Arial" w:cs="Arial" w:eastAsia="Arial" w:hAnsi="Arial"/>
          <w:sz w:val="16"/>
          <w:szCs w:val="16"/>
          <w:color w:val="auto"/>
        </w:rPr>
        <w:t xml:space="preserve"> .</w:t>
      </w:r>
    </w:p>
    <w:p>
      <w:pPr>
        <w:spacing w:after="0" w:line="202" w:lineRule="exact"/>
        <w:rPr>
          <w:rFonts w:ascii="Arial" w:cs="Arial" w:eastAsia="Arial" w:hAnsi="Arial"/>
          <w:sz w:val="18"/>
          <w:szCs w:val="18"/>
          <w:color w:val="auto"/>
        </w:rPr>
      </w:pPr>
    </w:p>
    <w:p>
      <w:pPr>
        <w:ind w:left="960" w:hanging="304"/>
        <w:spacing w:after="0"/>
        <w:tabs>
          <w:tab w:leader="none" w:pos="9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Entrusted Payment by the Lender: if the payment object is clear and the single managed payment amount exceeds (currency amount)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 the loan fund payment, the entrusted payment method of the Lender shall be</w:t>
      </w:r>
    </w:p>
    <w:p>
      <w:pPr>
        <w:spacing w:after="0" w:line="224" w:lineRule="exact"/>
        <w:rPr>
          <w:rFonts w:ascii="Arial" w:cs="Arial" w:eastAsia="Arial" w:hAnsi="Arial"/>
          <w:sz w:val="17"/>
          <w:szCs w:val="17"/>
          <w:color w:val="auto"/>
        </w:rPr>
      </w:pPr>
    </w:p>
    <w:p>
      <w:pPr>
        <w:ind w:left="920" w:hanging="264"/>
        <w:spacing w:after="0" w:line="219" w:lineRule="exact"/>
        <w:tabs>
          <w:tab w:leader="none" w:pos="9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guarantors and security contracts providing security for the debt hereunder include but are not limited to</w:t>
      </w:r>
      <w:r>
        <w:rPr>
          <w:rFonts w:ascii="SimSun" w:cs="SimSun" w:eastAsia="SimSun" w:hAnsi="SimSun"/>
          <w:sz w:val="18"/>
          <w:szCs w:val="18"/>
          <w:color w:val="auto"/>
        </w:rPr>
        <w:t>：</w:t>
      </w:r>
    </w:p>
    <w:p>
      <w:pPr>
        <w:spacing w:after="0" w:line="208" w:lineRule="exact"/>
        <w:rPr>
          <w:sz w:val="20"/>
          <w:szCs w:val="20"/>
          <w:color w:val="auto"/>
        </w:rPr>
      </w:pPr>
    </w:p>
    <w:p>
      <w:pPr>
        <w:ind w:left="840" w:hanging="184"/>
        <w:spacing w:after="0" w:line="219" w:lineRule="exact"/>
        <w:tabs>
          <w:tab w:leader="none" w:pos="840" w:val="left"/>
        </w:tabs>
        <w:numPr>
          <w:ilvl w:val="0"/>
          <w:numId w:val="161"/>
        </w:numPr>
        <w:rPr>
          <w:rFonts w:ascii="MS PGothic" w:cs="MS PGothic" w:eastAsia="MS PGothic" w:hAnsi="MS PGothic"/>
          <w:sz w:val="18"/>
          <w:szCs w:val="18"/>
          <w:color w:val="auto"/>
        </w:rPr>
      </w:pPr>
      <w:r>
        <w:rPr>
          <w:rFonts w:ascii="Arial" w:cs="Arial" w:eastAsia="Arial" w:hAnsi="Arial"/>
          <w:sz w:val="18"/>
          <w:szCs w:val="18"/>
          <w:color w:val="auto"/>
        </w:rPr>
        <w:t xml:space="preserve">The guarantor </w:t>
      </w:r>
      <w:r>
        <w:rPr>
          <w:rFonts w:ascii="Arial" w:cs="Arial" w:eastAsia="Arial" w:hAnsi="Arial"/>
          <w:sz w:val="18"/>
          <w:szCs w:val="18"/>
          <w:u w:val="single" w:color="auto"/>
          <w:color w:val="auto"/>
        </w:rPr>
        <w:t>______/___</w:t>
      </w:r>
      <w:r>
        <w:rPr>
          <w:rFonts w:ascii="Arial" w:cs="Arial" w:eastAsia="Arial" w:hAnsi="Arial"/>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guaranty contract</w:t>
      </w:r>
      <w:r>
        <w:rPr>
          <w:rFonts w:ascii="SimSun" w:cs="SimSun" w:eastAsia="SimSun" w:hAnsi="SimSun"/>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40" w:lineRule="exact"/>
        <w:rPr>
          <w:rFonts w:ascii="MS PGothic" w:cs="MS PGothic" w:eastAsia="MS PGothic" w:hAnsi="MS PGothic"/>
          <w:sz w:val="18"/>
          <w:szCs w:val="18"/>
          <w:color w:val="auto"/>
        </w:rPr>
      </w:pPr>
    </w:p>
    <w:p>
      <w:pPr>
        <w:ind w:left="840" w:hanging="184"/>
        <w:spacing w:after="0" w:line="219" w:lineRule="exact"/>
        <w:tabs>
          <w:tab w:leader="none" w:pos="840" w:val="left"/>
        </w:tabs>
        <w:numPr>
          <w:ilvl w:val="0"/>
          <w:numId w:val="161"/>
        </w:numPr>
        <w:rPr>
          <w:rFonts w:ascii="MS PGothic" w:cs="MS PGothic" w:eastAsia="MS PGothic" w:hAnsi="MS PGothic"/>
          <w:sz w:val="18"/>
          <w:szCs w:val="18"/>
          <w:color w:val="auto"/>
        </w:rPr>
      </w:pPr>
      <w:r>
        <w:rPr>
          <w:rFonts w:ascii="Arial" w:cs="Arial" w:eastAsia="Arial" w:hAnsi="Arial"/>
          <w:sz w:val="18"/>
          <w:szCs w:val="18"/>
          <w:color w:val="auto"/>
        </w:rPr>
        <w:t>The mortgagor ______</w:t>
      </w:r>
      <w:r>
        <w:rPr>
          <w:rFonts w:ascii="Arial" w:cs="Arial" w:eastAsia="Arial" w:hAnsi="Arial"/>
          <w:sz w:val="18"/>
          <w:szCs w:val="18"/>
          <w:u w:val="single" w:color="auto"/>
          <w:color w:val="auto"/>
        </w:rPr>
        <w:t>/_____</w:t>
      </w:r>
      <w:r>
        <w:rPr>
          <w:rFonts w:ascii="Arial" w:cs="Arial" w:eastAsia="Arial" w:hAnsi="Arial"/>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Mortgage contract</w:t>
      </w:r>
      <w:r>
        <w:rPr>
          <w:rFonts w:ascii="SimSun" w:cs="SimSun" w:eastAsia="SimSun" w:hAnsi="SimSun"/>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40" w:lineRule="exact"/>
        <w:rPr>
          <w:rFonts w:ascii="MS PGothic" w:cs="MS PGothic" w:eastAsia="MS PGothic" w:hAnsi="MS PGothic"/>
          <w:sz w:val="18"/>
          <w:szCs w:val="18"/>
          <w:color w:val="auto"/>
        </w:rPr>
      </w:pPr>
    </w:p>
    <w:p>
      <w:pPr>
        <w:ind w:left="840" w:hanging="184"/>
        <w:spacing w:after="0" w:line="219" w:lineRule="exact"/>
        <w:tabs>
          <w:tab w:leader="none" w:pos="840" w:val="left"/>
        </w:tabs>
        <w:numPr>
          <w:ilvl w:val="0"/>
          <w:numId w:val="161"/>
        </w:numPr>
        <w:rPr>
          <w:rFonts w:ascii="MS PGothic" w:cs="MS PGothic" w:eastAsia="MS PGothic" w:hAnsi="MS PGothic"/>
          <w:sz w:val="18"/>
          <w:szCs w:val="18"/>
          <w:color w:val="auto"/>
        </w:rPr>
      </w:pPr>
      <w:r>
        <w:rPr>
          <w:rFonts w:ascii="Arial" w:cs="Arial" w:eastAsia="Arial" w:hAnsi="Arial"/>
          <w:sz w:val="18"/>
          <w:szCs w:val="18"/>
          <w:color w:val="auto"/>
        </w:rPr>
        <w:t xml:space="preserve">The pledger </w:t>
      </w:r>
      <w:r>
        <w:rPr>
          <w:rFonts w:ascii="Arial" w:cs="Arial" w:eastAsia="Arial" w:hAnsi="Arial"/>
          <w:sz w:val="18"/>
          <w:szCs w:val="18"/>
          <w:u w:val="single" w:color="auto"/>
          <w:color w:val="auto"/>
        </w:rPr>
        <w:t>______/______</w:t>
      </w:r>
      <w:r>
        <w:rPr>
          <w:rFonts w:ascii="Arial" w:cs="Arial" w:eastAsia="Arial" w:hAnsi="Arial"/>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Pledger contract</w:t>
      </w:r>
      <w:r>
        <w:rPr>
          <w:rFonts w:ascii="SimSun" w:cs="SimSun" w:eastAsia="SimSun" w:hAnsi="SimSun"/>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73" w:lineRule="exact"/>
        <w:rPr>
          <w:rFonts w:ascii="MS PGothic" w:cs="MS PGothic" w:eastAsia="MS PGothic" w:hAnsi="MS PGothic"/>
          <w:sz w:val="18"/>
          <w:szCs w:val="18"/>
          <w:color w:val="auto"/>
        </w:rPr>
      </w:pPr>
    </w:p>
    <w:p>
      <w:pPr>
        <w:ind w:left="840" w:hanging="184"/>
        <w:spacing w:after="0" w:line="219" w:lineRule="exact"/>
        <w:tabs>
          <w:tab w:leader="none" w:pos="840" w:val="left"/>
        </w:tabs>
        <w:numPr>
          <w:ilvl w:val="0"/>
          <w:numId w:val="161"/>
        </w:numPr>
        <w:rPr>
          <w:rFonts w:ascii="MS PGothic" w:cs="MS PGothic" w:eastAsia="MS PGothic" w:hAnsi="MS PGothic"/>
          <w:sz w:val="18"/>
          <w:szCs w:val="18"/>
          <w:color w:val="auto"/>
        </w:rPr>
      </w:pPr>
      <w:r>
        <w:rPr>
          <w:rFonts w:ascii="Arial" w:cs="Arial" w:eastAsia="Arial" w:hAnsi="Arial"/>
          <w:sz w:val="18"/>
          <w:szCs w:val="18"/>
          <w:color w:val="auto"/>
        </w:rPr>
        <w:t xml:space="preserve">Other guarantee </w:t>
      </w:r>
      <w:r>
        <w:rPr>
          <w:rFonts w:ascii="Arial" w:cs="Arial" w:eastAsia="Arial" w:hAnsi="Arial"/>
          <w:sz w:val="18"/>
          <w:szCs w:val="18"/>
          <w:u w:val="single" w:color="auto"/>
          <w:color w:val="auto"/>
        </w:rPr>
        <w:t>______/_________</w:t>
      </w:r>
      <w:r>
        <w:rPr>
          <w:rFonts w:ascii="Arial" w:cs="Arial" w:eastAsia="Arial" w:hAnsi="Arial"/>
          <w:sz w:val="18"/>
          <w:szCs w:val="18"/>
          <w:color w:val="auto"/>
        </w:rPr>
        <w:t xml:space="preserve"> </w:t>
      </w:r>
      <w:r>
        <w:rPr>
          <w:rFonts w:ascii="SimSun" w:cs="SimSun" w:eastAsia="SimSun" w:hAnsi="SimSun"/>
          <w:sz w:val="18"/>
          <w:szCs w:val="18"/>
          <w:color w:val="auto"/>
        </w:rPr>
        <w:t>。</w:t>
      </w:r>
    </w:p>
    <w:p>
      <w:pPr>
        <w:spacing w:after="0" w:line="227" w:lineRule="exact"/>
        <w:rPr>
          <w:sz w:val="20"/>
          <w:szCs w:val="20"/>
          <w:color w:val="auto"/>
        </w:rPr>
      </w:pPr>
    </w:p>
    <w:p>
      <w:pPr>
        <w:ind w:left="920" w:hanging="264"/>
        <w:spacing w:after="0"/>
        <w:tabs>
          <w:tab w:leader="none" w:pos="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Breach of contract liquidated damages. It is equivalent to </w:t>
      </w:r>
      <w:r>
        <w:rPr>
          <w:rFonts w:ascii="Arial" w:cs="Arial" w:eastAsia="Arial" w:hAnsi="Arial"/>
          <w:sz w:val="18"/>
          <w:szCs w:val="18"/>
          <w:u w:val="single" w:color="auto"/>
          <w:color w:val="auto"/>
        </w:rPr>
        <w:t>zero</w:t>
      </w:r>
      <w:r>
        <w:rPr>
          <w:rFonts w:ascii="Arial" w:cs="Arial" w:eastAsia="Arial" w:hAnsi="Arial"/>
          <w:sz w:val="18"/>
          <w:szCs w:val="18"/>
          <w:color w:val="auto"/>
        </w:rPr>
        <w:t xml:space="preserve"> percent of the principal amount borrowed or </w:t>
      </w:r>
      <w:r>
        <w:rPr>
          <w:rFonts w:ascii="Arial" w:cs="Arial" w:eastAsia="Arial" w:hAnsi="Arial"/>
          <w:sz w:val="18"/>
          <w:szCs w:val="18"/>
          <w:u w:val="single" w:color="auto"/>
          <w:color w:val="auto"/>
        </w:rPr>
        <w:t>_____/_______</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Annexes to this contract include:</w:t>
      </w:r>
    </w:p>
    <w:p>
      <w:pPr>
        <w:spacing w:after="0" w:line="239"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1</w:t>
      </w:r>
      <w:r>
        <w:rPr>
          <w:rFonts w:ascii="SimSun" w:cs="SimSun" w:eastAsia="SimSun" w:hAnsi="SimSun"/>
          <w:sz w:val="18"/>
          <w:szCs w:val="18"/>
          <w:color w:val="auto"/>
        </w:rPr>
        <w:t>）《</w:t>
      </w:r>
      <w:r>
        <w:rPr>
          <w:rFonts w:ascii="Arial" w:cs="Arial" w:eastAsia="Arial" w:hAnsi="Arial"/>
          <w:sz w:val="18"/>
          <w:szCs w:val="18"/>
          <w:color w:val="auto"/>
        </w:rPr>
        <w:t>Application for withdrawal</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2</w:t>
      </w:r>
      <w:r>
        <w:rPr>
          <w:rFonts w:ascii="SimSun" w:cs="SimSun" w:eastAsia="SimSun" w:hAnsi="SimSun"/>
          <w:sz w:val="18"/>
          <w:szCs w:val="18"/>
          <w:color w:val="auto"/>
        </w:rPr>
        <w:t>）《</w:t>
      </w:r>
      <w:r>
        <w:rPr>
          <w:rFonts w:ascii="Arial" w:cs="Arial" w:eastAsia="Arial" w:hAnsi="Arial"/>
          <w:sz w:val="18"/>
          <w:szCs w:val="18"/>
          <w:color w:val="auto"/>
        </w:rPr>
        <w:t xml:space="preserve"> ____________ </w:t>
      </w:r>
      <w:r>
        <w:rPr>
          <w:rFonts w:ascii="Arial" w:cs="Arial" w:eastAsia="Arial" w:hAnsi="Arial"/>
          <w:sz w:val="18"/>
          <w:szCs w:val="18"/>
          <w:u w:val="single" w:color="auto"/>
          <w:color w:val="auto"/>
        </w:rPr>
        <w:t>/</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3</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4</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5</w:t>
      </w:r>
      <w:r>
        <w:rPr>
          <w:rFonts w:ascii="SimSun" w:cs="SimSun" w:eastAsia="SimSun" w:hAnsi="SimSun"/>
          <w:sz w:val="18"/>
          <w:szCs w:val="18"/>
          <w:color w:val="auto"/>
        </w:rPr>
        <w:t>）《</w:t>
      </w:r>
      <w:r>
        <w:rPr>
          <w:rFonts w:ascii="Arial" w:cs="Arial" w:eastAsia="Arial" w:hAnsi="Arial"/>
          <w:sz w:val="18"/>
          <w:szCs w:val="18"/>
          <w:color w:val="auto"/>
        </w:rPr>
        <w:t xml:space="preserve"> _____________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27" w:lineRule="exact"/>
        <w:rPr>
          <w:sz w:val="20"/>
          <w:szCs w:val="20"/>
          <w:color w:val="auto"/>
        </w:rPr>
      </w:pPr>
    </w:p>
    <w:p>
      <w:pPr>
        <w:ind w:left="920" w:hanging="264"/>
        <w:spacing w:after="0"/>
        <w:tabs>
          <w:tab w:leader="none" w:pos="9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Other matters agreed upon by both parties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None/_____________</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660" w:right="660" w:hanging="4"/>
        <w:spacing w:after="0" w:line="527" w:lineRule="auto"/>
        <w:tabs>
          <w:tab w:leader="none" w:pos="92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This Contract is made in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originals,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held by the borrower and </w:t>
      </w:r>
      <w:r>
        <w:rPr>
          <w:rFonts w:ascii="Arial" w:cs="Arial" w:eastAsia="Arial" w:hAnsi="Arial"/>
          <w:sz w:val="18"/>
          <w:szCs w:val="18"/>
          <w:u w:val="single" w:color="auto"/>
          <w:color w:val="auto"/>
        </w:rPr>
        <w:t>two</w:t>
      </w:r>
      <w:r>
        <w:rPr>
          <w:rFonts w:ascii="Arial" w:cs="Arial" w:eastAsia="Arial" w:hAnsi="Arial"/>
          <w:sz w:val="18"/>
          <w:szCs w:val="18"/>
          <w:color w:val="auto"/>
        </w:rPr>
        <w:t xml:space="preserve"> held by the lender, each of which has the same legal effect. (End of Part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The Part Two General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borrowing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71" w:lineRule="exact"/>
        <w:rPr>
          <w:sz w:val="20"/>
          <w:szCs w:val="20"/>
          <w:color w:val="auto"/>
        </w:rPr>
      </w:pPr>
    </w:p>
    <w:p>
      <w:pPr>
        <w:jc w:val="both"/>
        <w:ind w:firstLine="8"/>
        <w:spacing w:after="0" w:line="263" w:lineRule="auto"/>
        <w:tabs>
          <w:tab w:leader="none" w:pos="19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borrowing rate and interest calculation method</w:t>
      </w:r>
    </w:p>
    <w:p>
      <w:pPr>
        <w:spacing w:after="0" w:line="229" w:lineRule="exact"/>
        <w:rPr>
          <w:sz w:val="20"/>
          <w:szCs w:val="20"/>
          <w:color w:val="auto"/>
        </w:rPr>
      </w:pPr>
    </w:p>
    <w:p>
      <w:pPr>
        <w:jc w:val="both"/>
        <w:ind w:left="660" w:hanging="652"/>
        <w:spacing w:after="0" w:line="263"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w:t>
      </w:r>
    </w:p>
    <w:p>
      <w:pPr>
        <w:spacing w:after="0" w:line="183"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Interest rate market paralysis</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left="4820"/>
        <w:spacing w:after="0"/>
        <w:rPr>
          <w:sz w:val="20"/>
          <w:szCs w:val="20"/>
          <w:color w:val="auto"/>
        </w:rPr>
      </w:pPr>
      <w:r>
        <w:rPr>
          <w:rFonts w:ascii="Arial" w:cs="Arial" w:eastAsia="Arial" w:hAnsi="Arial"/>
          <w:sz w:val="18"/>
          <w:szCs w:val="18"/>
          <w:b w:val="1"/>
          <w:bCs w:val="1"/>
          <w:color w:val="auto"/>
        </w:rPr>
        <w:t>Article 3 withdrawal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before the first withdrawal, the borrower shall meet the following conditions:</w:t>
      </w:r>
    </w:p>
    <w:p>
      <w:pPr>
        <w:spacing w:after="0" w:line="225" w:lineRule="exact"/>
        <w:rPr>
          <w:sz w:val="20"/>
          <w:szCs w:val="20"/>
          <w:color w:val="auto"/>
        </w:rPr>
      </w:pPr>
    </w:p>
    <w:p>
      <w:pPr>
        <w:ind w:firstLine="656"/>
        <w:spacing w:after="0" w:line="277" w:lineRule="auto"/>
        <w:tabs>
          <w:tab w:leader="none" w:pos="92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This contract and the corresponding guarantee contract (if any) have been signed and remain valid, and the security right has been effectively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established;</w:t>
      </w:r>
    </w:p>
    <w:p>
      <w:pPr>
        <w:spacing w:after="0" w:line="210" w:lineRule="exact"/>
        <w:rPr>
          <w:rFonts w:ascii="Arial" w:cs="Arial" w:eastAsia="Arial" w:hAnsi="Arial"/>
          <w:sz w:val="16"/>
          <w:szCs w:val="16"/>
          <w:color w:val="auto"/>
        </w:rPr>
      </w:pPr>
    </w:p>
    <w:p>
      <w:pPr>
        <w:ind w:firstLine="656"/>
        <w:spacing w:after="0" w:line="308" w:lineRule="auto"/>
        <w:tabs>
          <w:tab w:leader="none" w:pos="91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has opened relevant accounts with the lender according to the lender’s requirements;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except for the first withdrawal, the borrower shall meet the following conditions before each withdrawal:</w:t>
      </w:r>
    </w:p>
    <w:p>
      <w:pPr>
        <w:spacing w:after="0" w:line="225" w:lineRule="exact"/>
        <w:rPr>
          <w:sz w:val="20"/>
          <w:szCs w:val="20"/>
          <w:color w:val="auto"/>
        </w:rPr>
      </w:pPr>
    </w:p>
    <w:p>
      <w:pPr>
        <w:ind w:firstLine="656"/>
        <w:spacing w:after="0" w:line="277" w:lineRule="auto"/>
        <w:tabs>
          <w:tab w:leader="none" w:pos="9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representations and warranties made by the borrower under this contract shall remain valid;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ind w:left="660"/>
        <w:spacing w:after="0"/>
        <w:rPr>
          <w:sz w:val="20"/>
          <w:szCs w:val="20"/>
          <w:color w:val="auto"/>
        </w:rPr>
      </w:pPr>
      <w:r>
        <w:rPr>
          <w:rFonts w:ascii="Arial" w:cs="Arial" w:eastAsia="Arial" w:hAnsi="Arial"/>
          <w:sz w:val="18"/>
          <w:szCs w:val="18"/>
          <w:color w:val="auto"/>
        </w:rPr>
        <w:t>3. withdrawal</w:t>
      </w:r>
    </w:p>
    <w:p>
      <w:pPr>
        <w:spacing w:after="0" w:line="225" w:lineRule="exact"/>
        <w:rPr>
          <w:sz w:val="20"/>
          <w:szCs w:val="20"/>
          <w:color w:val="auto"/>
        </w:rPr>
      </w:pPr>
    </w:p>
    <w:p>
      <w:pPr>
        <w:jc w:val="both"/>
        <w:ind w:right="20" w:firstLine="656"/>
        <w:spacing w:after="0" w:line="263" w:lineRule="auto"/>
        <w:tabs>
          <w:tab w:leader="none" w:pos="91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83" w:lineRule="exact"/>
        <w:rPr>
          <w:rFonts w:ascii="Arial" w:cs="Arial" w:eastAsia="Arial" w:hAnsi="Arial"/>
          <w:sz w:val="18"/>
          <w:szCs w:val="18"/>
          <w:color w:val="auto"/>
        </w:rPr>
      </w:pPr>
    </w:p>
    <w:p>
      <w:pPr>
        <w:ind w:firstLine="656"/>
        <w:spacing w:after="0" w:line="342" w:lineRule="auto"/>
        <w:tabs>
          <w:tab w:leader="none" w:pos="92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23" w:lineRule="exact"/>
        <w:rPr>
          <w:rFonts w:ascii="Arial" w:cs="Arial" w:eastAsia="Arial" w:hAnsi="Arial"/>
          <w:sz w:val="16"/>
          <w:szCs w:val="16"/>
          <w:color w:val="auto"/>
        </w:rPr>
      </w:pPr>
    </w:p>
    <w:p>
      <w:pPr>
        <w:ind w:firstLine="656"/>
        <w:spacing w:after="0" w:line="277" w:lineRule="auto"/>
        <w:tabs>
          <w:tab w:leader="none" w:pos="9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lender has the right to waive one or more of the above withdrawal conditions without affecting any right enjoyed by the Lender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center"/>
        <w:ind w:left="640"/>
        <w:spacing w:after="0"/>
        <w:rPr>
          <w:sz w:val="20"/>
          <w:szCs w:val="20"/>
          <w:color w:val="auto"/>
        </w:rPr>
      </w:pPr>
      <w:r>
        <w:rPr>
          <w:rFonts w:ascii="Arial" w:cs="Arial" w:eastAsia="Arial" w:hAnsi="Arial"/>
          <w:sz w:val="18"/>
          <w:szCs w:val="18"/>
          <w:b w:val="1"/>
          <w:bCs w:val="1"/>
          <w:color w:val="auto"/>
        </w:rPr>
        <w:t>Article 4 account opening and management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 ..When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2.If no special working capital loan account is opened, the general settlement account is used to calculate the loan fund issuance and loan fund payment applied by the borrower at the lender.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the written consent of the lender, the borrower shall not change the reserved seal of the special working capital loan account at will.</w:t>
      </w:r>
    </w:p>
    <w:p>
      <w:pPr>
        <w:spacing w:after="0" w:line="237" w:lineRule="exact"/>
        <w:rPr>
          <w:sz w:val="20"/>
          <w:szCs w:val="20"/>
          <w:color w:val="auto"/>
        </w:rPr>
      </w:pPr>
    </w:p>
    <w:p>
      <w:pPr>
        <w:ind w:firstLine="656"/>
        <w:spacing w:after="0" w:line="277" w:lineRule="auto"/>
        <w:tabs>
          <w:tab w:leader="none" w:pos="83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center"/>
        <w:ind w:left="640"/>
        <w:spacing w:after="0"/>
        <w:rPr>
          <w:sz w:val="20"/>
          <w:szCs w:val="20"/>
          <w:color w:val="auto"/>
        </w:rPr>
      </w:pPr>
      <w:r>
        <w:rPr>
          <w:rFonts w:ascii="Arial" w:cs="Arial" w:eastAsia="Arial" w:hAnsi="Arial"/>
          <w:sz w:val="18"/>
          <w:szCs w:val="18"/>
          <w:b w:val="1"/>
          <w:bCs w:val="1"/>
          <w:color w:val="auto"/>
        </w:rPr>
        <w:t>Article 5 Payment supervision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1 ..The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approval, the lender shall pay the loan funds to the borrower’s trading partner through the borrower’s account.</w:t>
      </w:r>
    </w:p>
    <w:p>
      <w:pPr>
        <w:spacing w:after="0" w:line="225" w:lineRule="exact"/>
        <w:rPr>
          <w:sz w:val="20"/>
          <w:szCs w:val="20"/>
          <w:color w:val="auto"/>
        </w:rPr>
      </w:pPr>
    </w:p>
    <w:p>
      <w:pPr>
        <w:ind w:firstLine="656"/>
        <w:spacing w:after="0" w:line="277" w:lineRule="auto"/>
        <w:tabs>
          <w:tab w:leader="none" w:pos="86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When applying to the lender for external payment of loan funds, the borrower shall submit supporting materials meeting the lender’s requirements, including but not limited to:</w:t>
      </w:r>
    </w:p>
    <w:p>
      <w:pPr>
        <w:spacing w:after="0" w:line="170" w:lineRule="exact"/>
        <w:rPr>
          <w:sz w:val="20"/>
          <w:szCs w:val="20"/>
          <w:color w:val="auto"/>
        </w:rPr>
      </w:pPr>
    </w:p>
    <w:p>
      <w:pPr>
        <w:ind w:left="920" w:hanging="264"/>
        <w:spacing w:after="0"/>
        <w:tabs>
          <w:tab w:leader="none" w:pos="9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documents certifying that the purpose of payment is in accordance with the purpose agreed in the contract:</w:t>
      </w:r>
    </w:p>
    <w:p>
      <w:pPr>
        <w:spacing w:after="0" w:line="225" w:lineRule="exact"/>
        <w:rPr>
          <w:rFonts w:ascii="Arial" w:cs="Arial" w:eastAsia="Arial" w:hAnsi="Arial"/>
          <w:sz w:val="18"/>
          <w:szCs w:val="18"/>
          <w:color w:val="auto"/>
        </w:rPr>
      </w:pPr>
    </w:p>
    <w:p>
      <w:pPr>
        <w:ind w:firstLine="656"/>
        <w:spacing w:after="0" w:line="277" w:lineRule="auto"/>
        <w:tabs>
          <w:tab w:leader="none" w:pos="9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70" w:lineRule="exact"/>
        <w:rPr>
          <w:rFonts w:ascii="Arial" w:cs="Arial" w:eastAsia="Arial" w:hAnsi="Arial"/>
          <w:sz w:val="18"/>
          <w:szCs w:val="18"/>
          <w:color w:val="auto"/>
        </w:rPr>
      </w:pPr>
    </w:p>
    <w:p>
      <w:pPr>
        <w:ind w:firstLine="656"/>
        <w:spacing w:after="0" w:line="277" w:lineRule="auto"/>
        <w:tabs>
          <w:tab w:leader="none" w:pos="91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Legal and valid payment voucher: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Other documents required by the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ind w:left="660"/>
        <w:spacing w:after="0"/>
        <w:rPr>
          <w:sz w:val="20"/>
          <w:szCs w:val="20"/>
          <w:color w:val="auto"/>
        </w:rPr>
      </w:pPr>
      <w:r>
        <w:rPr>
          <w:rFonts w:ascii="Arial" w:cs="Arial" w:eastAsia="Arial" w:hAnsi="Arial"/>
          <w:sz w:val="17"/>
          <w:szCs w:val="17"/>
          <w:color w:val="auto"/>
        </w:rPr>
        <w:t>The lender has the right to waive one or more of the above supporting materials without affecting any rights enjoyed by the Lender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11" w:lineRule="exact"/>
        <w:rPr>
          <w:sz w:val="20"/>
          <w:szCs w:val="20"/>
          <w:color w:val="auto"/>
        </w:rPr>
      </w:pPr>
    </w:p>
    <w:p>
      <w:pPr>
        <w:jc w:val="both"/>
        <w:ind w:firstLine="656"/>
        <w:spacing w:after="0" w:line="257" w:lineRule="auto"/>
        <w:tabs>
          <w:tab w:leader="none" w:pos="8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5.If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6.The borrower confirms that it shall pay to the lender the remittance fee arising from the payment of funds. When the remittance fee occurs, the lender has the right to deduct it directly according to the actual amount.</w:t>
      </w:r>
    </w:p>
    <w:p>
      <w:pPr>
        <w:spacing w:after="0" w:line="170" w:lineRule="exact"/>
        <w:rPr>
          <w:sz w:val="20"/>
          <w:szCs w:val="20"/>
          <w:color w:val="auto"/>
        </w:rPr>
      </w:pPr>
    </w:p>
    <w:p>
      <w:pPr>
        <w:jc w:val="both"/>
        <w:ind w:firstLine="656"/>
        <w:spacing w:after="0" w:line="263" w:lineRule="auto"/>
        <w:tabs>
          <w:tab w:leader="none" w:pos="82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84" w:lineRule="exact"/>
        <w:rPr>
          <w:sz w:val="20"/>
          <w:szCs w:val="20"/>
          <w:color w:val="auto"/>
        </w:rPr>
      </w:pPr>
    </w:p>
    <w:p>
      <w:pPr>
        <w:ind w:left="920" w:hanging="264"/>
        <w:spacing w:after="0"/>
        <w:tabs>
          <w:tab w:leader="none" w:pos="9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declining credit status;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profitability of main business is not strong;</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Abnormal use of loan funds.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left="5180"/>
        <w:spacing w:after="0"/>
        <w:rPr>
          <w:sz w:val="20"/>
          <w:szCs w:val="20"/>
          <w:color w:val="auto"/>
        </w:rPr>
      </w:pPr>
      <w:r>
        <w:rPr>
          <w:rFonts w:ascii="Arial" w:cs="Arial" w:eastAsia="Arial" w:hAnsi="Arial"/>
          <w:sz w:val="18"/>
          <w:szCs w:val="18"/>
          <w:b w:val="1"/>
          <w:bCs w:val="1"/>
          <w:color w:val="auto"/>
        </w:rPr>
        <w:t>Article 6 repayment</w:t>
      </w:r>
    </w:p>
    <w:p>
      <w:pPr>
        <w:spacing w:after="0" w:line="229" w:lineRule="exact"/>
        <w:rPr>
          <w:sz w:val="20"/>
          <w:szCs w:val="20"/>
          <w:color w:val="auto"/>
        </w:rPr>
      </w:pPr>
    </w:p>
    <w:p>
      <w:pPr>
        <w:jc w:val="both"/>
        <w:ind w:firstLine="656"/>
        <w:spacing w:after="0" w:line="286" w:lineRule="auto"/>
        <w:tabs>
          <w:tab w:leader="none" w:pos="83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65" w:lineRule="exact"/>
        <w:rPr>
          <w:rFonts w:ascii="Arial" w:cs="Arial" w:eastAsia="Arial" w:hAnsi="Arial"/>
          <w:sz w:val="17"/>
          <w:szCs w:val="17"/>
          <w:color w:val="auto"/>
        </w:rPr>
      </w:pPr>
    </w:p>
    <w:p>
      <w:pPr>
        <w:jc w:val="both"/>
        <w:ind w:firstLine="656"/>
        <w:spacing w:after="0" w:line="263" w:lineRule="auto"/>
        <w:tabs>
          <w:tab w:leader="none" w:pos="8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84" w:lineRule="exact"/>
        <w:rPr>
          <w:sz w:val="20"/>
          <w:szCs w:val="20"/>
          <w:color w:val="auto"/>
        </w:rPr>
      </w:pPr>
    </w:p>
    <w:p>
      <w:pPr>
        <w:jc w:val="both"/>
        <w:ind w:firstLine="656"/>
        <w:spacing w:after="0" w:line="275" w:lineRule="auto"/>
        <w:tabs>
          <w:tab w:leader="none" w:pos="84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76" w:lineRule="exact"/>
        <w:rPr>
          <w:rFonts w:ascii="Arial" w:cs="Arial" w:eastAsia="Arial" w:hAnsi="Arial"/>
          <w:sz w:val="17"/>
          <w:szCs w:val="17"/>
          <w:color w:val="auto"/>
        </w:rPr>
      </w:pPr>
    </w:p>
    <w:p>
      <w:pPr>
        <w:ind w:left="840" w:hanging="184"/>
        <w:spacing w:after="0"/>
        <w:tabs>
          <w:tab w:leader="none" w:pos="8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shall not withdraw any returned loan funds again.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center"/>
        <w:ind w:left="640"/>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borrower makes the following representations and warranties to the lender, which are made at the time of signing this contract and remain valid during the validity of this contract.</w:t>
      </w:r>
    </w:p>
    <w:p>
      <w:pPr>
        <w:spacing w:after="0" w:line="170" w:lineRule="exact"/>
        <w:rPr>
          <w:sz w:val="20"/>
          <w:szCs w:val="20"/>
          <w:color w:val="auto"/>
        </w:rPr>
      </w:pPr>
    </w:p>
    <w:p>
      <w:pPr>
        <w:ind w:right="20" w:firstLine="656"/>
        <w:spacing w:after="0" w:line="342" w:lineRule="auto"/>
        <w:tabs>
          <w:tab w:leader="none" w:pos="83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23" w:lineRule="exact"/>
        <w:rPr>
          <w:rFonts w:ascii="Arial" w:cs="Arial" w:eastAsia="Arial" w:hAnsi="Arial"/>
          <w:sz w:val="16"/>
          <w:szCs w:val="16"/>
          <w:color w:val="auto"/>
        </w:rPr>
      </w:pPr>
    </w:p>
    <w:p>
      <w:pPr>
        <w:jc w:val="both"/>
        <w:ind w:firstLine="656"/>
        <w:spacing w:after="0" w:line="263" w:lineRule="auto"/>
        <w:tabs>
          <w:tab w:leader="none" w:pos="8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83" w:lineRule="exact"/>
        <w:rPr>
          <w:rFonts w:ascii="Arial" w:cs="Arial" w:eastAsia="Arial" w:hAnsi="Arial"/>
          <w:sz w:val="18"/>
          <w:szCs w:val="18"/>
          <w:color w:val="auto"/>
        </w:rPr>
      </w:pPr>
    </w:p>
    <w:p>
      <w:pPr>
        <w:jc w:val="both"/>
        <w:ind w:firstLine="656"/>
        <w:spacing w:after="0" w:line="311" w:lineRule="auto"/>
        <w:tabs>
          <w:tab w:leader="none" w:pos="82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48" w:lineRule="exact"/>
        <w:rPr>
          <w:rFonts w:ascii="Arial" w:cs="Arial" w:eastAsia="Arial" w:hAnsi="Arial"/>
          <w:sz w:val="16"/>
          <w:szCs w:val="16"/>
          <w:color w:val="auto"/>
        </w:rPr>
      </w:pPr>
    </w:p>
    <w:p>
      <w:pPr>
        <w:ind w:firstLine="656"/>
        <w:spacing w:after="0" w:line="277" w:lineRule="auto"/>
        <w:tabs>
          <w:tab w:leader="none" w:pos="82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86" w:lineRule="exact"/>
        <w:rPr>
          <w:rFonts w:ascii="Arial" w:cs="Arial" w:eastAsia="Arial" w:hAnsi="Arial"/>
          <w:sz w:val="18"/>
          <w:szCs w:val="18"/>
          <w:color w:val="auto"/>
        </w:rPr>
      </w:pPr>
    </w:p>
    <w:p>
      <w:pPr>
        <w:ind w:left="860" w:hanging="204"/>
        <w:spacing w:after="0"/>
        <w:tabs>
          <w:tab w:leader="none" w:pos="8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borrower guarantees to complete the filing, registration or other procedures required for the effectiveness and legal performance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contract.</w:t>
      </w:r>
    </w:p>
    <w:p>
      <w:pPr>
        <w:spacing w:after="0" w:line="210" w:lineRule="exact"/>
        <w:rPr>
          <w:rFonts w:ascii="Arial" w:cs="Arial" w:eastAsia="Arial" w:hAnsi="Arial"/>
          <w:sz w:val="16"/>
          <w:szCs w:val="16"/>
          <w:color w:val="auto"/>
        </w:rPr>
      </w:pPr>
    </w:p>
    <w:p>
      <w:pPr>
        <w:ind w:right="20" w:firstLine="656"/>
        <w:spacing w:after="0" w:line="277" w:lineRule="auto"/>
        <w:tabs>
          <w:tab w:leader="none" w:pos="85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Since the issuance of the latest audited financial statements, there has been no significant adverse change in the borrower’s operating and financial conditions.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6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820" w:hanging="184"/>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Do not give up any due creditor’s rights, nor dispose of the existing main property free of charge or in other inappropriate ways.</w:t>
      </w:r>
    </w:p>
    <w:p>
      <w:pPr>
        <w:spacing w:after="0" w:line="225" w:lineRule="exact"/>
        <w:rPr>
          <w:rFonts w:ascii="Arial" w:cs="Arial" w:eastAsia="Arial" w:hAnsi="Arial"/>
          <w:sz w:val="18"/>
          <w:szCs w:val="18"/>
          <w:color w:val="auto"/>
        </w:rPr>
      </w:pPr>
    </w:p>
    <w:p>
      <w:pPr>
        <w:ind w:left="640" w:right="1040" w:hanging="4"/>
        <w:spacing w:after="0" w:line="530" w:lineRule="auto"/>
        <w:tabs>
          <w:tab w:leader="none" w:pos="90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borrower has disclosed to the lender what it knows or should know and decided whether to grant the loan under this contract Important facts and conditions (including but not limited to business status, financial status, external guarantee, etc.).</w:t>
      </w:r>
    </w:p>
    <w:p>
      <w:pPr>
        <w:ind w:left="900" w:hanging="264"/>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 guarantees that it is in good credit condition and has no major bad record.</w:t>
      </w:r>
    </w:p>
    <w:p>
      <w:pPr>
        <w:spacing w:after="0" w:line="225" w:lineRule="exact"/>
        <w:rPr>
          <w:rFonts w:ascii="Arial" w:cs="Arial" w:eastAsia="Arial" w:hAnsi="Arial"/>
          <w:sz w:val="18"/>
          <w:szCs w:val="18"/>
          <w:color w:val="auto"/>
        </w:rPr>
      </w:pPr>
    </w:p>
    <w:p>
      <w:pPr>
        <w:ind w:left="-20" w:firstLine="656"/>
        <w:spacing w:after="0" w:line="277" w:lineRule="auto"/>
        <w:tabs>
          <w:tab w:leader="none" w:pos="9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 guarantees that there are no other circumstances or events that have or may have a material adverse impact on the borrower’s performance 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covenants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borrower and the lender agree as follows:</w:t>
      </w:r>
    </w:p>
    <w:p>
      <w:pPr>
        <w:spacing w:after="0" w:line="225" w:lineRule="exact"/>
        <w:rPr>
          <w:sz w:val="20"/>
          <w:szCs w:val="20"/>
          <w:color w:val="auto"/>
        </w:rPr>
      </w:pPr>
    </w:p>
    <w:p>
      <w:pPr>
        <w:jc w:val="both"/>
        <w:ind w:left="-20" w:firstLine="656"/>
        <w:spacing w:after="0" w:line="259" w:lineRule="auto"/>
        <w:tabs>
          <w:tab w:leader="none" w:pos="8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34" w:name="page235"/>
    <w:bookmarkEnd w:id="234"/>
    <w:p>
      <w:pPr>
        <w:ind w:firstLine="656"/>
        <w:spacing w:after="0" w:line="277" w:lineRule="auto"/>
        <w:tabs>
          <w:tab w:leader="none" w:pos="8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70" w:lineRule="exact"/>
        <w:rPr>
          <w:rFonts w:ascii="Arial" w:cs="Arial" w:eastAsia="Arial" w:hAnsi="Arial"/>
          <w:sz w:val="18"/>
          <w:szCs w:val="18"/>
          <w:color w:val="auto"/>
        </w:rPr>
      </w:pPr>
    </w:p>
    <w:p>
      <w:pPr>
        <w:ind w:firstLine="656"/>
        <w:spacing w:after="0" w:line="308" w:lineRule="auto"/>
        <w:tabs>
          <w:tab w:leader="none" w:pos="85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46" w:lineRule="exact"/>
        <w:rPr>
          <w:rFonts w:ascii="Arial" w:cs="Arial" w:eastAsia="Arial" w:hAnsi="Arial"/>
          <w:sz w:val="17"/>
          <w:szCs w:val="17"/>
          <w:color w:val="auto"/>
        </w:rPr>
      </w:pPr>
    </w:p>
    <w:p>
      <w:pPr>
        <w:ind w:left="840" w:hanging="184"/>
        <w:spacing w:after="0"/>
        <w:tabs>
          <w:tab w:leader="none" w:pos="8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borrower promises that the borrower will not take the following actions without the written consent of the lender:</w:t>
      </w:r>
    </w:p>
    <w:p>
      <w:pPr>
        <w:spacing w:after="0" w:line="225" w:lineRule="exact"/>
        <w:rPr>
          <w:sz w:val="20"/>
          <w:szCs w:val="20"/>
          <w:color w:val="auto"/>
        </w:rPr>
      </w:pPr>
    </w:p>
    <w:p>
      <w:pPr>
        <w:ind w:left="900" w:hanging="244"/>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Transfer (including sale, gift, debt repayment, exchange, etc.), mortgage, pledge or otherwise dispose of all or most of its major assets;</w:t>
      </w:r>
    </w:p>
    <w:p>
      <w:pPr>
        <w:spacing w:after="0" w:line="236" w:lineRule="exact"/>
        <w:rPr>
          <w:rFonts w:ascii="Arial" w:cs="Arial" w:eastAsia="Arial" w:hAnsi="Arial"/>
          <w:sz w:val="17"/>
          <w:szCs w:val="17"/>
          <w:color w:val="auto"/>
        </w:rPr>
      </w:pPr>
    </w:p>
    <w:p>
      <w:pPr>
        <w:jc w:val="both"/>
        <w:ind w:firstLine="656"/>
        <w:spacing w:after="0" w:line="259" w:lineRule="auto"/>
        <w:tabs>
          <w:tab w:leader="none" w:pos="91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86" w:lineRule="exact"/>
        <w:rPr>
          <w:rFonts w:ascii="Arial" w:cs="Arial" w:eastAsia="Arial" w:hAnsi="Arial"/>
          <w:sz w:val="18"/>
          <w:szCs w:val="18"/>
          <w:color w:val="auto"/>
        </w:rPr>
      </w:pPr>
    </w:p>
    <w:p>
      <w:pPr>
        <w:ind w:firstLine="656"/>
        <w:spacing w:after="0" w:line="277" w:lineRule="auto"/>
        <w:tabs>
          <w:tab w:leader="none" w:pos="9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Provide the third party with a guarantee sufficient to have a material adverse impact on its financial condition or its ability to perform its obligations under the contract;</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Paying off other long-term debts in advance and may have a significant adverse impact on the borrower’s ability to perform its obligations under the contract;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ind w:firstLine="656"/>
        <w:spacing w:after="0" w:line="277" w:lineRule="auto"/>
        <w:tabs>
          <w:tab w:leader="none" w:pos="9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Sign contracts / agreements or undertake relevant obligations that have a significant adverse impact on the borrower’s ability to perform its obligations under the contract.</w:t>
      </w:r>
    </w:p>
    <w:p>
      <w:pPr>
        <w:spacing w:after="0" w:line="170" w:lineRule="exact"/>
        <w:rPr>
          <w:sz w:val="20"/>
          <w:szCs w:val="20"/>
          <w:color w:val="auto"/>
        </w:rPr>
      </w:pPr>
    </w:p>
    <w:p>
      <w:pPr>
        <w:ind w:right="20" w:firstLine="656"/>
        <w:spacing w:after="0" w:line="277" w:lineRule="auto"/>
        <w:tabs>
          <w:tab w:leader="none" w:pos="84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70" w:lineRule="exact"/>
        <w:rPr>
          <w:sz w:val="20"/>
          <w:szCs w:val="20"/>
          <w:color w:val="auto"/>
        </w:rPr>
      </w:pPr>
    </w:p>
    <w:p>
      <w:pPr>
        <w:ind w:left="920" w:hanging="264"/>
        <w:spacing w:after="0"/>
        <w:tabs>
          <w:tab w:leader="none" w:pos="9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occurrence of relevant events makes the representations and warranties made by the borrower in this contract untrue, inaccurate or invalid.</w:t>
      </w:r>
    </w:p>
    <w:p>
      <w:pPr>
        <w:spacing w:after="0" w:line="248" w:lineRule="exact"/>
        <w:rPr>
          <w:rFonts w:ascii="Arial" w:cs="Arial" w:eastAsia="Arial" w:hAnsi="Arial"/>
          <w:sz w:val="16"/>
          <w:szCs w:val="16"/>
          <w:color w:val="auto"/>
        </w:rPr>
      </w:pPr>
    </w:p>
    <w:p>
      <w:pPr>
        <w:jc w:val="both"/>
        <w:ind w:firstLine="656"/>
        <w:spacing w:after="0" w:line="263" w:lineRule="auto"/>
        <w:tabs>
          <w:tab w:leader="none" w:pos="90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83" w:lineRule="exact"/>
        <w:rPr>
          <w:rFonts w:ascii="Arial" w:cs="Arial" w:eastAsia="Arial" w:hAnsi="Arial"/>
          <w:sz w:val="18"/>
          <w:szCs w:val="18"/>
          <w:color w:val="auto"/>
        </w:rPr>
      </w:pPr>
    </w:p>
    <w:p>
      <w:pPr>
        <w:ind w:firstLine="656"/>
        <w:spacing w:after="0" w:line="277" w:lineRule="auto"/>
        <w:tabs>
          <w:tab w:leader="none" w:pos="90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borrower’s legal representative or its authorized agent, principal, main financial principal, mailing address, enterprise name, office space and other matters are changed;</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Being applied for reorganization or bankruptcy by other creditors or being revoked by the superior competent authority;(5) other major adverse events that may affect the borrower’s solvency.</w:t>
      </w:r>
    </w:p>
    <w:p>
      <w:pPr>
        <w:spacing w:after="0" w:line="170" w:lineRule="exact"/>
        <w:rPr>
          <w:sz w:val="20"/>
          <w:szCs w:val="20"/>
          <w:color w:val="auto"/>
        </w:rPr>
      </w:pPr>
    </w:p>
    <w:p>
      <w:pPr>
        <w:ind w:firstLine="656"/>
        <w:spacing w:after="0" w:line="277" w:lineRule="auto"/>
        <w:tabs>
          <w:tab w:leader="none" w:pos="82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656"/>
        <w:spacing w:after="0" w:line="301" w:lineRule="auto"/>
        <w:tabs>
          <w:tab w:leader="none" w:pos="8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57" w:lineRule="exact"/>
        <w:rPr>
          <w:rFonts w:ascii="Arial" w:cs="Arial" w:eastAsia="Arial" w:hAnsi="Arial"/>
          <w:sz w:val="16"/>
          <w:szCs w:val="16"/>
          <w:color w:val="auto"/>
        </w:rPr>
      </w:pPr>
    </w:p>
    <w:p>
      <w:pPr>
        <w:jc w:val="both"/>
        <w:ind w:firstLine="656"/>
        <w:spacing w:after="0" w:line="293" w:lineRule="auto"/>
        <w:tabs>
          <w:tab w:leader="none" w:pos="83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64" w:lineRule="exact"/>
        <w:rPr>
          <w:rFonts w:ascii="Arial" w:cs="Arial" w:eastAsia="Arial" w:hAnsi="Arial"/>
          <w:sz w:val="16"/>
          <w:szCs w:val="16"/>
          <w:color w:val="auto"/>
        </w:rPr>
      </w:pPr>
    </w:p>
    <w:p>
      <w:pPr>
        <w:jc w:val="both"/>
        <w:ind w:firstLine="656"/>
        <w:spacing w:after="0" w:line="263" w:lineRule="auto"/>
        <w:tabs>
          <w:tab w:leader="none" w:pos="8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lender has the right to recover the loan funds under this contract in advance according to the withdrawal of the borrower’s funds.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special agreements on group customers (applicable to group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borrower of this contract is a group customer, the borrower hereby undertakes:</w:t>
      </w:r>
    </w:p>
    <w:p>
      <w:pPr>
        <w:spacing w:after="0" w:line="225" w:lineRule="exact"/>
        <w:rPr>
          <w:sz w:val="20"/>
          <w:szCs w:val="20"/>
          <w:color w:val="auto"/>
        </w:rPr>
      </w:pPr>
    </w:p>
    <w:p>
      <w:pPr>
        <w:jc w:val="both"/>
        <w:ind w:firstLine="656"/>
        <w:spacing w:after="0" w:line="263" w:lineRule="auto"/>
        <w:tabs>
          <w:tab w:leader="none" w:pos="9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borrower shall timely report the related party transactions of more than 10% of the net assets of the actual trustee, including: j the related party relationships of all parties to the transaction k Transaction items and nature l The amount of the transaction or the corresponding proportion m Pricing policy (including transactions with no amount or only symbolic amount).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jc w:val="both"/>
        <w:ind w:firstLine="656"/>
        <w:spacing w:after="0" w:line="254" w:lineRule="auto"/>
        <w:tabs>
          <w:tab w:leader="none" w:pos="91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 j providing false materials or concealing important business financial facts k Changing the original purpose of the credit without the consent of the lender, misappropriating the credit or using the bank credit to engage in illegal and illegal transactions l Taking advantage of false contracts with related parties to obtain bank funds or credit by discounting or pledging creditor’s rights such as notes receivable and accounts receivable without actual trade background m refusing to accept the lender’s supervision and inspection of its use of credit funds and relevant business and financial activities n In case of major merger, acquisition and reorganization, the lender believes that it may affect the credit security o Intentionally evading bank creditor’s rights through related party transactions.</w:t>
      </w:r>
    </w:p>
    <w:p>
      <w:pPr>
        <w:spacing w:after="0" w:line="192" w:lineRule="exact"/>
        <w:rPr>
          <w:sz w:val="20"/>
          <w:szCs w:val="20"/>
          <w:color w:val="auto"/>
        </w:rPr>
      </w:pPr>
    </w:p>
    <w:p>
      <w:pPr>
        <w:jc w:val="both"/>
        <w:ind w:firstLine="656"/>
        <w:spacing w:after="0" w:line="275" w:lineRule="auto"/>
        <w:tabs>
          <w:tab w:leader="none" w:pos="94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76" w:lineRule="exact"/>
        <w:rPr>
          <w:sz w:val="20"/>
          <w:szCs w:val="20"/>
          <w:color w:val="auto"/>
        </w:rPr>
      </w:pPr>
    </w:p>
    <w:p>
      <w:pPr>
        <w:jc w:val="both"/>
        <w:ind w:firstLine="656"/>
        <w:spacing w:after="0" w:line="263" w:lineRule="auto"/>
        <w:tabs>
          <w:tab w:leader="none" w:pos="90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borrower declares and guarantees that the management of environmental and social risks, including: j the internal management documents related to environmental and social risks comply with the requirements of laws and regulations and are effectively implemented; k there are no major litigation cases involving environmental and social risks;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99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borrower promises to accept the supervision of the lender and strengthen environmental and social risk management, including: j commitment to compliance of all behaviors and performances related to environmental and social risks k Commit to establish and improve the internal management system of environmental and social risks, and specify the responsibilities, obligations and punishment measures of relevant responsible personnel of the borrower l Commit to establish and improve the emergency mechanism and measures for environmental and social risk emergencies m Commit to establish special departments and / or designate special personnel to be responsible for environmental and social risks n Promise to cooperate with the lender or its recognized third party in the assessment and inspection of the borrower’s environmental and social risks o in the face of strong doubts from the public or other stakeholders about the borrower’s performance in controlling environmental and social risks, promise to respond appropriately or take other necessary actions p undertake to urge the borrower’s vital related parties to strengthen management and prevent the environmental and social risks of related parties from infecting the borrower q undertake to perform other matters that the lender considers relevant to controlling environmental and social risks</w:t>
      </w:r>
    </w:p>
    <w:p>
      <w:pPr>
        <w:spacing w:after="0" w:line="185" w:lineRule="exact"/>
        <w:rPr>
          <w:rFonts w:ascii="Arial" w:cs="Arial" w:eastAsia="Arial" w:hAnsi="Arial"/>
          <w:sz w:val="17"/>
          <w:szCs w:val="17"/>
          <w:color w:val="auto"/>
        </w:rPr>
      </w:pPr>
    </w:p>
    <w:p>
      <w:pPr>
        <w:jc w:val="both"/>
        <w:ind w:firstLine="656"/>
        <w:spacing w:after="0" w:line="255" w:lineRule="auto"/>
        <w:tabs>
          <w:tab w:leader="none" w:pos="90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borrower promises to timely and fully inform the lender of various permits j approvals and approvals related to environmental and social risks in the process of commencement, construction, operation and shutdown k Assessment and inspection of the borrower’s environmental and social risks by the environmental and social risk regulatory authority or its recognized institutions l supporting construction and operation of environmental facilities m Discharge and compliance of pollutants n Safety and health of employees o neighboring communities for the borrower Major complaints and protests p Major environmental and social claims q Other lenders believe that it is related to environmental and social winds Skillfully Major information related to insurance;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both"/>
        <w:ind w:firstLine="656"/>
        <w:spacing w:after="0" w:line="275" w:lineRule="auto"/>
        <w:tabs>
          <w:tab w:leader="none" w:pos="91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the borrower and the actual Credit Lender have the following circumstances, it shall be deemed that the borrower has an event of default under this Contract: j the borrower’s statement, guarantee and commitment on environmental and social risk management have not been seriously fulfilled k The borrower is punished by relevant government departments due to poor environmental and social risk management l the borrower is strongly questioned by the public and / or the media due to poor environmental and social risk management m Other events of default related to environmental and social risk management agreed between the lender and the borrower, including cross events of default;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case of the above events of default of the borrower, the lender has the right to unilaterally decide: j cancel the credit commitment already made k Suspend the disbursement of the loan until the borrower takes rescue measures satisfactory to the lender l recover the allocated loan in advance m When the loan cannot be repaid, relevant mortgage and pledge rights and other punishment measures shall be exercised in advance n other punishment measures agreed by the lender and the borrower.</w:t>
      </w:r>
    </w:p>
    <w:p>
      <w:pPr>
        <w:spacing w:after="0" w:line="187" w:lineRule="exact"/>
        <w:rPr>
          <w:sz w:val="20"/>
          <w:szCs w:val="20"/>
          <w:color w:val="auto"/>
        </w:rPr>
      </w:pPr>
    </w:p>
    <w:p>
      <w:pPr>
        <w:jc w:val="both"/>
        <w:ind w:firstLine="656"/>
        <w:spacing w:after="0" w:line="290" w:lineRule="auto"/>
        <w:tabs>
          <w:tab w:leader="none" w:pos="91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1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65" w:lineRule="exact"/>
        <w:rPr>
          <w:rFonts w:ascii="Arial" w:cs="Arial" w:eastAsia="Arial" w:hAnsi="Arial"/>
          <w:sz w:val="16"/>
          <w:szCs w:val="16"/>
          <w:color w:val="auto"/>
        </w:rPr>
      </w:pPr>
    </w:p>
    <w:p>
      <w:pPr>
        <w:jc w:val="both"/>
        <w:ind w:firstLine="656"/>
        <w:spacing w:after="0" w:line="259" w:lineRule="auto"/>
        <w:tabs>
          <w:tab w:leader="none" w:pos="9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Article 9 deduction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 ..The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87" w:lineRule="exact"/>
        <w:rPr>
          <w:sz w:val="20"/>
          <w:szCs w:val="20"/>
          <w:color w:val="auto"/>
        </w:rPr>
      </w:pPr>
    </w:p>
    <w:p>
      <w:pPr>
        <w:ind w:firstLine="656"/>
        <w:spacing w:after="0" w:line="277" w:lineRule="auto"/>
        <w:tabs>
          <w:tab w:leader="none" w:pos="8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deducted income is inconsistent with the currency to be repaid, it shall be handled in the following ways:</w:t>
      </w:r>
    </w:p>
    <w:p>
      <w:pPr>
        <w:spacing w:after="0" w:line="225" w:lineRule="exact"/>
        <w:rPr>
          <w:sz w:val="20"/>
          <w:szCs w:val="20"/>
          <w:color w:val="auto"/>
        </w:rPr>
      </w:pPr>
    </w:p>
    <w:p>
      <w:pPr>
        <w:ind w:firstLine="656"/>
        <w:spacing w:after="0" w:line="308" w:lineRule="auto"/>
        <w:tabs>
          <w:tab w:leader="none" w:pos="91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Article 10 proof of creditor’s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agreed service address</w:t>
      </w:r>
    </w:p>
    <w:p>
      <w:pPr>
        <w:spacing w:after="0" w:line="229" w:lineRule="exact"/>
        <w:rPr>
          <w:sz w:val="20"/>
          <w:szCs w:val="20"/>
          <w:color w:val="auto"/>
        </w:rPr>
      </w:pPr>
    </w:p>
    <w:p>
      <w:pPr>
        <w:jc w:val="both"/>
        <w:ind w:firstLine="656"/>
        <w:spacing w:after="0" w:line="311" w:lineRule="auto"/>
        <w:tabs>
          <w:tab w:leader="none" w:pos="83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48" w:lineRule="exact"/>
        <w:rPr>
          <w:rFonts w:ascii="Arial" w:cs="Arial" w:eastAsia="Arial" w:hAnsi="Arial"/>
          <w:sz w:val="16"/>
          <w:szCs w:val="16"/>
          <w:color w:val="auto"/>
        </w:rPr>
      </w:pPr>
    </w:p>
    <w:p>
      <w:pPr>
        <w:jc w:val="both"/>
        <w:ind w:firstLine="656"/>
        <w:spacing w:after="0" w:line="291" w:lineRule="auto"/>
        <w:tabs>
          <w:tab w:leader="none" w:pos="82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events of default and handling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following circumstances shall constitute a breach of contract by the borrower against the lender:</w:t>
      </w:r>
    </w:p>
    <w:p>
      <w:pPr>
        <w:spacing w:after="0" w:line="225" w:lineRule="exact"/>
        <w:rPr>
          <w:sz w:val="20"/>
          <w:szCs w:val="20"/>
          <w:color w:val="auto"/>
        </w:rPr>
      </w:pPr>
    </w:p>
    <w:p>
      <w:pPr>
        <w:jc w:val="both"/>
        <w:ind w:firstLine="656"/>
        <w:spacing w:after="0" w:line="263" w:lineRule="auto"/>
        <w:tabs>
          <w:tab w:leader="none" w:pos="92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borrower has violated “other matters agreed by both parties” (if any) in part I of the contract or any agreed matter in Article 8 of Part II.</w:t>
      </w:r>
    </w:p>
    <w:p>
      <w:pPr>
        <w:spacing w:after="0" w:line="248" w:lineRule="exact"/>
        <w:rPr>
          <w:rFonts w:ascii="Arial" w:cs="Arial" w:eastAsia="Arial" w:hAnsi="Arial"/>
          <w:sz w:val="16"/>
          <w:szCs w:val="16"/>
          <w:color w:val="auto"/>
        </w:rPr>
      </w:pPr>
    </w:p>
    <w:p>
      <w:pPr>
        <w:ind w:firstLine="656"/>
        <w:spacing w:after="0" w:line="277" w:lineRule="auto"/>
        <w:tabs>
          <w:tab w:leader="none" w:pos="91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borrower’s investors withdraw funds, transfer assets or transfer equity without authorization.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guarantor has or will no longer have the ability to provide guarantee corresponding to the loan, or violates the guarantee documents signed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it.</w:t>
      </w:r>
    </w:p>
    <w:p>
      <w:pPr>
        <w:spacing w:after="0" w:line="210" w:lineRule="exact"/>
        <w:rPr>
          <w:rFonts w:ascii="Arial" w:cs="Arial" w:eastAsia="Arial" w:hAnsi="Arial"/>
          <w:sz w:val="16"/>
          <w:szCs w:val="16"/>
          <w:color w:val="auto"/>
        </w:rPr>
      </w:pPr>
    </w:p>
    <w:p>
      <w:pPr>
        <w:ind w:firstLine="656"/>
        <w:spacing w:after="0" w:line="277" w:lineRule="auto"/>
        <w:tabs>
          <w:tab w:leader="none" w:pos="9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ind w:right="20" w:firstLine="656"/>
        <w:spacing w:after="0" w:line="277" w:lineRule="auto"/>
        <w:tabs>
          <w:tab w:leader="none" w:pos="90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Failure to repay the principal and interest on schedule or use the loan for the agreed purpose.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loan funds are not paid in the agreed manner.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documents and information submitted for loan application are false and incorrect.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It does not meet or exceed the constraints of relevant financial indicators agreed in the contract.</w:t>
      </w:r>
    </w:p>
    <w:p>
      <w:pPr>
        <w:spacing w:after="0" w:line="225" w:lineRule="exact"/>
        <w:rPr>
          <w:rFonts w:ascii="Arial" w:cs="Arial" w:eastAsia="Arial" w:hAnsi="Arial"/>
          <w:sz w:val="18"/>
          <w:szCs w:val="18"/>
          <w:color w:val="auto"/>
        </w:rPr>
      </w:pPr>
    </w:p>
    <w:p>
      <w:pPr>
        <w:ind w:firstLine="656"/>
        <w:spacing w:after="0" w:line="277" w:lineRule="auto"/>
        <w:tabs>
          <w:tab w:leader="none" w:pos="101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capital flow in the general settlement account / capital return account is abnormal.</w:t>
      </w:r>
    </w:p>
    <w:p>
      <w:pPr>
        <w:spacing w:after="0" w:line="225" w:lineRule="exact"/>
        <w:rPr>
          <w:rFonts w:ascii="Arial" w:cs="Arial" w:eastAsia="Arial" w:hAnsi="Arial"/>
          <w:sz w:val="18"/>
          <w:szCs w:val="18"/>
          <w:color w:val="auto"/>
        </w:rPr>
      </w:pPr>
    </w:p>
    <w:p>
      <w:pPr>
        <w:ind w:firstLine="656"/>
        <w:spacing w:after="0" w:line="277" w:lineRule="auto"/>
        <w:tabs>
          <w:tab w:leader="none" w:pos="9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Handling of breach of contract</w:t>
      </w:r>
    </w:p>
    <w:p>
      <w:pPr>
        <w:spacing w:after="0" w:line="225" w:lineRule="exact"/>
        <w:rPr>
          <w:sz w:val="20"/>
          <w:szCs w:val="20"/>
          <w:color w:val="auto"/>
        </w:rPr>
      </w:pPr>
    </w:p>
    <w:p>
      <w:pPr>
        <w:ind w:firstLine="656"/>
        <w:spacing w:after="0" w:line="277" w:lineRule="auto"/>
        <w:tabs>
          <w:tab w:leader="none" w:pos="93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when one or more of the default circumstances listed in the current paragraph occur, the lender may take one or more of the following measures at its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require the borrower to correct within a time limit.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17"/>
          <w:szCs w:val="17"/>
          <w:color w:val="auto"/>
        </w:rPr>
        <w:t>cancel the unused loan of the borrower and stop issuing and paying the unused loan of the borrower.</w:t>
      </w:r>
    </w:p>
    <w:p>
      <w:pPr>
        <w:spacing w:after="0" w:line="213"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l 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 Penalty interest and compound interest shall be charged for overdue loans and misappropriated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 Deduct from any account opened by the borrower in each branch of Shanghai Pudong Development Bank Co.,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ind w:left="660"/>
        <w:spacing w:after="0"/>
        <w:rPr>
          <w:sz w:val="20"/>
          <w:szCs w:val="20"/>
          <w:color w:val="auto"/>
        </w:rPr>
      </w:pPr>
      <w:r>
        <w:rPr>
          <w:rFonts w:ascii="Arial" w:cs="Arial" w:eastAsia="Arial" w:hAnsi="Arial"/>
          <w:sz w:val="18"/>
          <w:szCs w:val="18"/>
          <w:color w:val="auto"/>
        </w:rPr>
        <w:t>o Require the borrower to supplement the loan issuance and payment conditions, or change the loan payment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 require the borrower to provide other guarantees approved by the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 other necessary measures stipulated by law.</w:t>
      </w:r>
    </w:p>
    <w:p>
      <w:pPr>
        <w:spacing w:after="0" w:line="225" w:lineRule="exact"/>
        <w:rPr>
          <w:sz w:val="20"/>
          <w:szCs w:val="20"/>
          <w:color w:val="auto"/>
        </w:rPr>
      </w:pPr>
    </w:p>
    <w:p>
      <w:pPr>
        <w:jc w:val="both"/>
        <w:ind w:firstLine="656"/>
        <w:spacing w:after="0" w:line="286" w:lineRule="auto"/>
        <w:tabs>
          <w:tab w:leader="none" w:pos="90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65" w:lineRule="exact"/>
        <w:rPr>
          <w:rFonts w:ascii="Arial" w:cs="Arial" w:eastAsia="Arial" w:hAnsi="Arial"/>
          <w:sz w:val="17"/>
          <w:szCs w:val="17"/>
          <w:color w:val="auto"/>
        </w:rPr>
      </w:pPr>
    </w:p>
    <w:p>
      <w:pPr>
        <w:jc w:val="both"/>
        <w:ind w:firstLine="656"/>
        <w:spacing w:after="0" w:line="263" w:lineRule="auto"/>
        <w:tabs>
          <w:tab w:leader="none" w:pos="9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effectiveness, alteration and dissolution</w:t>
      </w:r>
    </w:p>
    <w:p>
      <w:pPr>
        <w:spacing w:after="0" w:line="229" w:lineRule="exact"/>
        <w:rPr>
          <w:sz w:val="20"/>
          <w:szCs w:val="20"/>
          <w:color w:val="auto"/>
        </w:rPr>
      </w:pPr>
    </w:p>
    <w:p>
      <w:pPr>
        <w:jc w:val="both"/>
        <w:ind w:firstLine="656"/>
        <w:spacing w:after="0" w:line="263" w:lineRule="auto"/>
        <w:tabs>
          <w:tab w:leader="none" w:pos="8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83" w:lineRule="exact"/>
        <w:rPr>
          <w:rFonts w:ascii="Arial" w:cs="Arial" w:eastAsia="Arial" w:hAnsi="Arial"/>
          <w:sz w:val="18"/>
          <w:szCs w:val="18"/>
          <w:color w:val="auto"/>
        </w:rPr>
      </w:pPr>
    </w:p>
    <w:p>
      <w:pPr>
        <w:ind w:firstLine="656"/>
        <w:spacing w:after="0" w:line="277" w:lineRule="auto"/>
        <w:tabs>
          <w:tab w:leader="none" w:pos="82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other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..definition</w:t>
      </w:r>
    </w:p>
    <w:p>
      <w:pPr>
        <w:spacing w:after="0" w:line="225" w:lineRule="exact"/>
        <w:rPr>
          <w:sz w:val="20"/>
          <w:szCs w:val="20"/>
          <w:color w:val="auto"/>
        </w:rPr>
      </w:pPr>
    </w:p>
    <w:p>
      <w:pPr>
        <w:ind w:firstLine="656"/>
        <w:spacing w:after="0" w:line="277" w:lineRule="auto"/>
        <w:tabs>
          <w:tab w:leader="none" w:pos="91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creditor’s rights” under this contract refers to the loan principal, interest, liquidated damages and various expenses incurred to realize the creditor’s rights.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term “interest” under this contract includes interest, penalty interest and compound interest.</w:t>
      </w:r>
    </w:p>
    <w:p>
      <w:pPr>
        <w:spacing w:after="0" w:line="225" w:lineRule="exact"/>
        <w:rPr>
          <w:rFonts w:ascii="Arial" w:cs="Arial" w:eastAsia="Arial" w:hAnsi="Arial"/>
          <w:sz w:val="18"/>
          <w:szCs w:val="18"/>
          <w:color w:val="auto"/>
        </w:rPr>
      </w:pPr>
    </w:p>
    <w:p>
      <w:pPr>
        <w:ind w:firstLine="656"/>
        <w:spacing w:after="0" w:line="277" w:lineRule="auto"/>
        <w:tabs>
          <w:tab w:leader="none" w:pos="92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660"/>
        <w:spacing w:after="0"/>
        <w:rPr>
          <w:sz w:val="20"/>
          <w:szCs w:val="20"/>
          <w:color w:val="auto"/>
        </w:rPr>
      </w:pPr>
      <w:r>
        <w:rPr>
          <w:rFonts w:ascii="Arial" w:cs="Arial" w:eastAsia="Arial" w:hAnsi="Arial"/>
          <w:sz w:val="18"/>
          <w:szCs w:val="18"/>
          <w:color w:val="auto"/>
        </w:rPr>
        <w:t>2. Applicable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Settlement of disputes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Miscellaneous</w:t>
      </w:r>
    </w:p>
    <w:p>
      <w:pPr>
        <w:spacing w:after="0" w:line="225" w:lineRule="exact"/>
        <w:rPr>
          <w:sz w:val="20"/>
          <w:szCs w:val="20"/>
          <w:color w:val="auto"/>
        </w:rPr>
      </w:pPr>
    </w:p>
    <w:p>
      <w:pPr>
        <w:jc w:val="both"/>
        <w:ind w:firstLine="656"/>
        <w:spacing w:after="0" w:line="263" w:lineRule="auto"/>
        <w:tabs>
          <w:tab w:leader="none" w:pos="9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invalidity of one clause of the contract shall not affect the validity of other clauses of the contract. This contract is not valid for any reason</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184" w:lineRule="exact"/>
        <w:rPr>
          <w:sz w:val="20"/>
          <w:szCs w:val="20"/>
          <w:color w:val="auto"/>
        </w:rPr>
      </w:pPr>
    </w:p>
    <w:p>
      <w:pPr>
        <w:jc w:val="both"/>
        <w:ind w:firstLine="656"/>
        <w:spacing w:after="0" w:line="263" w:lineRule="auto"/>
        <w:tabs>
          <w:tab w:leader="none" w:pos="90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left="660"/>
        <w:spacing w:after="0"/>
        <w:rPr>
          <w:sz w:val="20"/>
          <w:szCs w:val="20"/>
          <w:color w:val="auto"/>
        </w:rPr>
      </w:pPr>
      <w:r>
        <w:rPr>
          <w:rFonts w:ascii="Arial" w:cs="Arial" w:eastAsia="Arial" w:hAnsi="Arial"/>
          <w:sz w:val="16"/>
          <w:szCs w:val="16"/>
          <w:color w:val="auto"/>
        </w:rPr>
        <w:t>(5) Unless otherwise specified in the contract, relevant terms and expressions in the annexes to the contract have the same meanings as those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11" w:lineRule="exact"/>
        <w:rPr>
          <w:sz w:val="20"/>
          <w:szCs w:val="20"/>
          <w:color w:val="auto"/>
        </w:rPr>
      </w:pPr>
    </w:p>
    <w:p>
      <w:pPr>
        <w:ind w:left="660" w:right="1160" w:hanging="4"/>
        <w:spacing w:after="0" w:line="500" w:lineRule="auto"/>
        <w:tabs>
          <w:tab w:leader="none" w:pos="91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headings under this contract are for convenience only and shall not be used as the basis for the contents under this heading. (no text below this page)</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page is the signature page without text)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contract is signed by and between the borrower and the lender on </w:t>
      </w:r>
      <w:r>
        <w:rPr>
          <w:rFonts w:ascii="Arial" w:cs="Arial" w:eastAsia="Arial" w:hAnsi="Arial"/>
          <w:sz w:val="17"/>
          <w:szCs w:val="17"/>
          <w:u w:val="single" w:color="auto"/>
          <w:color w:val="auto"/>
        </w:rPr>
        <w:t>Jun 7,2021</w:t>
      </w:r>
      <w:r>
        <w:rPr>
          <w:rFonts w:ascii="Arial" w:cs="Arial" w:eastAsia="Arial" w:hAnsi="Arial"/>
          <w:sz w:val="17"/>
          <w:szCs w:val="17"/>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Borrower(Official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representative or authorized agent (signature or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(Official seal or contract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representative / person in charge (authorized or sealed)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 9884201280129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Arial" w:cs="Arial" w:eastAsia="Arial" w:hAnsi="Arial"/>
          <w:sz w:val="29"/>
          <w:szCs w:val="29"/>
          <w:color w:val="auto"/>
        </w:rPr>
        <w:t>SPD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0"/>
        <w:spacing w:after="0"/>
        <w:rPr>
          <w:sz w:val="20"/>
          <w:szCs w:val="20"/>
          <w:color w:val="auto"/>
        </w:rPr>
      </w:pPr>
      <w:r>
        <w:rPr>
          <w:rFonts w:ascii="Arial" w:cs="Arial" w:eastAsia="Arial" w:hAnsi="Arial"/>
          <w:sz w:val="32"/>
          <w:szCs w:val="32"/>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1133475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Contract for Loans of Working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Borrower: ChinaLink Professional Services Co., Ltd.</w:t>
      </w:r>
    </w:p>
    <w:p>
      <w:pPr>
        <w:spacing w:after="0" w:line="23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Principal business address</w:t>
      </w:r>
      <w:r>
        <w:rPr>
          <w:rFonts w:ascii="SimSun" w:cs="SimSun" w:eastAsia="SimSun" w:hAnsi="SimSun"/>
          <w:sz w:val="18"/>
          <w:szCs w:val="18"/>
          <w:color w:val="auto"/>
        </w:rPr>
        <w:t>：</w:t>
      </w:r>
      <w:r>
        <w:rPr>
          <w:rFonts w:ascii="Arial" w:cs="Arial" w:eastAsia="Arial" w:hAnsi="Arial"/>
          <w:sz w:val="18"/>
          <w:szCs w:val="18"/>
          <w:color w:val="auto"/>
        </w:rPr>
        <w:t>2nd floor, Building 18, No. 498, GuoShouJing Road, Pudong New Area, Shanghai</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contact</w:t>
      </w:r>
      <w:r>
        <w:rPr>
          <w:rFonts w:ascii="SimSun" w:cs="SimSun" w:eastAsia="SimSun" w:hAnsi="SimSun"/>
          <w:sz w:val="18"/>
          <w:szCs w:val="18"/>
          <w:color w:val="auto"/>
        </w:rPr>
        <w:t>：</w:t>
      </w:r>
      <w:r>
        <w:rPr>
          <w:rFonts w:ascii="Arial" w:cs="Arial" w:eastAsia="Arial" w:hAnsi="Arial"/>
          <w:sz w:val="18"/>
          <w:szCs w:val="18"/>
          <w:color w:val="auto"/>
        </w:rPr>
        <w:t>Lisa Wu Tell</w:t>
      </w:r>
      <w:r>
        <w:rPr>
          <w:rFonts w:ascii="SimSun" w:cs="SimSun" w:eastAsia="SimSun" w:hAnsi="SimSun"/>
          <w:sz w:val="18"/>
          <w:szCs w:val="18"/>
          <w:color w:val="auto"/>
        </w:rPr>
        <w:t>：</w:t>
      </w:r>
      <w:r>
        <w:rPr>
          <w:rFonts w:ascii="Arial" w:cs="Arial" w:eastAsia="Arial" w:hAnsi="Arial"/>
          <w:sz w:val="18"/>
          <w:szCs w:val="18"/>
          <w:color w:val="auto"/>
        </w:rPr>
        <w:t>18516502856</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Fax</w:t>
      </w:r>
      <w:r>
        <w:rPr>
          <w:rFonts w:ascii="SimSun" w:cs="SimSun" w:eastAsia="SimSun" w:hAnsi="SimSun"/>
          <w:sz w:val="18"/>
          <w:szCs w:val="18"/>
          <w:color w:val="auto"/>
        </w:rPr>
        <w:t>：</w:t>
      </w:r>
      <w:r>
        <w:rPr>
          <w:rFonts w:ascii="Arial" w:cs="Arial" w:eastAsia="Arial" w:hAnsi="Arial"/>
          <w:sz w:val="18"/>
          <w:szCs w:val="18"/>
          <w:color w:val="auto"/>
        </w:rPr>
        <w:t>/ Email</w:t>
      </w:r>
      <w:r>
        <w:rPr>
          <w:rFonts w:ascii="SimSun" w:cs="SimSun" w:eastAsia="SimSun" w:hAnsi="SimSun"/>
          <w:sz w:val="18"/>
          <w:szCs w:val="18"/>
          <w:color w:val="auto"/>
        </w:rPr>
        <w:t>：</w:t>
      </w:r>
      <w:r>
        <w:rPr>
          <w:rFonts w:ascii="Arial" w:cs="Arial" w:eastAsia="Arial" w:hAnsi="Arial"/>
          <w:sz w:val="18"/>
          <w:szCs w:val="18"/>
          <w:color w:val="auto"/>
        </w:rPr>
        <w:t>lisa.wu@clpsglobal.com</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Lender</w:t>
      </w:r>
      <w:r>
        <w:rPr>
          <w:rFonts w:ascii="SimSun" w:cs="SimSun" w:eastAsia="SimSun" w:hAnsi="SimSun"/>
          <w:sz w:val="18"/>
          <w:szCs w:val="18"/>
          <w:color w:val="auto"/>
        </w:rPr>
        <w:t>：</w:t>
      </w:r>
      <w:r>
        <w:rPr>
          <w:rFonts w:ascii="Arial" w:cs="Arial" w:eastAsia="Arial" w:hAnsi="Arial"/>
          <w:sz w:val="18"/>
          <w:szCs w:val="18"/>
          <w:color w:val="auto"/>
        </w:rPr>
        <w:t>Shanghai Pudong Development Bank Co., LTD. Jinqiao Branch</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Principal business address</w:t>
      </w:r>
      <w:r>
        <w:rPr>
          <w:rFonts w:ascii="SimSun" w:cs="SimSun" w:eastAsia="SimSun" w:hAnsi="SimSun"/>
          <w:sz w:val="18"/>
          <w:szCs w:val="18"/>
          <w:color w:val="auto"/>
        </w:rPr>
        <w:t>：</w:t>
      </w:r>
      <w:r>
        <w:rPr>
          <w:rFonts w:ascii="Arial" w:cs="Arial" w:eastAsia="Arial" w:hAnsi="Arial"/>
          <w:sz w:val="18"/>
          <w:szCs w:val="18"/>
          <w:color w:val="auto"/>
        </w:rPr>
        <w:t>No.509 Jinqiao Road, Pudong New Area, Shanghai</w:t>
      </w:r>
    </w:p>
    <w:p>
      <w:pPr>
        <w:spacing w:after="0" w:line="2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contact</w:t>
      </w:r>
      <w:r>
        <w:rPr>
          <w:rFonts w:ascii="SimSun" w:cs="SimSun" w:eastAsia="SimSun" w:hAnsi="SimSun"/>
          <w:sz w:val="18"/>
          <w:szCs w:val="18"/>
          <w:color w:val="auto"/>
        </w:rPr>
        <w:t>：</w:t>
      </w:r>
      <w:r>
        <w:rPr>
          <w:rFonts w:ascii="Arial" w:cs="Arial" w:eastAsia="Arial" w:hAnsi="Arial"/>
          <w:sz w:val="18"/>
          <w:szCs w:val="18"/>
          <w:color w:val="auto"/>
        </w:rPr>
        <w:t>Lin Xie Tell</w:t>
      </w:r>
      <w:r>
        <w:rPr>
          <w:rFonts w:ascii="SimSun" w:cs="SimSun" w:eastAsia="SimSun" w:hAnsi="SimSun"/>
          <w:sz w:val="18"/>
          <w:szCs w:val="18"/>
          <w:color w:val="auto"/>
        </w:rPr>
        <w:t>：</w:t>
      </w:r>
      <w:r>
        <w:rPr>
          <w:rFonts w:ascii="Arial" w:cs="Arial" w:eastAsia="Arial" w:hAnsi="Arial"/>
          <w:sz w:val="18"/>
          <w:szCs w:val="18"/>
          <w:color w:val="auto"/>
        </w:rPr>
        <w:t>021-58994702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same time, the borrower and the lender confirm the following principal terms (please select in the box below according to the situation, tick X if not selected);</w:t>
      </w:r>
    </w:p>
    <w:p>
      <w:pPr>
        <w:spacing w:after="0" w:line="170" w:lineRule="exact"/>
        <w:rPr>
          <w:sz w:val="20"/>
          <w:szCs w:val="20"/>
          <w:color w:val="auto"/>
        </w:rPr>
      </w:pPr>
    </w:p>
    <w:p>
      <w:pPr>
        <w:jc w:val="both"/>
        <w:ind w:firstLine="656"/>
        <w:spacing w:after="0" w:line="311" w:lineRule="auto"/>
        <w:tabs>
          <w:tab w:leader="none" w:pos="855" w:val="left"/>
        </w:tabs>
        <w:numPr>
          <w:ilvl w:val="0"/>
          <w:numId w:val="205"/>
        </w:numPr>
        <w:rPr>
          <w:rFonts w:ascii="MS PGothic" w:cs="MS PGothic" w:eastAsia="MS PGothic" w:hAnsi="MS PGothic"/>
          <w:sz w:val="16"/>
          <w:szCs w:val="16"/>
          <w:color w:val="auto"/>
        </w:rPr>
      </w:pPr>
      <w:r>
        <w:rPr>
          <w:rFonts w:ascii="Arial" w:cs="Arial" w:eastAsia="Arial" w:hAnsi="Arial"/>
          <w:sz w:val="16"/>
          <w:szCs w:val="16"/>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ind w:right="20" w:firstLine="648"/>
        <w:spacing w:after="0" w:line="227" w:lineRule="auto"/>
        <w:rPr>
          <w:sz w:val="20"/>
          <w:szCs w:val="20"/>
          <w:color w:val="auto"/>
        </w:rPr>
      </w:pPr>
      <w:r>
        <w:rPr>
          <w:rFonts w:ascii="Arial" w:cs="Arial" w:eastAsia="Arial" w:hAnsi="Arial"/>
          <w:sz w:val="22"/>
          <w:szCs w:val="22"/>
          <w:color w:val="auto"/>
        </w:rPr>
        <w:t xml:space="preserve">R </w:t>
      </w:r>
      <w:r>
        <w:rPr>
          <w:rFonts w:ascii="Arial" w:cs="Arial" w:eastAsia="Arial" w:hAnsi="Arial"/>
          <w:sz w:val="17"/>
          <w:szCs w:val="17"/>
          <w:color w:val="auto"/>
        </w:rPr>
        <w:t>This contract is an independent credit document signed between the borrower and the lender (this item should be selected if the borrower and</w:t>
      </w:r>
      <w:r>
        <w:rPr>
          <w:rFonts w:ascii="Arial" w:cs="Arial" w:eastAsia="Arial" w:hAnsi="Arial"/>
          <w:sz w:val="22"/>
          <w:szCs w:val="22"/>
          <w:color w:val="auto"/>
        </w:rPr>
        <w:t xml:space="preserve"> </w:t>
      </w:r>
      <w:r>
        <w:rPr>
          <w:rFonts w:ascii="Arial" w:cs="Arial" w:eastAsia="Arial" w:hAnsi="Arial"/>
          <w:sz w:val="17"/>
          <w:szCs w:val="17"/>
          <w:color w:val="auto"/>
        </w:rPr>
        <w:t>the lender have not signed the financing line agreement);</w:t>
      </w:r>
    </w:p>
    <w:p>
      <w:pPr>
        <w:spacing w:after="0" w:line="204" w:lineRule="exact"/>
        <w:rPr>
          <w:sz w:val="20"/>
          <w:szCs w:val="20"/>
          <w:color w:val="auto"/>
        </w:rPr>
      </w:pPr>
    </w:p>
    <w:p>
      <w:pPr>
        <w:ind w:left="860" w:hanging="204"/>
        <w:spacing w:after="0"/>
        <w:tabs>
          <w:tab w:leader="none" w:pos="860" w:val="left"/>
        </w:tabs>
        <w:numPr>
          <w:ilvl w:val="0"/>
          <w:numId w:val="206"/>
        </w:numPr>
        <w:rPr>
          <w:rFonts w:ascii="MS PGothic" w:cs="MS PGothic" w:eastAsia="MS PGothic" w:hAnsi="MS PGothic"/>
          <w:sz w:val="16"/>
          <w:szCs w:val="16"/>
          <w:color w:val="auto"/>
        </w:rPr>
      </w:pPr>
      <w:r>
        <w:rPr>
          <w:rFonts w:ascii="Arial" w:cs="Arial" w:eastAsia="Arial" w:hAnsi="Arial"/>
          <w:sz w:val="16"/>
          <w:szCs w:val="16"/>
          <w:color w:val="auto"/>
        </w:rPr>
        <w:t>The guarantor has been informed that the purpose of the loan under this contract is to repay the loan under the original contract name: ___Date</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of signing:___ No: ___.(Select this item if the purpose of borrowing is to repay the old or renew the loan)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 One Commercial terms</w:t>
      </w:r>
    </w:p>
    <w:p>
      <w:pPr>
        <w:spacing w:after="0" w:line="196" w:lineRule="exact"/>
        <w:rPr>
          <w:sz w:val="20"/>
          <w:szCs w:val="20"/>
          <w:color w:val="auto"/>
        </w:rPr>
      </w:pPr>
    </w:p>
    <w:p>
      <w:pPr>
        <w:ind w:left="340" w:hanging="332"/>
        <w:spacing w:after="0" w:line="207" w:lineRule="exact"/>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Types of Loans: R Short-term working capital loans; </w:t>
      </w:r>
      <w:r>
        <w:rPr>
          <w:rFonts w:ascii="MS PGothic" w:cs="MS PGothic" w:eastAsia="MS PGothic" w:hAnsi="MS PGothic"/>
          <w:sz w:val="18"/>
          <w:szCs w:val="18"/>
          <w:color w:val="auto"/>
        </w:rPr>
        <w:t>☐</w:t>
      </w:r>
      <w:r>
        <w:rPr>
          <w:rFonts w:ascii="Arial" w:cs="Arial" w:eastAsia="Arial" w:hAnsi="Arial"/>
          <w:sz w:val="18"/>
          <w:szCs w:val="18"/>
          <w:color w:val="auto"/>
        </w:rPr>
        <w:t xml:space="preserve"> mid-term liquidity loan,</w:t>
      </w:r>
    </w:p>
    <w:p>
      <w:pPr>
        <w:spacing w:after="0" w:line="257" w:lineRule="exact"/>
        <w:rPr>
          <w:rFonts w:ascii="Arial" w:cs="Arial" w:eastAsia="Arial" w:hAnsi="Arial"/>
          <w:sz w:val="18"/>
          <w:szCs w:val="18"/>
          <w:color w:val="auto"/>
        </w:rPr>
      </w:pPr>
    </w:p>
    <w:p>
      <w:pPr>
        <w:ind w:left="340" w:hanging="332"/>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loan amount under this contract is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10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specific use of loan under this contract as follows: </w:t>
      </w:r>
      <w:r>
        <w:rPr>
          <w:rFonts w:ascii="Arial" w:cs="Arial" w:eastAsia="Arial" w:hAnsi="Arial"/>
          <w:sz w:val="18"/>
          <w:szCs w:val="18"/>
          <w:u w:val="single" w:color="auto"/>
          <w:color w:val="auto"/>
        </w:rPr>
        <w:t>Pay social security</w:t>
      </w:r>
    </w:p>
    <w:p>
      <w:pPr>
        <w:spacing w:after="0" w:line="225" w:lineRule="exact"/>
        <w:rPr>
          <w:rFonts w:ascii="Arial" w:cs="Arial" w:eastAsia="Arial" w:hAnsi="Arial"/>
          <w:sz w:val="18"/>
          <w:szCs w:val="18"/>
          <w:color w:val="auto"/>
        </w:rPr>
      </w:pPr>
    </w:p>
    <w:p>
      <w:pPr>
        <w:ind w:left="660" w:right="3820" w:hanging="652"/>
        <w:spacing w:after="0" w:line="489" w:lineRule="auto"/>
        <w:tabs>
          <w:tab w:leader="none" w:pos="3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time limit for the loan under this contract (in the following box, please, don’t choose to play x) R since </w:t>
      </w:r>
      <w:r>
        <w:rPr>
          <w:rFonts w:ascii="Arial" w:cs="Arial" w:eastAsia="Arial" w:hAnsi="Arial"/>
          <w:sz w:val="18"/>
          <w:szCs w:val="18"/>
          <w:u w:val="single" w:color="auto"/>
          <w:color w:val="auto"/>
        </w:rPr>
        <w:t>March 25, 2021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March 24, 2022.</w:t>
      </w:r>
    </w:p>
    <w:p>
      <w:pPr>
        <w:spacing w:after="0" w:line="34" w:lineRule="exact"/>
        <w:rPr>
          <w:sz w:val="20"/>
          <w:szCs w:val="20"/>
          <w:color w:val="auto"/>
        </w:rPr>
      </w:pPr>
    </w:p>
    <w:p>
      <w:pPr>
        <w:ind w:left="860" w:hanging="204"/>
        <w:spacing w:after="0" w:line="219" w:lineRule="exact"/>
        <w:tabs>
          <w:tab w:leader="none" w:pos="860" w:val="left"/>
        </w:tabs>
        <w:numPr>
          <w:ilvl w:val="0"/>
          <w:numId w:val="208"/>
        </w:numPr>
        <w:rPr>
          <w:rFonts w:ascii="MS PGothic" w:cs="MS PGothic" w:eastAsia="MS PGothic" w:hAnsi="MS PGothic"/>
          <w:sz w:val="18"/>
          <w:szCs w:val="18"/>
          <w:color w:val="auto"/>
        </w:rPr>
      </w:pPr>
      <w:r>
        <w:rPr>
          <w:rFonts w:ascii="Arial" w:cs="Arial" w:eastAsia="Arial" w:hAnsi="Arial"/>
          <w:sz w:val="18"/>
          <w:szCs w:val="18"/>
          <w:color w:val="auto"/>
        </w:rPr>
        <w:t xml:space="preserve">From the date of first withdrawal </w:t>
      </w:r>
      <w:r>
        <w:rPr>
          <w:rFonts w:ascii="Arial" w:cs="Arial" w:eastAsia="Arial" w:hAnsi="Arial"/>
          <w:sz w:val="18"/>
          <w:szCs w:val="18"/>
          <w:u w:val="single" w:color="auto"/>
          <w:color w:val="auto"/>
        </w:rPr>
        <w:t>___ _</w:t>
      </w:r>
      <w:r>
        <w:rPr>
          <w:rFonts w:ascii="Arial" w:cs="Arial" w:eastAsia="Arial" w:hAnsi="Arial"/>
          <w:sz w:val="18"/>
          <w:szCs w:val="18"/>
          <w:color w:val="auto"/>
        </w:rPr>
        <w:t xml:space="preserve"> year </w:t>
      </w:r>
      <w:r>
        <w:rPr>
          <w:rFonts w:ascii="SimSun" w:cs="SimSun" w:eastAsia="SimSun" w:hAnsi="SimSun"/>
          <w:sz w:val="18"/>
          <w:szCs w:val="18"/>
          <w:color w:val="auto"/>
        </w:rPr>
        <w:t>（</w:t>
      </w:r>
      <w:r>
        <w:rPr>
          <w:rFonts w:ascii="Arial" w:cs="Arial" w:eastAsia="Arial" w:hAnsi="Arial"/>
          <w:sz w:val="18"/>
          <w:szCs w:val="18"/>
          <w:color w:val="auto"/>
        </w:rPr>
        <w:t xml:space="preserve">or </w:t>
      </w:r>
      <w:r>
        <w:rPr>
          <w:rFonts w:ascii="Arial" w:cs="Arial" w:eastAsia="Arial" w:hAnsi="Arial"/>
          <w:sz w:val="18"/>
          <w:szCs w:val="18"/>
          <w:u w:val="single" w:color="auto"/>
          <w:color w:val="auto"/>
        </w:rPr>
        <w:t>___</w:t>
      </w:r>
      <w:r>
        <w:rPr>
          <w:rFonts w:ascii="Arial" w:cs="Arial" w:eastAsia="Arial" w:hAnsi="Arial"/>
          <w:sz w:val="18"/>
          <w:szCs w:val="18"/>
          <w:color w:val="auto"/>
        </w:rPr>
        <w:t xml:space="preserve"> months</w:t>
      </w:r>
      <w:r>
        <w:rPr>
          <w:rFonts w:ascii="SimSun" w:cs="SimSun" w:eastAsia="SimSun" w:hAnsi="SimSun"/>
          <w:sz w:val="18"/>
          <w:szCs w:val="18"/>
          <w:color w:val="auto"/>
        </w:rPr>
        <w:t>）</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84" w:lineRule="exact"/>
        <w:rPr>
          <w:sz w:val="20"/>
          <w:szCs w:val="20"/>
          <w:color w:val="auto"/>
        </w:rPr>
      </w:pPr>
    </w:p>
    <w:p>
      <w:pPr>
        <w:ind w:left="660"/>
        <w:spacing w:after="0" w:line="219" w:lineRule="exact"/>
        <w:rPr>
          <w:sz w:val="20"/>
          <w:szCs w:val="20"/>
          <w:color w:val="auto"/>
        </w:rPr>
      </w:pPr>
      <w:r>
        <w:rPr>
          <w:rFonts w:ascii="Arial" w:cs="Arial" w:eastAsia="Arial" w:hAnsi="Arial"/>
          <w:sz w:val="18"/>
          <w:szCs w:val="18"/>
          <w:color w:val="auto"/>
        </w:rPr>
        <w:t>5</w:t>
      </w:r>
      <w:r>
        <w:rPr>
          <w:rFonts w:ascii="SimSun" w:cs="SimSun" w:eastAsia="SimSun" w:hAnsi="SimSun"/>
          <w:sz w:val="18"/>
          <w:szCs w:val="18"/>
          <w:color w:val="auto"/>
        </w:rPr>
        <w:t>．</w:t>
      </w:r>
      <w:r>
        <w:rPr>
          <w:rFonts w:ascii="Arial" w:cs="Arial" w:eastAsia="Arial" w:hAnsi="Arial"/>
          <w:sz w:val="18"/>
          <w:szCs w:val="18"/>
          <w:color w:val="auto"/>
        </w:rPr>
        <w:t>The interest rate of the loan under this Contract is (please tick V in the box below and x if not)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RMB loans Interest Rate :</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Each loan under this Contract shall be issued according to the loan market quoted APR (term) -1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48" w:name="page249"/>
    <w:bookmarkEnd w:id="248"/>
    <w:p>
      <w:pPr>
        <w:ind w:firstLine="648"/>
        <w:spacing w:after="0" w:line="277" w:lineRule="auto"/>
        <w:rPr>
          <w:sz w:val="20"/>
          <w:szCs w:val="20"/>
          <w:color w:val="auto"/>
        </w:rPr>
      </w:pPr>
      <w:r>
        <w:rPr>
          <w:rFonts w:ascii="Arial" w:cs="Arial" w:eastAsia="Arial" w:hAnsi="Arial"/>
          <w:sz w:val="18"/>
          <w:szCs w:val="18"/>
          <w:color w:val="auto"/>
        </w:rPr>
        <w:t>After each loan is issued, if the quoted interest rate of the loan market is adjusted during the loan term, the loan interest rate (please put a in the box below and x in case of non-I):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 Fixed interest rate without adjustment;</w:t>
      </w:r>
    </w:p>
    <w:p>
      <w:pPr>
        <w:spacing w:after="0" w:line="225" w:lineRule="exact"/>
        <w:rPr>
          <w:sz w:val="20"/>
          <w:szCs w:val="20"/>
          <w:color w:val="auto"/>
        </w:rPr>
      </w:pPr>
    </w:p>
    <w:p>
      <w:pPr>
        <w:jc w:val="both"/>
        <w:ind w:firstLine="656"/>
        <w:spacing w:after="0" w:line="263" w:lineRule="auto"/>
        <w:tabs>
          <w:tab w:leader="none" w:pos="855" w:val="left"/>
        </w:tabs>
        <w:numPr>
          <w:ilvl w:val="0"/>
          <w:numId w:val="209"/>
        </w:numPr>
        <w:rPr>
          <w:rFonts w:ascii="MS PGothic" w:cs="MS PGothic" w:eastAsia="MS PGothic" w:hAnsi="MS PGothic"/>
          <w:sz w:val="18"/>
          <w:szCs w:val="18"/>
          <w:color w:val="auto"/>
        </w:rPr>
      </w:pPr>
      <w:r>
        <w:rPr>
          <w:rFonts w:ascii="Arial" w:cs="Arial" w:eastAsia="Arial" w:hAnsi="Arial"/>
          <w:sz w:val="18"/>
          <w:szCs w:val="18"/>
          <w:color w:val="auto"/>
        </w:rPr>
        <w:t>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v is selected in the following box, does not escape the x) :</w:t>
      </w:r>
    </w:p>
    <w:p>
      <w:pPr>
        <w:spacing w:after="0" w:line="183" w:lineRule="exact"/>
        <w:rPr>
          <w:rFonts w:ascii="MS PGothic" w:cs="MS PGothic" w:eastAsia="MS PGothic" w:hAnsi="MS PGothic"/>
          <w:sz w:val="18"/>
          <w:szCs w:val="18"/>
          <w:color w:val="auto"/>
        </w:rPr>
      </w:pPr>
    </w:p>
    <w:p>
      <w:pPr>
        <w:jc w:val="both"/>
        <w:ind w:firstLine="656"/>
        <w:spacing w:after="0" w:line="279" w:lineRule="auto"/>
        <w:tabs>
          <w:tab w:leader="none" w:pos="832" w:val="left"/>
        </w:tabs>
        <w:numPr>
          <w:ilvl w:val="0"/>
          <w:numId w:val="209"/>
        </w:numPr>
        <w:rPr>
          <w:rFonts w:ascii="MS PGothic" w:cs="MS PGothic" w:eastAsia="MS PGothic" w:hAnsi="MS PGothic"/>
          <w:sz w:val="17"/>
          <w:szCs w:val="17"/>
          <w:color w:val="auto"/>
        </w:rPr>
      </w:pPr>
      <w:r>
        <w:rPr>
          <w:rFonts w:ascii="Arial" w:cs="Arial" w:eastAsia="Arial" w:hAnsi="Arial"/>
          <w:sz w:val="17"/>
          <w:szCs w:val="17"/>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84" w:lineRule="exact"/>
        <w:rPr>
          <w:rFonts w:ascii="MS PGothic" w:cs="MS PGothic" w:eastAsia="MS PGothic" w:hAnsi="MS PGothic"/>
          <w:sz w:val="17"/>
          <w:szCs w:val="17"/>
          <w:color w:val="auto"/>
        </w:rPr>
      </w:pPr>
    </w:p>
    <w:p>
      <w:pPr>
        <w:ind w:left="860" w:hanging="204"/>
        <w:spacing w:after="0" w:line="219" w:lineRule="exact"/>
        <w:tabs>
          <w:tab w:leader="none" w:pos="860" w:val="left"/>
        </w:tabs>
        <w:numPr>
          <w:ilvl w:val="0"/>
          <w:numId w:val="209"/>
        </w:numPr>
        <w:rPr>
          <w:rFonts w:ascii="MS PGothic" w:cs="MS PGothic" w:eastAsia="MS PGothic" w:hAnsi="MS PGothic"/>
          <w:sz w:val="18"/>
          <w:szCs w:val="18"/>
          <w:color w:val="auto"/>
        </w:rPr>
      </w:pPr>
      <w:r>
        <w:rPr>
          <w:rFonts w:ascii="Arial" w:cs="Arial" w:eastAsia="Arial" w:hAnsi="Arial"/>
          <w:sz w:val="18"/>
          <w:szCs w:val="18"/>
          <w:color w:val="auto"/>
        </w:rPr>
        <w:t>Adjust the interest rate according to year, the interest rate adjustment date is January 1 of each year</w:t>
      </w:r>
      <w:r>
        <w:rPr>
          <w:rFonts w:ascii="SimSun" w:cs="SimSun" w:eastAsia="SimSun" w:hAnsi="SimSun"/>
          <w:sz w:val="18"/>
          <w:szCs w:val="18"/>
          <w:color w:val="auto"/>
        </w:rPr>
        <w:t>；</w:t>
      </w:r>
    </w:p>
    <w:p>
      <w:pPr>
        <w:spacing w:after="0" w:line="227" w:lineRule="exact"/>
        <w:rPr>
          <w:rFonts w:ascii="MS PGothic" w:cs="MS PGothic" w:eastAsia="MS PGothic" w:hAnsi="MS PGothic"/>
          <w:sz w:val="18"/>
          <w:szCs w:val="18"/>
          <w:color w:val="auto"/>
        </w:rPr>
      </w:pPr>
    </w:p>
    <w:p>
      <w:pPr>
        <w:ind w:left="880" w:hanging="224"/>
        <w:spacing w:after="0"/>
        <w:tabs>
          <w:tab w:leader="none" w:pos="880" w:val="left"/>
        </w:tabs>
        <w:numPr>
          <w:ilvl w:val="0"/>
          <w:numId w:val="209"/>
        </w:numPr>
        <w:rPr>
          <w:rFonts w:ascii="MS PGothic" w:cs="MS PGothic" w:eastAsia="MS PGothic" w:hAnsi="MS PGothic"/>
          <w:sz w:val="16"/>
          <w:szCs w:val="16"/>
          <w:color w:val="auto"/>
        </w:rPr>
      </w:pPr>
      <w:r>
        <w:rPr>
          <w:rFonts w:ascii="Arial" w:cs="Arial" w:eastAsia="Arial" w:hAnsi="Arial"/>
          <w:sz w:val="16"/>
          <w:szCs w:val="16"/>
          <w:color w:val="auto"/>
        </w:rPr>
        <w:t>Adjust the interest rate according to the interest settlement date, and the interest rate adjustment day is the next day of the interest settlement</w:t>
      </w:r>
    </w:p>
    <w:p>
      <w:pPr>
        <w:spacing w:after="0" w:line="61" w:lineRule="exact"/>
        <w:rPr>
          <w:rFonts w:ascii="MS PGothic" w:cs="MS PGothic" w:eastAsia="MS PGothic" w:hAnsi="MS PGothic"/>
          <w:sz w:val="16"/>
          <w:szCs w:val="16"/>
          <w:color w:val="auto"/>
        </w:rPr>
      </w:pPr>
    </w:p>
    <w:p>
      <w:pPr>
        <w:spacing w:after="0" w:line="214" w:lineRule="exact"/>
        <w:rPr>
          <w:rFonts w:ascii="MS PGothic" w:cs="MS PGothic" w:eastAsia="MS PGothic" w:hAnsi="MS PGothic"/>
          <w:sz w:val="16"/>
          <w:szCs w:val="16"/>
          <w:color w:val="auto"/>
        </w:rPr>
      </w:pPr>
      <w:r>
        <w:rPr>
          <w:rFonts w:ascii="Arial" w:cs="Arial" w:eastAsia="Arial" w:hAnsi="Arial"/>
          <w:sz w:val="18"/>
          <w:szCs w:val="18"/>
          <w:color w:val="auto"/>
        </w:rPr>
        <w:t>date</w:t>
      </w:r>
      <w:r>
        <w:rPr>
          <w:rFonts w:ascii="SimSun" w:cs="SimSun" w:eastAsia="SimSun" w:hAnsi="SimSun"/>
          <w:sz w:val="18"/>
          <w:szCs w:val="18"/>
          <w:color w:val="auto"/>
        </w:rPr>
        <w:t>；</w:t>
      </w:r>
    </w:p>
    <w:p>
      <w:pPr>
        <w:spacing w:after="0" w:line="229" w:lineRule="exact"/>
        <w:rPr>
          <w:rFonts w:ascii="MS PGothic" w:cs="MS PGothic" w:eastAsia="MS PGothic" w:hAnsi="MS PGothic"/>
          <w:sz w:val="16"/>
          <w:szCs w:val="16"/>
          <w:color w:val="auto"/>
        </w:rPr>
      </w:pPr>
    </w:p>
    <w:p>
      <w:pPr>
        <w:ind w:left="860" w:hanging="204"/>
        <w:spacing w:after="0" w:line="219" w:lineRule="exact"/>
        <w:tabs>
          <w:tab w:leader="none" w:pos="860" w:val="left"/>
        </w:tabs>
        <w:numPr>
          <w:ilvl w:val="0"/>
          <w:numId w:val="209"/>
        </w:numPr>
        <w:rPr>
          <w:rFonts w:ascii="MS PGothic" w:cs="MS PGothic" w:eastAsia="MS PGothic" w:hAnsi="MS PGothic"/>
          <w:sz w:val="18"/>
          <w:szCs w:val="18"/>
          <w:color w:val="auto"/>
        </w:rPr>
      </w:pPr>
      <w:r>
        <w:rPr>
          <w:rFonts w:ascii="Arial" w:cs="Arial" w:eastAsia="Arial" w:hAnsi="Arial"/>
          <w:sz w:val="18"/>
          <w:szCs w:val="18"/>
          <w:color w:val="auto"/>
        </w:rPr>
        <w:t>Quarterly adjustment of interest rate, interest rate adjustment day for the end of each quarter on a monthly basis,</w:t>
      </w:r>
      <w:r>
        <w:rPr>
          <w:rFonts w:ascii="SimSun" w:cs="SimSun" w:eastAsia="SimSun" w:hAnsi="SimSun"/>
          <w:sz w:val="18"/>
          <w:szCs w:val="18"/>
          <w:color w:val="auto"/>
        </w:rPr>
        <w:t>；</w:t>
      </w:r>
    </w:p>
    <w:p>
      <w:pPr>
        <w:spacing w:after="0" w:line="227" w:lineRule="exact"/>
        <w:rPr>
          <w:rFonts w:ascii="MS PGothic" w:cs="MS PGothic" w:eastAsia="MS PGothic" w:hAnsi="MS PGothic"/>
          <w:sz w:val="18"/>
          <w:szCs w:val="18"/>
          <w:color w:val="auto"/>
        </w:rPr>
      </w:pPr>
    </w:p>
    <w:p>
      <w:pPr>
        <w:ind w:left="860" w:hanging="204"/>
        <w:spacing w:after="0"/>
        <w:tabs>
          <w:tab w:leader="none" w:pos="860" w:val="left"/>
        </w:tabs>
        <w:numPr>
          <w:ilvl w:val="0"/>
          <w:numId w:val="209"/>
        </w:numPr>
        <w:rPr>
          <w:rFonts w:ascii="MS PGothic" w:cs="MS PGothic" w:eastAsia="MS PGothic" w:hAnsi="MS PGothic"/>
          <w:sz w:val="18"/>
          <w:szCs w:val="18"/>
          <w:color w:val="auto"/>
        </w:rPr>
      </w:pPr>
      <w:r>
        <w:rPr>
          <w:rFonts w:ascii="Arial" w:cs="Arial" w:eastAsia="Arial" w:hAnsi="Arial"/>
          <w:sz w:val="18"/>
          <w:szCs w:val="18"/>
          <w:color w:val="auto"/>
        </w:rPr>
        <w:t>interest rate adjustment day for a monthly/daily</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209"/>
        </w:numPr>
        <w:rPr>
          <w:rFonts w:ascii="MS PGothic" w:cs="MS PGothic" w:eastAsia="MS PGothic" w:hAnsi="MS PGothic"/>
          <w:sz w:val="18"/>
          <w:szCs w:val="18"/>
          <w:color w:val="auto"/>
        </w:rPr>
      </w:pPr>
      <w:r>
        <w:rPr>
          <w:rFonts w:ascii="Arial" w:cs="Arial" w:eastAsia="Arial" w:hAnsi="Arial"/>
          <w:sz w:val="18"/>
          <w:szCs w:val="18"/>
          <w:color w:val="auto"/>
        </w:rPr>
        <w:t>other agreement (specific interest rate adjustment day),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860" w:hanging="204"/>
        <w:spacing w:after="0"/>
        <w:tabs>
          <w:tab w:leader="none" w:pos="860" w:val="left"/>
        </w:tabs>
        <w:numPr>
          <w:ilvl w:val="0"/>
          <w:numId w:val="210"/>
        </w:numPr>
        <w:rPr>
          <w:rFonts w:ascii="MS PGothic" w:cs="MS PGothic" w:eastAsia="MS PGothic" w:hAnsi="MS PGothic"/>
          <w:sz w:val="18"/>
          <w:szCs w:val="18"/>
          <w:color w:val="auto"/>
        </w:rPr>
      </w:pPr>
      <w:r>
        <w:rPr>
          <w:rFonts w:ascii="Arial" w:cs="Arial" w:eastAsia="Arial" w:hAnsi="Arial"/>
          <w:sz w:val="18"/>
          <w:szCs w:val="18"/>
          <w:color w:val="auto"/>
        </w:rPr>
        <w:t>(2) interest rate of foreign currency loan;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each loan under this Contract will be issued __at the rate of ___(LIBORAHIBORSIBOR) published by the Lender on the date of disbursement plus/BPS.</w:t>
      </w:r>
    </w:p>
    <w:p>
      <w:pPr>
        <w:spacing w:after="0" w:line="170" w:lineRule="exact"/>
        <w:rPr>
          <w:sz w:val="20"/>
          <w:szCs w:val="20"/>
          <w:color w:val="auto"/>
        </w:rPr>
      </w:pPr>
    </w:p>
    <w:p>
      <w:pPr>
        <w:ind w:left="860" w:hanging="204"/>
        <w:spacing w:after="0"/>
        <w:tabs>
          <w:tab w:leader="none" w:pos="860" w:val="left"/>
        </w:tabs>
        <w:numPr>
          <w:ilvl w:val="1"/>
          <w:numId w:val="211"/>
        </w:numPr>
        <w:rPr>
          <w:rFonts w:ascii="MS PGothic" w:cs="MS PGothic" w:eastAsia="MS PGothic" w:hAnsi="MS PGothic"/>
          <w:sz w:val="18"/>
          <w:szCs w:val="18"/>
          <w:color w:val="auto"/>
        </w:rPr>
      </w:pPr>
      <w:r>
        <w:rPr>
          <w:rFonts w:ascii="Arial" w:cs="Arial" w:eastAsia="Arial" w:hAnsi="Arial"/>
          <w:sz w:val="18"/>
          <w:szCs w:val="18"/>
          <w:color w:val="auto"/>
        </w:rPr>
        <w:t>After each loan under this joint venture is issued, the loan interest rate shall be adjusted by __.</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1"/>
          <w:numId w:val="211"/>
        </w:numPr>
        <w:rPr>
          <w:rFonts w:ascii="MS PGothic" w:cs="MS PGothic" w:eastAsia="MS PGothic" w:hAnsi="MS PGothic"/>
          <w:sz w:val="18"/>
          <w:szCs w:val="18"/>
          <w:color w:val="auto"/>
        </w:rPr>
      </w:pPr>
      <w:r>
        <w:rPr>
          <w:rFonts w:ascii="Arial" w:cs="Arial" w:eastAsia="Arial" w:hAnsi="Arial"/>
          <w:sz w:val="18"/>
          <w:szCs w:val="18"/>
          <w:color w:val="auto"/>
        </w:rPr>
        <w:t>Fixed rate, that is, the interest rate is not adjusted.</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method of loan settlement under this Contract is (please check the box below/tick X if not selected):</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1"/>
          <w:numId w:val="211"/>
        </w:numPr>
        <w:rPr>
          <w:rFonts w:ascii="MS PGothic" w:cs="MS PGothic" w:eastAsia="MS PGothic" w:hAnsi="MS PGothic"/>
          <w:sz w:val="18"/>
          <w:szCs w:val="18"/>
          <w:color w:val="auto"/>
        </w:rPr>
      </w:pPr>
      <w:r>
        <w:rPr>
          <w:rFonts w:ascii="Arial" w:cs="Arial" w:eastAsia="Arial" w:hAnsi="Arial"/>
          <w:sz w:val="18"/>
          <w:szCs w:val="18"/>
          <w:color w:val="auto"/>
        </w:rPr>
        <w:t>On a monthly basis, the settlement date is the second +(20) day of each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 Quarterly, then the settlement date is the twentieth (20th) day of the last month of each quarter:</w:t>
      </w:r>
    </w:p>
    <w:p>
      <w:pPr>
        <w:spacing w:after="0" w:line="225" w:lineRule="exact"/>
        <w:rPr>
          <w:sz w:val="20"/>
          <w:szCs w:val="20"/>
          <w:color w:val="auto"/>
        </w:rPr>
      </w:pPr>
    </w:p>
    <w:p>
      <w:pPr>
        <w:ind w:left="840" w:hanging="184"/>
        <w:spacing w:after="0"/>
        <w:tabs>
          <w:tab w:leader="none" w:pos="840" w:val="left"/>
        </w:tabs>
        <w:numPr>
          <w:ilvl w:val="0"/>
          <w:numId w:val="212"/>
        </w:numPr>
        <w:rPr>
          <w:rFonts w:ascii="MS PGothic" w:cs="MS PGothic" w:eastAsia="MS PGothic" w:hAnsi="MS PGothic"/>
          <w:sz w:val="18"/>
          <w:szCs w:val="18"/>
          <w:color w:val="auto"/>
        </w:rPr>
      </w:pPr>
      <w:r>
        <w:rPr>
          <w:rFonts w:ascii="Arial" w:cs="Arial" w:eastAsia="Arial" w:hAnsi="Arial"/>
          <w:sz w:val="18"/>
          <w:szCs w:val="18"/>
          <w:color w:val="auto"/>
        </w:rPr>
        <w:t>Other methods: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Penalty interest rate under the Contract 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 xml:space="preserve">This overdue penalty interest rate shall be applied at the loan execution rate applicable on the date of penalty interest collection plus </w:t>
      </w:r>
      <w:r>
        <w:rPr>
          <w:rFonts w:ascii="Arial" w:cs="Arial" w:eastAsia="Arial" w:hAnsi="Arial"/>
          <w:sz w:val="16"/>
          <w:szCs w:val="16"/>
          <w:u w:val="single" w:color="auto"/>
          <w:color w:val="auto"/>
        </w:rPr>
        <w:t>30</w:t>
      </w:r>
      <w:r>
        <w:rPr>
          <w:rFonts w:ascii="Arial" w:cs="Arial" w:eastAsia="Arial" w:hAnsi="Arial"/>
          <w:sz w:val="16"/>
          <w:szCs w:val="16"/>
          <w:color w:val="auto"/>
        </w:rPr>
        <w:t xml:space="preserve"> %.</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If the loan is not used in accordance with the purpose agreed herein, the penalty interest rate will be calculated and the loan execution interest rate applied on the penalty interest date shall be charged plus </w:t>
      </w:r>
      <w:r>
        <w:rPr>
          <w:rFonts w:ascii="Arial" w:cs="Arial" w:eastAsia="Arial" w:hAnsi="Arial"/>
          <w:sz w:val="18"/>
          <w:szCs w:val="18"/>
          <w:u w:val="single" w:color="auto"/>
          <w:color w:val="auto"/>
        </w:rPr>
        <w:t>50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8"/>
        <w:spacing w:after="0" w:line="277" w:lineRule="auto"/>
        <w:tabs>
          <w:tab w:leader="none" w:pos="18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drawdown period of the loan under the Contract is from </w:t>
      </w:r>
      <w:r>
        <w:rPr>
          <w:rFonts w:ascii="Arial" w:cs="Arial" w:eastAsia="Arial" w:hAnsi="Arial"/>
          <w:sz w:val="18"/>
          <w:szCs w:val="18"/>
          <w:u w:val="single" w:color="auto"/>
          <w:color w:val="auto"/>
        </w:rPr>
        <w:t>March 25, 2021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March 31, 2021</w:t>
      </w:r>
      <w:r>
        <w:rPr>
          <w:rFonts w:ascii="Arial" w:cs="Arial" w:eastAsia="Arial" w:hAnsi="Arial"/>
          <w:sz w:val="18"/>
          <w:szCs w:val="18"/>
          <w:color w:val="auto"/>
        </w:rPr>
        <w:t xml:space="preserve">. The first withdrawal shall be made before </w:t>
      </w:r>
      <w:r>
        <w:rPr>
          <w:rFonts w:ascii="Arial" w:cs="Arial" w:eastAsia="Arial" w:hAnsi="Arial"/>
          <w:sz w:val="18"/>
          <w:szCs w:val="18"/>
          <w:u w:val="single" w:color="auto"/>
          <w:color w:val="auto"/>
        </w:rPr>
        <w:t>March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2021</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withdrawal plan for the loan under this Contract is as follows (please select√ in the box below, tick X if you do not select)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spacing w:after="0" w:line="219" w:lineRule="exact"/>
              <w:rPr>
                <w:sz w:val="20"/>
                <w:szCs w:val="20"/>
                <w:color w:val="auto"/>
              </w:rPr>
            </w:pPr>
            <w:r>
              <w:rPr>
                <w:rFonts w:ascii="Arial" w:cs="Arial" w:eastAsia="Arial" w:hAnsi="Arial"/>
                <w:sz w:val="18"/>
                <w:szCs w:val="18"/>
                <w:color w:val="auto"/>
              </w:rPr>
              <w:t>the withdrawal plan is shown in the table below</w:t>
            </w:r>
            <w:r>
              <w:rPr>
                <w:rFonts w:ascii="SimSun" w:cs="SimSun" w:eastAsia="SimSun" w:hAnsi="SimSun"/>
                <w:sz w:val="18"/>
                <w:szCs w:val="18"/>
                <w:color w:val="auto"/>
              </w:rPr>
              <w:t>：</w:t>
            </w:r>
          </w:p>
        </w:tc>
        <w:tc>
          <w:tcPr>
            <w:tcW w:w="4820" w:type="dxa"/>
            <w:vAlign w:val="bottom"/>
          </w:tcPr>
          <w:p>
            <w:pPr>
              <w:spacing w:after="0"/>
              <w:rPr>
                <w:sz w:val="20"/>
                <w:szCs w:val="20"/>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NO</w:t>
            </w:r>
          </w:p>
        </w:tc>
        <w:tc>
          <w:tcPr>
            <w:tcW w:w="5280" w:type="dxa"/>
            <w:vAlign w:val="bottom"/>
            <w:gridSpan w:val="3"/>
          </w:tcPr>
          <w:p>
            <w:pPr>
              <w:ind w:left="240"/>
              <w:spacing w:after="0"/>
              <w:rPr>
                <w:sz w:val="20"/>
                <w:szCs w:val="20"/>
                <w:color w:val="auto"/>
              </w:rPr>
            </w:pPr>
            <w:r>
              <w:rPr>
                <w:rFonts w:ascii="Arial" w:cs="Arial" w:eastAsia="Arial" w:hAnsi="Arial"/>
                <w:sz w:val="18"/>
                <w:szCs w:val="18"/>
                <w:color w:val="auto"/>
              </w:rPr>
              <w:t>The withdrawal date</w:t>
            </w:r>
          </w:p>
        </w:tc>
        <w:tc>
          <w:tcPr>
            <w:tcW w:w="4820" w:type="dxa"/>
            <w:vAlign w:val="bottom"/>
          </w:tcPr>
          <w:p>
            <w:pPr>
              <w:spacing w:after="0"/>
              <w:rPr>
                <w:sz w:val="20"/>
                <w:szCs w:val="20"/>
                <w:color w:val="auto"/>
              </w:rPr>
            </w:pPr>
            <w:r>
              <w:rPr>
                <w:rFonts w:ascii="Arial" w:cs="Arial" w:eastAsia="Arial" w:hAnsi="Arial"/>
                <w:sz w:val="18"/>
                <w:szCs w:val="18"/>
                <w:color w:val="auto"/>
              </w:rPr>
              <w:t>On withdrawals</w:t>
            </w:r>
          </w:p>
        </w:tc>
      </w:tr>
      <w:tr>
        <w:trPr>
          <w:trHeight w:val="23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25, 2021</w:t>
            </w:r>
          </w:p>
        </w:tc>
        <w:tc>
          <w:tcPr>
            <w:tcW w:w="22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10million</w:t>
            </w:r>
          </w:p>
        </w:tc>
      </w:tr>
    </w:tbl>
    <w:p>
      <w:pPr>
        <w:spacing w:after="0" w:line="187" w:lineRule="exact"/>
        <w:rPr>
          <w:sz w:val="20"/>
          <w:szCs w:val="20"/>
          <w:color w:val="auto"/>
        </w:rPr>
      </w:pPr>
    </w:p>
    <w:p>
      <w:pPr>
        <w:ind w:left="200" w:hanging="192"/>
        <w:spacing w:after="0"/>
        <w:tabs>
          <w:tab w:leader="none" w:pos="200" w:val="left"/>
        </w:tabs>
        <w:numPr>
          <w:ilvl w:val="0"/>
          <w:numId w:val="214"/>
        </w:numPr>
        <w:rPr>
          <w:rFonts w:ascii="MS PGothic" w:cs="MS PGothic" w:eastAsia="MS PGothic" w:hAnsi="MS PGothic"/>
          <w:sz w:val="18"/>
          <w:szCs w:val="18"/>
          <w:color w:val="auto"/>
        </w:rPr>
      </w:pPr>
      <w:r>
        <w:rPr>
          <w:rFonts w:ascii="Arial" w:cs="Arial" w:eastAsia="Arial" w:hAnsi="Arial"/>
          <w:sz w:val="18"/>
          <w:szCs w:val="18"/>
          <w:color w:val="auto"/>
        </w:rPr>
        <w:t xml:space="preserve">Other withdrawal plans: </w:t>
      </w:r>
      <w:r>
        <w:rPr>
          <w:rFonts w:ascii="Arial" w:cs="Arial" w:eastAsia="Arial" w:hAnsi="Arial"/>
          <w:sz w:val="18"/>
          <w:szCs w:val="18"/>
          <w:u w:val="single" w:color="auto"/>
          <w:color w:val="auto"/>
        </w:rPr>
        <w:t>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w w:val="91"/>
              </w:rPr>
              <w:t>10. The repayment plan of the loan under this Contract is as follows (Please tick R</w:t>
            </w:r>
          </w:p>
        </w:tc>
        <w:tc>
          <w:tcPr>
            <w:tcW w:w="5260" w:type="dxa"/>
            <w:vAlign w:val="bottom"/>
            <w:gridSpan w:val="3"/>
          </w:tcPr>
          <w:p>
            <w:pPr>
              <w:ind w:left="60"/>
              <w:spacing w:after="0"/>
              <w:rPr>
                <w:sz w:val="20"/>
                <w:szCs w:val="20"/>
                <w:color w:val="auto"/>
              </w:rPr>
            </w:pPr>
            <w:r>
              <w:rPr>
                <w:rFonts w:ascii="Arial" w:cs="Arial" w:eastAsia="Arial" w:hAnsi="Arial"/>
                <w:sz w:val="18"/>
                <w:szCs w:val="18"/>
                <w:color w:val="auto"/>
              </w:rPr>
              <w:t>in the box below, if not, tick x)</w:t>
            </w: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NO</w:t>
            </w:r>
          </w:p>
        </w:tc>
        <w:tc>
          <w:tcPr>
            <w:tcW w:w="4840" w:type="dxa"/>
            <w:vAlign w:val="bottom"/>
            <w:gridSpan w:val="2"/>
          </w:tcPr>
          <w:p>
            <w:pPr>
              <w:ind w:left="240"/>
              <w:spacing w:after="0"/>
              <w:rPr>
                <w:sz w:val="20"/>
                <w:szCs w:val="20"/>
                <w:color w:val="auto"/>
              </w:rPr>
            </w:pPr>
            <w:r>
              <w:rPr>
                <w:rFonts w:ascii="Arial" w:cs="Arial" w:eastAsia="Arial" w:hAnsi="Arial"/>
                <w:sz w:val="18"/>
                <w:szCs w:val="18"/>
                <w:color w:val="auto"/>
              </w:rPr>
              <w:t>Repayment date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Reimbursement amount</w:t>
            </w:r>
          </w:p>
        </w:tc>
      </w:tr>
      <w:tr>
        <w:trPr>
          <w:trHeight w:val="23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10million</w:t>
            </w:r>
          </w:p>
        </w:tc>
      </w:tr>
    </w:tbl>
    <w:p>
      <w:pPr>
        <w:spacing w:after="0" w:line="187" w:lineRule="exact"/>
        <w:rPr>
          <w:sz w:val="20"/>
          <w:szCs w:val="20"/>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Liquidated damages for loan repayment in advance; Equivalent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the actual amount of loan repaid in advance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principal amount of loan repayment in advance shall not be less than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currency) </w:t>
      </w:r>
      <w:r>
        <w:rPr>
          <w:rFonts w:ascii="Arial" w:cs="Arial" w:eastAsia="Arial" w:hAnsi="Arial"/>
          <w:sz w:val="18"/>
          <w:szCs w:val="18"/>
          <w:u w:val="single" w:color="auto"/>
          <w:color w:val="auto"/>
        </w:rPr>
        <w:t>0</w:t>
      </w:r>
    </w:p>
    <w:p>
      <w:pPr>
        <w:spacing w:after="0" w:line="225" w:lineRule="exact"/>
        <w:rPr>
          <w:rFonts w:ascii="Arial" w:cs="Arial" w:eastAsia="Arial" w:hAnsi="Arial"/>
          <w:sz w:val="18"/>
          <w:szCs w:val="18"/>
          <w:color w:val="auto"/>
        </w:rPr>
      </w:pPr>
    </w:p>
    <w:p>
      <w:pPr>
        <w:ind w:firstLine="8"/>
        <w:spacing w:after="0" w:line="277" w:lineRule="auto"/>
        <w:tabs>
          <w:tab w:leader="none" w:pos="26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Account opening (select one of the following modes for RMB loans, select the special account mode for foreign currency loans, and mark X for those not selected)</w:t>
      </w:r>
    </w:p>
    <w:p>
      <w:pPr>
        <w:spacing w:after="0" w:line="163"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R </w:t>
      </w:r>
      <w:r>
        <w:rPr>
          <w:rFonts w:ascii="Arial" w:cs="Arial" w:eastAsia="Arial" w:hAnsi="Arial"/>
          <w:sz w:val="17"/>
          <w:szCs w:val="17"/>
          <w:color w:val="auto"/>
        </w:rPr>
        <w:t>Unsegregated account mode</w:t>
      </w:r>
      <w:r>
        <w:rPr>
          <w:rFonts w:ascii="SimSun" w:cs="SimSun" w:eastAsia="SimSun" w:hAnsi="SimSun"/>
          <w:sz w:val="17"/>
          <w:szCs w:val="17"/>
          <w:color w:val="auto"/>
        </w:rPr>
        <w:t>：</w:t>
      </w:r>
    </w:p>
    <w:p>
      <w:pPr>
        <w:spacing w:after="0" w:line="227" w:lineRule="exact"/>
        <w:rPr>
          <w:sz w:val="20"/>
          <w:szCs w:val="20"/>
          <w:color w:val="auto"/>
        </w:rPr>
      </w:pPr>
    </w:p>
    <w:p>
      <w:pPr>
        <w:ind w:left="660" w:right="5240" w:hanging="652"/>
        <w:spacing w:after="0" w:line="379" w:lineRule="exact"/>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general settlement account opened by the borrower with the lender is: Bank</w:t>
      </w:r>
      <w:r>
        <w:rPr>
          <w:rFonts w:ascii="SimSun" w:cs="SimSun" w:eastAsia="SimSun" w:hAnsi="SimSun"/>
          <w:sz w:val="16"/>
          <w:szCs w:val="16"/>
          <w:color w:val="auto"/>
        </w:rPr>
        <w:t>：</w:t>
      </w:r>
      <w:r>
        <w:rPr>
          <w:rFonts w:ascii="Arial" w:cs="Arial" w:eastAsia="Arial" w:hAnsi="Arial"/>
          <w:sz w:val="16"/>
          <w:szCs w:val="16"/>
          <w:u w:val="single" w:color="auto"/>
          <w:color w:val="auto"/>
        </w:rPr>
        <w:t>Shanghai Pudong Development Bank Co., LTD. Jinqiao Branch</w:t>
      </w:r>
      <w:r>
        <w:rPr>
          <w:rFonts w:ascii="Arial" w:cs="Arial" w:eastAsia="Arial" w:hAnsi="Arial"/>
          <w:sz w:val="16"/>
          <w:szCs w:val="16"/>
          <w:color w:val="auto"/>
        </w:rPr>
        <w:t xml:space="preserve"> Bank account name</w:t>
      </w:r>
      <w:r>
        <w:rPr>
          <w:rFonts w:ascii="SimSun" w:cs="SimSun" w:eastAsia="SimSun" w:hAnsi="SimSun"/>
          <w:sz w:val="16"/>
          <w:szCs w:val="16"/>
          <w:color w:val="auto"/>
        </w:rPr>
        <w:t>：</w:t>
      </w:r>
      <w:r>
        <w:rPr>
          <w:rFonts w:ascii="Arial" w:cs="Arial" w:eastAsia="Arial" w:hAnsi="Arial"/>
          <w:sz w:val="16"/>
          <w:szCs w:val="16"/>
          <w:u w:val="single" w:color="auto"/>
          <w:color w:val="auto"/>
        </w:rPr>
        <w:t>ChinaLink Professional Services Co., Ltd.</w:t>
      </w:r>
    </w:p>
    <w:p>
      <w:pPr>
        <w:spacing w:after="0" w:line="21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Bank account number:</w:t>
      </w:r>
      <w:r>
        <w:rPr>
          <w:rFonts w:ascii="Arial" w:cs="Arial" w:eastAsia="Arial" w:hAnsi="Arial"/>
          <w:sz w:val="18"/>
          <w:szCs w:val="18"/>
          <w:u w:val="single" w:color="auto"/>
          <w:color w:val="auto"/>
        </w:rPr>
        <w:t>98840078801600002917</w:t>
      </w:r>
    </w:p>
    <w:p>
      <w:pPr>
        <w:spacing w:after="0" w:line="225" w:lineRule="exact"/>
        <w:rPr>
          <w:rFonts w:ascii="Arial" w:cs="Arial" w:eastAsia="Arial" w:hAnsi="Arial"/>
          <w:sz w:val="16"/>
          <w:szCs w:val="16"/>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borrower’s fund recovery account opened with the lender is:</w:t>
      </w:r>
    </w:p>
    <w:p>
      <w:pPr>
        <w:spacing w:after="0" w:line="238" w:lineRule="exact"/>
        <w:rPr>
          <w:rFonts w:ascii="Arial" w:cs="Arial" w:eastAsia="Arial" w:hAnsi="Arial"/>
          <w:sz w:val="18"/>
          <w:szCs w:val="18"/>
          <w:color w:val="auto"/>
        </w:rPr>
      </w:pPr>
    </w:p>
    <w:p>
      <w:pPr>
        <w:ind w:left="660"/>
        <w:spacing w:after="0" w:line="219" w:lineRule="exact"/>
        <w:rPr>
          <w:rFonts w:ascii="Arial" w:cs="Arial" w:eastAsia="Arial" w:hAnsi="Arial"/>
          <w:sz w:val="18"/>
          <w:szCs w:val="18"/>
          <w:color w:val="auto"/>
        </w:rPr>
      </w:pPr>
      <w:r>
        <w:rPr>
          <w:rFonts w:ascii="Arial" w:cs="Arial" w:eastAsia="Arial" w:hAnsi="Arial"/>
          <w:sz w:val="18"/>
          <w:szCs w:val="18"/>
          <w:color w:val="auto"/>
        </w:rPr>
        <w:t>Bank</w:t>
      </w:r>
      <w:r>
        <w:rPr>
          <w:rFonts w:ascii="SimSun" w:cs="SimSun" w:eastAsia="SimSun" w:hAnsi="SimSun"/>
          <w:sz w:val="18"/>
          <w:szCs w:val="18"/>
          <w:color w:val="auto"/>
        </w:rPr>
        <w:t>：</w:t>
      </w:r>
      <w:r>
        <w:rPr>
          <w:rFonts w:ascii="Arial" w:cs="Arial" w:eastAsia="Arial" w:hAnsi="Arial"/>
          <w:sz w:val="18"/>
          <w:szCs w:val="18"/>
          <w:u w:val="single" w:color="auto"/>
          <w:color w:val="auto"/>
        </w:rPr>
        <w:t>Shanghai Pudong Development Bank Co., LTD. Jinqiao Branch</w:t>
      </w:r>
    </w:p>
    <w:p>
      <w:pPr>
        <w:spacing w:after="0" w:line="240" w:lineRule="exact"/>
        <w:rPr>
          <w:rFonts w:ascii="Arial" w:cs="Arial" w:eastAsia="Arial" w:hAnsi="Arial"/>
          <w:sz w:val="18"/>
          <w:szCs w:val="18"/>
          <w:color w:val="auto"/>
        </w:rPr>
      </w:pPr>
    </w:p>
    <w:p>
      <w:pPr>
        <w:ind w:left="660" w:right="5940"/>
        <w:spacing w:after="0" w:line="338" w:lineRule="exact"/>
        <w:rPr>
          <w:rFonts w:ascii="Arial" w:cs="Arial" w:eastAsia="Arial" w:hAnsi="Arial"/>
          <w:sz w:val="18"/>
          <w:szCs w:val="18"/>
          <w:color w:val="auto"/>
        </w:rPr>
      </w:pPr>
      <w:r>
        <w:rPr>
          <w:rFonts w:ascii="Arial" w:cs="Arial" w:eastAsia="Arial" w:hAnsi="Arial"/>
          <w:sz w:val="18"/>
          <w:szCs w:val="18"/>
          <w:color w:val="auto"/>
        </w:rPr>
        <w:t>Bank account name</w:t>
      </w:r>
      <w:r>
        <w:rPr>
          <w:rFonts w:ascii="SimSun" w:cs="SimSun" w:eastAsia="SimSun" w:hAnsi="SimSun"/>
          <w:sz w:val="18"/>
          <w:szCs w:val="18"/>
          <w:color w:val="auto"/>
        </w:rPr>
        <w:t>：</w:t>
      </w:r>
      <w:r>
        <w:rPr>
          <w:rFonts w:ascii="Arial" w:cs="Arial" w:eastAsia="Arial" w:hAnsi="Arial"/>
          <w:sz w:val="18"/>
          <w:szCs w:val="18"/>
          <w:u w:val="single" w:color="auto"/>
          <w:color w:val="auto"/>
        </w:rPr>
        <w:t>ChinaLink Professional Services Co., Ltd.</w:t>
      </w:r>
      <w:r>
        <w:rPr>
          <w:rFonts w:ascii="Arial" w:cs="Arial" w:eastAsia="Arial" w:hAnsi="Arial"/>
          <w:sz w:val="18"/>
          <w:szCs w:val="18"/>
          <w:color w:val="auto"/>
        </w:rPr>
        <w:t xml:space="preserve"> Bank account number:</w:t>
      </w:r>
      <w:r>
        <w:rPr>
          <w:rFonts w:ascii="Arial" w:cs="Arial" w:eastAsia="Arial" w:hAnsi="Arial"/>
          <w:sz w:val="18"/>
          <w:szCs w:val="18"/>
          <w:u w:val="single" w:color="auto"/>
          <w:color w:val="auto"/>
        </w:rPr>
        <w:t>98840078801600002917</w:t>
      </w:r>
    </w:p>
    <w:p>
      <w:pPr>
        <w:spacing w:after="0" w:line="170"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Special Account mode</w:t>
      </w:r>
    </w:p>
    <w:p>
      <w:pPr>
        <w:spacing w:after="0" w:line="257" w:lineRule="exact"/>
        <w:rPr>
          <w:sz w:val="20"/>
          <w:szCs w:val="20"/>
          <w:color w:val="auto"/>
        </w:rPr>
      </w:pPr>
    </w:p>
    <w:p>
      <w:pPr>
        <w:ind w:left="660" w:right="4280" w:hanging="652"/>
        <w:spacing w:after="0" w:line="338" w:lineRule="exact"/>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special account for working capital loan opened by the borrower with the lender is: Bank</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_______/_______ .</w:t>
      </w:r>
    </w:p>
    <w:p>
      <w:pPr>
        <w:spacing w:after="0" w:line="229" w:lineRule="exact"/>
        <w:rPr>
          <w:rFonts w:ascii="Arial" w:cs="Arial" w:eastAsia="Arial" w:hAnsi="Arial"/>
          <w:sz w:val="18"/>
          <w:szCs w:val="18"/>
          <w:color w:val="auto"/>
        </w:rPr>
      </w:pPr>
    </w:p>
    <w:p>
      <w:pPr>
        <w:jc w:val="both"/>
        <w:ind w:left="660" w:right="7460"/>
        <w:spacing w:after="0" w:line="338" w:lineRule="exact"/>
        <w:rPr>
          <w:rFonts w:ascii="Arial" w:cs="Arial" w:eastAsia="Arial" w:hAnsi="Arial"/>
          <w:sz w:val="18"/>
          <w:szCs w:val="18"/>
          <w:color w:val="auto"/>
        </w:rPr>
      </w:pPr>
      <w:r>
        <w:rPr>
          <w:rFonts w:ascii="Arial" w:cs="Arial" w:eastAsia="Arial" w:hAnsi="Arial"/>
          <w:sz w:val="16"/>
          <w:szCs w:val="16"/>
          <w:color w:val="auto"/>
        </w:rPr>
        <w:t>Bank account name</w:t>
      </w:r>
      <w:r>
        <w:rPr>
          <w:rFonts w:ascii="SimSun" w:cs="SimSun" w:eastAsia="SimSun" w:hAnsi="SimSun"/>
          <w:sz w:val="16"/>
          <w:szCs w:val="16"/>
          <w:color w:val="auto"/>
        </w:rPr>
        <w:t>：</w:t>
      </w:r>
      <w:r>
        <w:rPr>
          <w:rFonts w:ascii="Arial" w:cs="Arial" w:eastAsia="Arial" w:hAnsi="Arial"/>
          <w:sz w:val="16"/>
          <w:szCs w:val="16"/>
          <w:color w:val="auto"/>
        </w:rPr>
        <w:t xml:space="preserve">______ </w:t>
      </w:r>
      <w:r>
        <w:rPr>
          <w:rFonts w:ascii="Arial" w:cs="Arial" w:eastAsia="Arial" w:hAnsi="Arial"/>
          <w:sz w:val="16"/>
          <w:szCs w:val="16"/>
          <w:u w:val="single" w:color="auto"/>
          <w:color w:val="auto"/>
        </w:rPr>
        <w:t>/_________</w:t>
      </w:r>
      <w:r>
        <w:rPr>
          <w:rFonts w:ascii="Arial" w:cs="Arial" w:eastAsia="Arial" w:hAnsi="Arial"/>
          <w:sz w:val="16"/>
          <w:szCs w:val="16"/>
          <w:color w:val="auto"/>
        </w:rPr>
        <w:t xml:space="preserve"> . Bank account number: _____</w:t>
      </w:r>
      <w:r>
        <w:rPr>
          <w:rFonts w:ascii="Arial" w:cs="Arial" w:eastAsia="Arial" w:hAnsi="Arial"/>
          <w:sz w:val="16"/>
          <w:szCs w:val="16"/>
          <w:u w:val="single" w:color="auto"/>
          <w:color w:val="auto"/>
        </w:rPr>
        <w:t>/_________</w:t>
      </w:r>
      <w:r>
        <w:rPr>
          <w:rFonts w:ascii="Arial" w:cs="Arial" w:eastAsia="Arial" w:hAnsi="Arial"/>
          <w:sz w:val="16"/>
          <w:szCs w:val="16"/>
          <w:color w:val="auto"/>
        </w:rPr>
        <w:t xml:space="preserve"> .</w:t>
      </w:r>
    </w:p>
    <w:p>
      <w:pPr>
        <w:spacing w:after="0" w:line="202" w:lineRule="exact"/>
        <w:rPr>
          <w:rFonts w:ascii="Arial" w:cs="Arial" w:eastAsia="Arial" w:hAnsi="Arial"/>
          <w:sz w:val="18"/>
          <w:szCs w:val="18"/>
          <w:color w:val="auto"/>
        </w:rPr>
      </w:pPr>
    </w:p>
    <w:p>
      <w:pPr>
        <w:ind w:left="660" w:right="5240" w:hanging="652"/>
        <w:spacing w:after="0" w:line="338" w:lineRule="exact"/>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general settlement account opened by the borrower with the lender is: Bank</w:t>
      </w:r>
      <w:r>
        <w:rPr>
          <w:rFonts w:ascii="SimSun" w:cs="SimSun" w:eastAsia="SimSun" w:hAnsi="SimSun"/>
          <w:sz w:val="18"/>
          <w:szCs w:val="18"/>
          <w:color w:val="auto"/>
        </w:rPr>
        <w:t>：</w:t>
      </w:r>
      <w:r>
        <w:rPr>
          <w:rFonts w:ascii="Arial" w:cs="Arial" w:eastAsia="Arial" w:hAnsi="Arial"/>
          <w:sz w:val="18"/>
          <w:szCs w:val="18"/>
          <w:color w:val="auto"/>
        </w:rPr>
        <w:t xml:space="preserve"> ______</w:t>
      </w:r>
      <w:r>
        <w:rPr>
          <w:rFonts w:ascii="Arial" w:cs="Arial" w:eastAsia="Arial" w:hAnsi="Arial"/>
          <w:sz w:val="18"/>
          <w:szCs w:val="18"/>
          <w:u w:val="single" w:color="auto"/>
          <w:color w:val="auto"/>
        </w:rPr>
        <w:t>/________ .</w:t>
      </w:r>
    </w:p>
    <w:p>
      <w:pPr>
        <w:spacing w:after="0" w:line="229" w:lineRule="exact"/>
        <w:rPr>
          <w:rFonts w:ascii="Arial" w:cs="Arial" w:eastAsia="Arial" w:hAnsi="Arial"/>
          <w:sz w:val="18"/>
          <w:szCs w:val="18"/>
          <w:color w:val="auto"/>
        </w:rPr>
      </w:pPr>
    </w:p>
    <w:p>
      <w:pPr>
        <w:ind w:left="660" w:right="7200"/>
        <w:spacing w:after="0" w:line="338" w:lineRule="exact"/>
        <w:rPr>
          <w:rFonts w:ascii="Arial" w:cs="Arial" w:eastAsia="Arial" w:hAnsi="Arial"/>
          <w:sz w:val="18"/>
          <w:szCs w:val="18"/>
          <w:color w:val="auto"/>
        </w:rPr>
      </w:pPr>
      <w:r>
        <w:rPr>
          <w:rFonts w:ascii="Arial" w:cs="Arial" w:eastAsia="Arial" w:hAnsi="Arial"/>
          <w:sz w:val="16"/>
          <w:szCs w:val="16"/>
          <w:color w:val="auto"/>
        </w:rPr>
        <w:t>Bank account name</w:t>
      </w:r>
      <w:r>
        <w:rPr>
          <w:rFonts w:ascii="SimSun" w:cs="SimSun" w:eastAsia="SimSun" w:hAnsi="SimSun"/>
          <w:sz w:val="16"/>
          <w:szCs w:val="16"/>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______/ _________</w:t>
      </w:r>
      <w:r>
        <w:rPr>
          <w:rFonts w:ascii="Arial" w:cs="Arial" w:eastAsia="Arial" w:hAnsi="Arial"/>
          <w:sz w:val="16"/>
          <w:szCs w:val="16"/>
          <w:color w:val="auto"/>
        </w:rPr>
        <w:t xml:space="preserve"> . Bank account number: </w:t>
      </w:r>
      <w:r>
        <w:rPr>
          <w:rFonts w:ascii="Arial" w:cs="Arial" w:eastAsia="Arial" w:hAnsi="Arial"/>
          <w:sz w:val="16"/>
          <w:szCs w:val="16"/>
          <w:u w:val="single" w:color="auto"/>
          <w:color w:val="auto"/>
        </w:rPr>
        <w:t>______/ ___________</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660" w:right="5820" w:hanging="652"/>
        <w:spacing w:after="0" w:line="338" w:lineRule="exact"/>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Borrower’s fund recovery account opened with the Lender is: Bank</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______________/____ .</w:t>
      </w:r>
    </w:p>
    <w:p>
      <w:pPr>
        <w:spacing w:after="0" w:line="229" w:lineRule="exact"/>
        <w:rPr>
          <w:rFonts w:ascii="Arial" w:cs="Arial" w:eastAsia="Arial" w:hAnsi="Arial"/>
          <w:sz w:val="18"/>
          <w:szCs w:val="18"/>
          <w:color w:val="auto"/>
        </w:rPr>
      </w:pPr>
    </w:p>
    <w:p>
      <w:pPr>
        <w:ind w:left="660" w:right="6880"/>
        <w:spacing w:after="0" w:line="338" w:lineRule="exact"/>
        <w:rPr>
          <w:rFonts w:ascii="Arial" w:cs="Arial" w:eastAsia="Arial" w:hAnsi="Arial"/>
          <w:sz w:val="18"/>
          <w:szCs w:val="18"/>
          <w:color w:val="auto"/>
        </w:rPr>
      </w:pPr>
      <w:r>
        <w:rPr>
          <w:rFonts w:ascii="Arial" w:cs="Arial" w:eastAsia="Arial" w:hAnsi="Arial"/>
          <w:sz w:val="16"/>
          <w:szCs w:val="16"/>
          <w:color w:val="auto"/>
        </w:rPr>
        <w:t>Bank account name</w:t>
      </w:r>
      <w:r>
        <w:rPr>
          <w:rFonts w:ascii="SimSun" w:cs="SimSun" w:eastAsia="SimSun" w:hAnsi="SimSun"/>
          <w:sz w:val="16"/>
          <w:szCs w:val="16"/>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___________/ _________</w:t>
      </w:r>
      <w:r>
        <w:rPr>
          <w:rFonts w:ascii="Arial" w:cs="Arial" w:eastAsia="Arial" w:hAnsi="Arial"/>
          <w:sz w:val="16"/>
          <w:szCs w:val="16"/>
          <w:color w:val="auto"/>
        </w:rPr>
        <w:t xml:space="preserve">. Bank account number: </w:t>
      </w:r>
      <w:r>
        <w:rPr>
          <w:rFonts w:ascii="Arial" w:cs="Arial" w:eastAsia="Arial" w:hAnsi="Arial"/>
          <w:sz w:val="16"/>
          <w:szCs w:val="16"/>
          <w:u w:val="single" w:color="auto"/>
          <w:color w:val="auto"/>
        </w:rPr>
        <w:t>__________/___________</w:t>
      </w:r>
      <w:r>
        <w:rPr>
          <w:rFonts w:ascii="Arial" w:cs="Arial" w:eastAsia="Arial" w:hAnsi="Arial"/>
          <w:sz w:val="16"/>
          <w:szCs w:val="16"/>
          <w:color w:val="auto"/>
        </w:rPr>
        <w:t xml:space="preserve"> .</w:t>
      </w:r>
    </w:p>
    <w:p>
      <w:pPr>
        <w:spacing w:after="0" w:line="202" w:lineRule="exact"/>
        <w:rPr>
          <w:rFonts w:ascii="Arial" w:cs="Arial" w:eastAsia="Arial" w:hAnsi="Arial"/>
          <w:sz w:val="18"/>
          <w:szCs w:val="18"/>
          <w:color w:val="auto"/>
        </w:rPr>
      </w:pPr>
    </w:p>
    <w:p>
      <w:pPr>
        <w:ind w:left="960" w:hanging="304"/>
        <w:spacing w:after="0"/>
        <w:tabs>
          <w:tab w:leader="none" w:pos="96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Entrusted Payment by the Lender: if the payment object is clear and the single managed payment amount exceeds (currency amount)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 the loan fund payment, the entrusted payment method of the Lender shall be</w:t>
      </w:r>
    </w:p>
    <w:p>
      <w:pPr>
        <w:spacing w:after="0" w:line="224" w:lineRule="exact"/>
        <w:rPr>
          <w:rFonts w:ascii="Arial" w:cs="Arial" w:eastAsia="Arial" w:hAnsi="Arial"/>
          <w:sz w:val="17"/>
          <w:szCs w:val="17"/>
          <w:color w:val="auto"/>
        </w:rPr>
      </w:pPr>
    </w:p>
    <w:p>
      <w:pPr>
        <w:ind w:left="920" w:hanging="264"/>
        <w:spacing w:after="0" w:line="219" w:lineRule="exact"/>
        <w:tabs>
          <w:tab w:leader="none" w:pos="9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guarantors and security contracts providing security for the debt hereunder include but are not limited to</w:t>
      </w:r>
      <w:r>
        <w:rPr>
          <w:rFonts w:ascii="SimSun" w:cs="SimSun" w:eastAsia="SimSun" w:hAnsi="SimSun"/>
          <w:sz w:val="18"/>
          <w:szCs w:val="18"/>
          <w:color w:val="auto"/>
        </w:rPr>
        <w:t>：</w:t>
      </w:r>
    </w:p>
    <w:p>
      <w:pPr>
        <w:spacing w:after="0" w:line="208" w:lineRule="exact"/>
        <w:rPr>
          <w:sz w:val="20"/>
          <w:szCs w:val="20"/>
          <w:color w:val="auto"/>
        </w:rPr>
      </w:pPr>
    </w:p>
    <w:p>
      <w:pPr>
        <w:ind w:left="840" w:hanging="184"/>
        <w:spacing w:after="0" w:line="219" w:lineRule="exact"/>
        <w:tabs>
          <w:tab w:leader="none" w:pos="84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 xml:space="preserve">The guarantor </w:t>
      </w:r>
      <w:r>
        <w:rPr>
          <w:rFonts w:ascii="Arial" w:cs="Arial" w:eastAsia="Arial" w:hAnsi="Arial"/>
          <w:sz w:val="18"/>
          <w:szCs w:val="18"/>
          <w:u w:val="single" w:color="auto"/>
          <w:color w:val="auto"/>
        </w:rPr>
        <w:t>______/___</w:t>
      </w:r>
      <w:r>
        <w:rPr>
          <w:rFonts w:ascii="Arial" w:cs="Arial" w:eastAsia="Arial" w:hAnsi="Arial"/>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guaranty contract</w:t>
      </w:r>
      <w:r>
        <w:rPr>
          <w:rFonts w:ascii="SimSun" w:cs="SimSun" w:eastAsia="SimSun" w:hAnsi="SimSun"/>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40" w:lineRule="exact"/>
        <w:rPr>
          <w:rFonts w:ascii="MS PGothic" w:cs="MS PGothic" w:eastAsia="MS PGothic" w:hAnsi="MS PGothic"/>
          <w:sz w:val="18"/>
          <w:szCs w:val="18"/>
          <w:color w:val="auto"/>
        </w:rPr>
      </w:pPr>
    </w:p>
    <w:p>
      <w:pPr>
        <w:ind w:left="840" w:hanging="184"/>
        <w:spacing w:after="0" w:line="219" w:lineRule="exact"/>
        <w:tabs>
          <w:tab w:leader="none" w:pos="84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The mortgagor ______</w:t>
      </w:r>
      <w:r>
        <w:rPr>
          <w:rFonts w:ascii="Arial" w:cs="Arial" w:eastAsia="Arial" w:hAnsi="Arial"/>
          <w:sz w:val="18"/>
          <w:szCs w:val="18"/>
          <w:u w:val="single" w:color="auto"/>
          <w:color w:val="auto"/>
        </w:rPr>
        <w:t>/_____</w:t>
      </w:r>
      <w:r>
        <w:rPr>
          <w:rFonts w:ascii="Arial" w:cs="Arial" w:eastAsia="Arial" w:hAnsi="Arial"/>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Mortgage contract</w:t>
      </w:r>
      <w:r>
        <w:rPr>
          <w:rFonts w:ascii="SimSun" w:cs="SimSun" w:eastAsia="SimSun" w:hAnsi="SimSun"/>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40" w:lineRule="exact"/>
        <w:rPr>
          <w:rFonts w:ascii="MS PGothic" w:cs="MS PGothic" w:eastAsia="MS PGothic" w:hAnsi="MS PGothic"/>
          <w:sz w:val="18"/>
          <w:szCs w:val="18"/>
          <w:color w:val="auto"/>
        </w:rPr>
      </w:pPr>
    </w:p>
    <w:p>
      <w:pPr>
        <w:ind w:left="840" w:hanging="184"/>
        <w:spacing w:after="0" w:line="219" w:lineRule="exact"/>
        <w:tabs>
          <w:tab w:leader="none" w:pos="84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 xml:space="preserve">The pledger </w:t>
      </w:r>
      <w:r>
        <w:rPr>
          <w:rFonts w:ascii="Arial" w:cs="Arial" w:eastAsia="Arial" w:hAnsi="Arial"/>
          <w:sz w:val="18"/>
          <w:szCs w:val="18"/>
          <w:u w:val="single" w:color="auto"/>
          <w:color w:val="auto"/>
        </w:rPr>
        <w:t>______/______</w:t>
      </w:r>
      <w:r>
        <w:rPr>
          <w:rFonts w:ascii="Arial" w:cs="Arial" w:eastAsia="Arial" w:hAnsi="Arial"/>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Pledger contract</w:t>
      </w:r>
      <w:r>
        <w:rPr>
          <w:rFonts w:ascii="SimSun" w:cs="SimSun" w:eastAsia="SimSun" w:hAnsi="SimSun"/>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73" w:lineRule="exact"/>
        <w:rPr>
          <w:rFonts w:ascii="MS PGothic" w:cs="MS PGothic" w:eastAsia="MS PGothic" w:hAnsi="MS PGothic"/>
          <w:sz w:val="18"/>
          <w:szCs w:val="18"/>
          <w:color w:val="auto"/>
        </w:rPr>
      </w:pPr>
    </w:p>
    <w:p>
      <w:pPr>
        <w:ind w:left="840" w:hanging="184"/>
        <w:spacing w:after="0" w:line="219" w:lineRule="exact"/>
        <w:tabs>
          <w:tab w:leader="none" w:pos="84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 xml:space="preserve">Other guarantee </w:t>
      </w:r>
      <w:r>
        <w:rPr>
          <w:rFonts w:ascii="Arial" w:cs="Arial" w:eastAsia="Arial" w:hAnsi="Arial"/>
          <w:sz w:val="18"/>
          <w:szCs w:val="18"/>
          <w:u w:val="single" w:color="auto"/>
          <w:color w:val="auto"/>
        </w:rPr>
        <w:t>______/_________</w:t>
      </w:r>
      <w:r>
        <w:rPr>
          <w:rFonts w:ascii="Arial" w:cs="Arial" w:eastAsia="Arial" w:hAnsi="Arial"/>
          <w:sz w:val="18"/>
          <w:szCs w:val="18"/>
          <w:color w:val="auto"/>
        </w:rPr>
        <w:t xml:space="preserve"> </w:t>
      </w:r>
      <w:r>
        <w:rPr>
          <w:rFonts w:ascii="SimSun" w:cs="SimSun" w:eastAsia="SimSun" w:hAnsi="SimSun"/>
          <w:sz w:val="18"/>
          <w:szCs w:val="18"/>
          <w:color w:val="auto"/>
        </w:rPr>
        <w:t>。</w:t>
      </w:r>
    </w:p>
    <w:p>
      <w:pPr>
        <w:spacing w:after="0" w:line="227" w:lineRule="exact"/>
        <w:rPr>
          <w:sz w:val="20"/>
          <w:szCs w:val="20"/>
          <w:color w:val="auto"/>
        </w:rPr>
      </w:pPr>
    </w:p>
    <w:p>
      <w:pPr>
        <w:ind w:left="920" w:hanging="264"/>
        <w:spacing w:after="0"/>
        <w:tabs>
          <w:tab w:leader="none" w:pos="9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Breach of contract liquidated damages. It is equivalent to </w:t>
      </w:r>
      <w:r>
        <w:rPr>
          <w:rFonts w:ascii="Arial" w:cs="Arial" w:eastAsia="Arial" w:hAnsi="Arial"/>
          <w:sz w:val="18"/>
          <w:szCs w:val="18"/>
          <w:u w:val="single" w:color="auto"/>
          <w:color w:val="auto"/>
        </w:rPr>
        <w:t>zero</w:t>
      </w:r>
      <w:r>
        <w:rPr>
          <w:rFonts w:ascii="Arial" w:cs="Arial" w:eastAsia="Arial" w:hAnsi="Arial"/>
          <w:sz w:val="18"/>
          <w:szCs w:val="18"/>
          <w:color w:val="auto"/>
        </w:rPr>
        <w:t xml:space="preserve"> percent of the principal amount borrowed or </w:t>
      </w:r>
      <w:r>
        <w:rPr>
          <w:rFonts w:ascii="Arial" w:cs="Arial" w:eastAsia="Arial" w:hAnsi="Arial"/>
          <w:sz w:val="18"/>
          <w:szCs w:val="18"/>
          <w:u w:val="single" w:color="auto"/>
          <w:color w:val="auto"/>
        </w:rPr>
        <w:t>_____/_______</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Annexes to this contract include:</w:t>
      </w:r>
    </w:p>
    <w:p>
      <w:pPr>
        <w:spacing w:after="0" w:line="239"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1</w:t>
      </w:r>
      <w:r>
        <w:rPr>
          <w:rFonts w:ascii="SimSun" w:cs="SimSun" w:eastAsia="SimSun" w:hAnsi="SimSun"/>
          <w:sz w:val="18"/>
          <w:szCs w:val="18"/>
          <w:color w:val="auto"/>
        </w:rPr>
        <w:t>）《</w:t>
      </w:r>
      <w:r>
        <w:rPr>
          <w:rFonts w:ascii="Arial" w:cs="Arial" w:eastAsia="Arial" w:hAnsi="Arial"/>
          <w:sz w:val="18"/>
          <w:szCs w:val="18"/>
          <w:color w:val="auto"/>
        </w:rPr>
        <w:t>Application for withdrawal</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2</w:t>
      </w:r>
      <w:r>
        <w:rPr>
          <w:rFonts w:ascii="SimSun" w:cs="SimSun" w:eastAsia="SimSun" w:hAnsi="SimSun"/>
          <w:sz w:val="18"/>
          <w:szCs w:val="18"/>
          <w:color w:val="auto"/>
        </w:rPr>
        <w:t>）《</w:t>
      </w:r>
      <w:r>
        <w:rPr>
          <w:rFonts w:ascii="Arial" w:cs="Arial" w:eastAsia="Arial" w:hAnsi="Arial"/>
          <w:sz w:val="18"/>
          <w:szCs w:val="18"/>
          <w:color w:val="auto"/>
        </w:rPr>
        <w:t xml:space="preserve"> ____________ </w:t>
      </w:r>
      <w:r>
        <w:rPr>
          <w:rFonts w:ascii="Arial" w:cs="Arial" w:eastAsia="Arial" w:hAnsi="Arial"/>
          <w:sz w:val="18"/>
          <w:szCs w:val="18"/>
          <w:u w:val="single" w:color="auto"/>
          <w:color w:val="auto"/>
        </w:rPr>
        <w:t>/</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3</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4</w:t>
      </w:r>
      <w:r>
        <w:rPr>
          <w:rFonts w:ascii="SimSun" w:cs="SimSun" w:eastAsia="SimSun" w:hAnsi="SimSun"/>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_____________/</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41" w:lineRule="exact"/>
        <w:rPr>
          <w:sz w:val="20"/>
          <w:szCs w:val="20"/>
          <w:color w:val="auto"/>
        </w:rPr>
      </w:pPr>
    </w:p>
    <w:p>
      <w:pPr>
        <w:ind w:left="660"/>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5</w:t>
      </w:r>
      <w:r>
        <w:rPr>
          <w:rFonts w:ascii="SimSun" w:cs="SimSun" w:eastAsia="SimSun" w:hAnsi="SimSun"/>
          <w:sz w:val="18"/>
          <w:szCs w:val="18"/>
          <w:color w:val="auto"/>
        </w:rPr>
        <w:t>）《</w:t>
      </w:r>
      <w:r>
        <w:rPr>
          <w:rFonts w:ascii="Arial" w:cs="Arial" w:eastAsia="Arial" w:hAnsi="Arial"/>
          <w:sz w:val="18"/>
          <w:szCs w:val="18"/>
          <w:color w:val="auto"/>
        </w:rPr>
        <w:t xml:space="preserve"> _____________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____________</w:t>
      </w:r>
      <w:r>
        <w:rPr>
          <w:rFonts w:ascii="SimSun" w:cs="SimSun" w:eastAsia="SimSun" w:hAnsi="SimSun"/>
          <w:sz w:val="18"/>
          <w:szCs w:val="18"/>
          <w:color w:val="auto"/>
        </w:rPr>
        <w:t>》</w:t>
      </w:r>
    </w:p>
    <w:p>
      <w:pPr>
        <w:spacing w:after="0" w:line="227" w:lineRule="exact"/>
        <w:rPr>
          <w:sz w:val="20"/>
          <w:szCs w:val="20"/>
          <w:color w:val="auto"/>
        </w:rPr>
      </w:pPr>
    </w:p>
    <w:p>
      <w:pPr>
        <w:ind w:left="920" w:hanging="264"/>
        <w:spacing w:after="0"/>
        <w:tabs>
          <w:tab w:leader="none" w:pos="9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Other matters agreed upon by both parties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None/_____________</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660" w:right="660" w:hanging="4"/>
        <w:spacing w:after="0" w:line="527" w:lineRule="auto"/>
        <w:tabs>
          <w:tab w:leader="none" w:pos="92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This Contract is made in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originals,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held by the borrower and </w:t>
      </w:r>
      <w:r>
        <w:rPr>
          <w:rFonts w:ascii="Arial" w:cs="Arial" w:eastAsia="Arial" w:hAnsi="Arial"/>
          <w:sz w:val="18"/>
          <w:szCs w:val="18"/>
          <w:u w:val="single" w:color="auto"/>
          <w:color w:val="auto"/>
        </w:rPr>
        <w:t>two</w:t>
      </w:r>
      <w:r>
        <w:rPr>
          <w:rFonts w:ascii="Arial" w:cs="Arial" w:eastAsia="Arial" w:hAnsi="Arial"/>
          <w:sz w:val="18"/>
          <w:szCs w:val="18"/>
          <w:color w:val="auto"/>
        </w:rPr>
        <w:t xml:space="preserve"> held by the lender, each of which has the same legal effect. (End of Part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The Part Two General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borrowing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71" w:lineRule="exact"/>
        <w:rPr>
          <w:sz w:val="20"/>
          <w:szCs w:val="20"/>
          <w:color w:val="auto"/>
        </w:rPr>
      </w:pPr>
    </w:p>
    <w:p>
      <w:pPr>
        <w:jc w:val="both"/>
        <w:ind w:firstLine="8"/>
        <w:spacing w:after="0" w:line="263" w:lineRule="auto"/>
        <w:tabs>
          <w:tab w:leader="none" w:pos="19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borrowing rate and interest calculation method</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w:t>
      </w:r>
    </w:p>
    <w:p>
      <w:pPr>
        <w:spacing w:after="0" w:line="183"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Interest rate market paralysis</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ind w:left="4820"/>
        <w:spacing w:after="0"/>
        <w:rPr>
          <w:sz w:val="20"/>
          <w:szCs w:val="20"/>
          <w:color w:val="auto"/>
        </w:rPr>
      </w:pPr>
      <w:r>
        <w:rPr>
          <w:rFonts w:ascii="Arial" w:cs="Arial" w:eastAsia="Arial" w:hAnsi="Arial"/>
          <w:sz w:val="18"/>
          <w:szCs w:val="18"/>
          <w:b w:val="1"/>
          <w:bCs w:val="1"/>
          <w:color w:val="auto"/>
        </w:rPr>
        <w:t>Article 3 withdrawal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before the first withdrawal, the borrower shall meet the following conditions:</w:t>
      </w:r>
    </w:p>
    <w:p>
      <w:pPr>
        <w:spacing w:after="0" w:line="225" w:lineRule="exact"/>
        <w:rPr>
          <w:sz w:val="20"/>
          <w:szCs w:val="20"/>
          <w:color w:val="auto"/>
        </w:rPr>
      </w:pPr>
    </w:p>
    <w:p>
      <w:pPr>
        <w:ind w:firstLine="656"/>
        <w:spacing w:after="0" w:line="277" w:lineRule="auto"/>
        <w:tabs>
          <w:tab w:leader="none" w:pos="92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This contract and the corresponding guarantee contract (if any) have been signed and remain valid, and the security right has been effectively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established;</w:t>
      </w:r>
    </w:p>
    <w:p>
      <w:pPr>
        <w:spacing w:after="0" w:line="210" w:lineRule="exact"/>
        <w:rPr>
          <w:rFonts w:ascii="Arial" w:cs="Arial" w:eastAsia="Arial" w:hAnsi="Arial"/>
          <w:sz w:val="16"/>
          <w:szCs w:val="16"/>
          <w:color w:val="auto"/>
        </w:rPr>
      </w:pPr>
    </w:p>
    <w:p>
      <w:pPr>
        <w:ind w:firstLine="656"/>
        <w:spacing w:after="0" w:line="308" w:lineRule="auto"/>
        <w:tabs>
          <w:tab w:leader="none" w:pos="91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borrower has opened relevant accounts with the lender according to the lender’s requirements;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except for the first withdrawal, the borrower shall meet the following conditions before each withdrawal:</w:t>
      </w:r>
    </w:p>
    <w:p>
      <w:pPr>
        <w:spacing w:after="0" w:line="225" w:lineRule="exact"/>
        <w:rPr>
          <w:sz w:val="20"/>
          <w:szCs w:val="20"/>
          <w:color w:val="auto"/>
        </w:rPr>
      </w:pPr>
    </w:p>
    <w:p>
      <w:pPr>
        <w:ind w:firstLine="656"/>
        <w:spacing w:after="0" w:line="277" w:lineRule="auto"/>
        <w:tabs>
          <w:tab w:leader="none" w:pos="92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representations and warranties made by the borrower under this contract shall remain valid;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660"/>
        <w:spacing w:after="0"/>
        <w:rPr>
          <w:sz w:val="20"/>
          <w:szCs w:val="20"/>
          <w:color w:val="auto"/>
        </w:rPr>
      </w:pPr>
      <w:r>
        <w:rPr>
          <w:rFonts w:ascii="Arial" w:cs="Arial" w:eastAsia="Arial" w:hAnsi="Arial"/>
          <w:sz w:val="18"/>
          <w:szCs w:val="18"/>
          <w:color w:val="auto"/>
        </w:rPr>
        <w:t>3. withdrawal</w:t>
      </w:r>
    </w:p>
    <w:p>
      <w:pPr>
        <w:spacing w:after="0" w:line="225" w:lineRule="exact"/>
        <w:rPr>
          <w:sz w:val="20"/>
          <w:szCs w:val="20"/>
          <w:color w:val="auto"/>
        </w:rPr>
      </w:pPr>
    </w:p>
    <w:p>
      <w:pPr>
        <w:jc w:val="both"/>
        <w:ind w:right="20" w:firstLine="656"/>
        <w:spacing w:after="0" w:line="263" w:lineRule="auto"/>
        <w:tabs>
          <w:tab w:leader="none" w:pos="91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83" w:lineRule="exact"/>
        <w:rPr>
          <w:rFonts w:ascii="Arial" w:cs="Arial" w:eastAsia="Arial" w:hAnsi="Arial"/>
          <w:sz w:val="18"/>
          <w:szCs w:val="18"/>
          <w:color w:val="auto"/>
        </w:rPr>
      </w:pPr>
    </w:p>
    <w:p>
      <w:pPr>
        <w:ind w:firstLine="656"/>
        <w:spacing w:after="0" w:line="342" w:lineRule="auto"/>
        <w:tabs>
          <w:tab w:leader="none" w:pos="92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23" w:lineRule="exact"/>
        <w:rPr>
          <w:rFonts w:ascii="Arial" w:cs="Arial" w:eastAsia="Arial" w:hAnsi="Arial"/>
          <w:sz w:val="16"/>
          <w:szCs w:val="16"/>
          <w:color w:val="auto"/>
        </w:rPr>
      </w:pPr>
    </w:p>
    <w:p>
      <w:pPr>
        <w:ind w:firstLine="656"/>
        <w:spacing w:after="0" w:line="277" w:lineRule="auto"/>
        <w:tabs>
          <w:tab w:leader="none" w:pos="9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lender has the right to waive one or more of the above withdrawal conditions without affecting any right enjoyed by the Lender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jc w:val="center"/>
        <w:ind w:left="640"/>
        <w:spacing w:after="0"/>
        <w:rPr>
          <w:sz w:val="20"/>
          <w:szCs w:val="20"/>
          <w:color w:val="auto"/>
        </w:rPr>
      </w:pPr>
      <w:r>
        <w:rPr>
          <w:rFonts w:ascii="Arial" w:cs="Arial" w:eastAsia="Arial" w:hAnsi="Arial"/>
          <w:sz w:val="18"/>
          <w:szCs w:val="18"/>
          <w:b w:val="1"/>
          <w:bCs w:val="1"/>
          <w:color w:val="auto"/>
        </w:rPr>
        <w:t>Article 4 account opening and management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 ..When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2.If no special working capital loan account is opened, the general settlement account is used to calculate the loan fund issuance and loan fund payment applied by the borrower at the lender.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the written consent of the lender, the borrower shall not change the reserved seal of the special working capital loan account at will.</w:t>
      </w:r>
    </w:p>
    <w:p>
      <w:pPr>
        <w:spacing w:after="0" w:line="237" w:lineRule="exact"/>
        <w:rPr>
          <w:sz w:val="20"/>
          <w:szCs w:val="20"/>
          <w:color w:val="auto"/>
        </w:rPr>
      </w:pPr>
    </w:p>
    <w:p>
      <w:pPr>
        <w:ind w:firstLine="656"/>
        <w:spacing w:after="0" w:line="277" w:lineRule="auto"/>
        <w:tabs>
          <w:tab w:leader="none" w:pos="83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jc w:val="center"/>
        <w:ind w:left="640"/>
        <w:spacing w:after="0"/>
        <w:rPr>
          <w:sz w:val="20"/>
          <w:szCs w:val="20"/>
          <w:color w:val="auto"/>
        </w:rPr>
      </w:pPr>
      <w:r>
        <w:rPr>
          <w:rFonts w:ascii="Arial" w:cs="Arial" w:eastAsia="Arial" w:hAnsi="Arial"/>
          <w:sz w:val="18"/>
          <w:szCs w:val="18"/>
          <w:b w:val="1"/>
          <w:bCs w:val="1"/>
          <w:color w:val="auto"/>
        </w:rPr>
        <w:t>Article 5 Payment supervision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1 ..The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approval, the lender shall pay the loan funds to the borrower’s trading partner through the borrower’s account.</w:t>
      </w:r>
    </w:p>
    <w:p>
      <w:pPr>
        <w:spacing w:after="0" w:line="225" w:lineRule="exact"/>
        <w:rPr>
          <w:sz w:val="20"/>
          <w:szCs w:val="20"/>
          <w:color w:val="auto"/>
        </w:rPr>
      </w:pPr>
    </w:p>
    <w:p>
      <w:pPr>
        <w:ind w:firstLine="656"/>
        <w:spacing w:after="0" w:line="277" w:lineRule="auto"/>
        <w:tabs>
          <w:tab w:leader="none" w:pos="86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When applying to the lender for external payment of loan funds, the borrower shall submit supporting materials meeting the lender’s requirements, including but not limited to:</w:t>
      </w:r>
    </w:p>
    <w:p>
      <w:pPr>
        <w:spacing w:after="0" w:line="170" w:lineRule="exact"/>
        <w:rPr>
          <w:sz w:val="20"/>
          <w:szCs w:val="20"/>
          <w:color w:val="auto"/>
        </w:rPr>
      </w:pPr>
    </w:p>
    <w:p>
      <w:pPr>
        <w:ind w:left="920" w:hanging="264"/>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documents certifying that the purpose of payment is in accordance with the purpose agreed in the contract:</w:t>
      </w:r>
    </w:p>
    <w:p>
      <w:pPr>
        <w:spacing w:after="0" w:line="225" w:lineRule="exact"/>
        <w:rPr>
          <w:rFonts w:ascii="Arial" w:cs="Arial" w:eastAsia="Arial" w:hAnsi="Arial"/>
          <w:sz w:val="18"/>
          <w:szCs w:val="18"/>
          <w:color w:val="auto"/>
        </w:rPr>
      </w:pPr>
    </w:p>
    <w:p>
      <w:pPr>
        <w:ind w:firstLine="656"/>
        <w:spacing w:after="0" w:line="277" w:lineRule="auto"/>
        <w:tabs>
          <w:tab w:leader="none" w:pos="91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70" w:lineRule="exact"/>
        <w:rPr>
          <w:rFonts w:ascii="Arial" w:cs="Arial" w:eastAsia="Arial" w:hAnsi="Arial"/>
          <w:sz w:val="18"/>
          <w:szCs w:val="18"/>
          <w:color w:val="auto"/>
        </w:rPr>
      </w:pPr>
    </w:p>
    <w:p>
      <w:pPr>
        <w:ind w:firstLine="656"/>
        <w:spacing w:after="0" w:line="277" w:lineRule="auto"/>
        <w:tabs>
          <w:tab w:leader="none" w:pos="91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Legal and valid payment voucher: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Other documents required by the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660"/>
        <w:spacing w:after="0"/>
        <w:rPr>
          <w:sz w:val="20"/>
          <w:szCs w:val="20"/>
          <w:color w:val="auto"/>
        </w:rPr>
      </w:pPr>
      <w:r>
        <w:rPr>
          <w:rFonts w:ascii="Arial" w:cs="Arial" w:eastAsia="Arial" w:hAnsi="Arial"/>
          <w:sz w:val="17"/>
          <w:szCs w:val="17"/>
          <w:color w:val="auto"/>
        </w:rPr>
        <w:t>The lender has the right to waive one or more of the above supporting materials without affecting any rights enjoyed by the Lender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11" w:lineRule="exact"/>
        <w:rPr>
          <w:sz w:val="20"/>
          <w:szCs w:val="20"/>
          <w:color w:val="auto"/>
        </w:rPr>
      </w:pPr>
    </w:p>
    <w:p>
      <w:pPr>
        <w:jc w:val="both"/>
        <w:ind w:firstLine="656"/>
        <w:spacing w:after="0" w:line="257" w:lineRule="auto"/>
        <w:tabs>
          <w:tab w:leader="none" w:pos="85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5.If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6.The borrower confirms that it shall pay to the lender the remittance fee arising from the payment of funds. When the remittance fee occurs, the lender has the right to deduct it directly according to the actual amount.</w:t>
      </w:r>
    </w:p>
    <w:p>
      <w:pPr>
        <w:spacing w:after="0" w:line="170" w:lineRule="exact"/>
        <w:rPr>
          <w:sz w:val="20"/>
          <w:szCs w:val="20"/>
          <w:color w:val="auto"/>
        </w:rPr>
      </w:pPr>
    </w:p>
    <w:p>
      <w:pPr>
        <w:jc w:val="both"/>
        <w:ind w:firstLine="656"/>
        <w:spacing w:after="0" w:line="263" w:lineRule="auto"/>
        <w:tabs>
          <w:tab w:leader="none" w:pos="82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84" w:lineRule="exact"/>
        <w:rPr>
          <w:sz w:val="20"/>
          <w:szCs w:val="20"/>
          <w:color w:val="auto"/>
        </w:rPr>
      </w:pPr>
    </w:p>
    <w:p>
      <w:pPr>
        <w:ind w:left="920" w:hanging="264"/>
        <w:spacing w:after="0"/>
        <w:tabs>
          <w:tab w:leader="none" w:pos="9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declining credit status;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profitability of main business is not strong;</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Abnormal use of loan funds.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ind w:left="5180"/>
        <w:spacing w:after="0"/>
        <w:rPr>
          <w:sz w:val="20"/>
          <w:szCs w:val="20"/>
          <w:color w:val="auto"/>
        </w:rPr>
      </w:pPr>
      <w:r>
        <w:rPr>
          <w:rFonts w:ascii="Arial" w:cs="Arial" w:eastAsia="Arial" w:hAnsi="Arial"/>
          <w:sz w:val="18"/>
          <w:szCs w:val="18"/>
          <w:b w:val="1"/>
          <w:bCs w:val="1"/>
          <w:color w:val="auto"/>
        </w:rPr>
        <w:t>Article 6 repayment</w:t>
      </w:r>
    </w:p>
    <w:p>
      <w:pPr>
        <w:spacing w:after="0" w:line="229" w:lineRule="exact"/>
        <w:rPr>
          <w:sz w:val="20"/>
          <w:szCs w:val="20"/>
          <w:color w:val="auto"/>
        </w:rPr>
      </w:pPr>
    </w:p>
    <w:p>
      <w:pPr>
        <w:jc w:val="both"/>
        <w:ind w:firstLine="656"/>
        <w:spacing w:after="0" w:line="286" w:lineRule="auto"/>
        <w:tabs>
          <w:tab w:leader="none" w:pos="83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65" w:lineRule="exact"/>
        <w:rPr>
          <w:rFonts w:ascii="Arial" w:cs="Arial" w:eastAsia="Arial" w:hAnsi="Arial"/>
          <w:sz w:val="17"/>
          <w:szCs w:val="17"/>
          <w:color w:val="auto"/>
        </w:rPr>
      </w:pPr>
    </w:p>
    <w:p>
      <w:pPr>
        <w:jc w:val="both"/>
        <w:ind w:firstLine="656"/>
        <w:spacing w:after="0" w:line="263" w:lineRule="auto"/>
        <w:tabs>
          <w:tab w:leader="none" w:pos="83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84" w:lineRule="exact"/>
        <w:rPr>
          <w:sz w:val="20"/>
          <w:szCs w:val="20"/>
          <w:color w:val="auto"/>
        </w:rPr>
      </w:pPr>
    </w:p>
    <w:p>
      <w:pPr>
        <w:jc w:val="both"/>
        <w:ind w:firstLine="656"/>
        <w:spacing w:after="0" w:line="275" w:lineRule="auto"/>
        <w:tabs>
          <w:tab w:leader="none" w:pos="84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76" w:lineRule="exact"/>
        <w:rPr>
          <w:rFonts w:ascii="Arial" w:cs="Arial" w:eastAsia="Arial" w:hAnsi="Arial"/>
          <w:sz w:val="17"/>
          <w:szCs w:val="17"/>
          <w:color w:val="auto"/>
        </w:rPr>
      </w:pPr>
    </w:p>
    <w:p>
      <w:pPr>
        <w:ind w:left="840" w:hanging="184"/>
        <w:spacing w:after="0"/>
        <w:tabs>
          <w:tab w:leader="none" w:pos="8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 shall not withdraw any returned loan funds again.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jc w:val="center"/>
        <w:ind w:left="640"/>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borrower makes the following representations and warranties to the lender, which are made at the time of signing this contract and remain valid during the validity of this contract.</w:t>
      </w:r>
    </w:p>
    <w:p>
      <w:pPr>
        <w:spacing w:after="0" w:line="170" w:lineRule="exact"/>
        <w:rPr>
          <w:sz w:val="20"/>
          <w:szCs w:val="20"/>
          <w:color w:val="auto"/>
        </w:rPr>
      </w:pPr>
    </w:p>
    <w:p>
      <w:pPr>
        <w:ind w:right="20" w:firstLine="656"/>
        <w:spacing w:after="0" w:line="342" w:lineRule="auto"/>
        <w:tabs>
          <w:tab w:leader="none" w:pos="83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23" w:lineRule="exact"/>
        <w:rPr>
          <w:rFonts w:ascii="Arial" w:cs="Arial" w:eastAsia="Arial" w:hAnsi="Arial"/>
          <w:sz w:val="16"/>
          <w:szCs w:val="16"/>
          <w:color w:val="auto"/>
        </w:rPr>
      </w:pPr>
    </w:p>
    <w:p>
      <w:pPr>
        <w:jc w:val="both"/>
        <w:ind w:firstLine="656"/>
        <w:spacing w:after="0" w:line="263" w:lineRule="auto"/>
        <w:tabs>
          <w:tab w:leader="none" w:pos="83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83" w:lineRule="exact"/>
        <w:rPr>
          <w:rFonts w:ascii="Arial" w:cs="Arial" w:eastAsia="Arial" w:hAnsi="Arial"/>
          <w:sz w:val="18"/>
          <w:szCs w:val="18"/>
          <w:color w:val="auto"/>
        </w:rPr>
      </w:pPr>
    </w:p>
    <w:p>
      <w:pPr>
        <w:jc w:val="both"/>
        <w:ind w:firstLine="656"/>
        <w:spacing w:after="0" w:line="311" w:lineRule="auto"/>
        <w:tabs>
          <w:tab w:leader="none" w:pos="82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48" w:lineRule="exact"/>
        <w:rPr>
          <w:rFonts w:ascii="Arial" w:cs="Arial" w:eastAsia="Arial" w:hAnsi="Arial"/>
          <w:sz w:val="16"/>
          <w:szCs w:val="16"/>
          <w:color w:val="auto"/>
        </w:rPr>
      </w:pPr>
    </w:p>
    <w:p>
      <w:pPr>
        <w:ind w:firstLine="656"/>
        <w:spacing w:after="0" w:line="277" w:lineRule="auto"/>
        <w:tabs>
          <w:tab w:leader="none" w:pos="82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86" w:lineRule="exact"/>
        <w:rPr>
          <w:rFonts w:ascii="Arial" w:cs="Arial" w:eastAsia="Arial" w:hAnsi="Arial"/>
          <w:sz w:val="18"/>
          <w:szCs w:val="18"/>
          <w:color w:val="auto"/>
        </w:rPr>
      </w:pPr>
    </w:p>
    <w:p>
      <w:pPr>
        <w:ind w:left="860" w:hanging="204"/>
        <w:spacing w:after="0"/>
        <w:tabs>
          <w:tab w:leader="none" w:pos="8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borrower guarantees to complete the filing, registration or other procedures required for the effectiveness and legal performance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contract.</w:t>
      </w:r>
    </w:p>
    <w:p>
      <w:pPr>
        <w:spacing w:after="0" w:line="210" w:lineRule="exact"/>
        <w:rPr>
          <w:rFonts w:ascii="Arial" w:cs="Arial" w:eastAsia="Arial" w:hAnsi="Arial"/>
          <w:sz w:val="16"/>
          <w:szCs w:val="16"/>
          <w:color w:val="auto"/>
        </w:rPr>
      </w:pPr>
    </w:p>
    <w:p>
      <w:pPr>
        <w:ind w:right="20" w:firstLine="656"/>
        <w:spacing w:after="0" w:line="277" w:lineRule="auto"/>
        <w:tabs>
          <w:tab w:leader="none" w:pos="85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Since the issuance of the latest audited financial statements, there has been no significant adverse change in the borrower’s operating and financial conditions.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6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ind w:left="820" w:hanging="184"/>
        <w:spacing w:after="0"/>
        <w:tabs>
          <w:tab w:leader="none" w:pos="8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Do not give up any due creditor’s rights, nor dispose of the existing main property free of charge or in other inappropriate ways.</w:t>
      </w:r>
    </w:p>
    <w:p>
      <w:pPr>
        <w:spacing w:after="0" w:line="225" w:lineRule="exact"/>
        <w:rPr>
          <w:rFonts w:ascii="Arial" w:cs="Arial" w:eastAsia="Arial" w:hAnsi="Arial"/>
          <w:sz w:val="18"/>
          <w:szCs w:val="18"/>
          <w:color w:val="auto"/>
        </w:rPr>
      </w:pPr>
    </w:p>
    <w:p>
      <w:pPr>
        <w:ind w:left="640" w:right="1040" w:hanging="4"/>
        <w:spacing w:after="0" w:line="530" w:lineRule="auto"/>
        <w:tabs>
          <w:tab w:leader="none" w:pos="90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borrower has disclosed to the lender what it knows or should know and decided whether to grant the loan under this contract Important facts and conditions (including but not limited to business status, financial status, external guarantee, etc.).</w:t>
      </w:r>
    </w:p>
    <w:p>
      <w:pPr>
        <w:ind w:left="900" w:hanging="264"/>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guarantees that it is in good credit condition and has no major bad record.</w:t>
      </w:r>
    </w:p>
    <w:p>
      <w:pPr>
        <w:spacing w:after="0" w:line="225" w:lineRule="exact"/>
        <w:rPr>
          <w:rFonts w:ascii="Arial" w:cs="Arial" w:eastAsia="Arial" w:hAnsi="Arial"/>
          <w:sz w:val="18"/>
          <w:szCs w:val="18"/>
          <w:color w:val="auto"/>
        </w:rPr>
      </w:pPr>
    </w:p>
    <w:p>
      <w:pPr>
        <w:ind w:left="-20" w:firstLine="656"/>
        <w:spacing w:after="0" w:line="277" w:lineRule="auto"/>
        <w:tabs>
          <w:tab w:leader="none" w:pos="90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guarantees that there are no other circumstances or events that have or may have a material adverse impact on the borrower’s performance 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covenants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borrower and the lender agree as follows:</w:t>
      </w:r>
    </w:p>
    <w:p>
      <w:pPr>
        <w:spacing w:after="0" w:line="225" w:lineRule="exact"/>
        <w:rPr>
          <w:sz w:val="20"/>
          <w:szCs w:val="20"/>
          <w:color w:val="auto"/>
        </w:rPr>
      </w:pPr>
    </w:p>
    <w:p>
      <w:pPr>
        <w:jc w:val="both"/>
        <w:ind w:left="-20" w:firstLine="656"/>
        <w:spacing w:after="0" w:line="259" w:lineRule="auto"/>
        <w:tabs>
          <w:tab w:leader="none" w:pos="80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61" w:name="page262"/>
    <w:bookmarkEnd w:id="261"/>
    <w:p>
      <w:pPr>
        <w:ind w:firstLine="656"/>
        <w:spacing w:after="0" w:line="277" w:lineRule="auto"/>
        <w:tabs>
          <w:tab w:leader="none" w:pos="8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70" w:lineRule="exact"/>
        <w:rPr>
          <w:rFonts w:ascii="Arial" w:cs="Arial" w:eastAsia="Arial" w:hAnsi="Arial"/>
          <w:sz w:val="18"/>
          <w:szCs w:val="18"/>
          <w:color w:val="auto"/>
        </w:rPr>
      </w:pPr>
    </w:p>
    <w:p>
      <w:pPr>
        <w:ind w:firstLine="656"/>
        <w:spacing w:after="0" w:line="308" w:lineRule="auto"/>
        <w:tabs>
          <w:tab w:leader="none" w:pos="85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46" w:lineRule="exact"/>
        <w:rPr>
          <w:rFonts w:ascii="Arial" w:cs="Arial" w:eastAsia="Arial" w:hAnsi="Arial"/>
          <w:sz w:val="17"/>
          <w:szCs w:val="17"/>
          <w:color w:val="auto"/>
        </w:rPr>
      </w:pPr>
    </w:p>
    <w:p>
      <w:pPr>
        <w:ind w:left="840" w:hanging="184"/>
        <w:spacing w:after="0"/>
        <w:tabs>
          <w:tab w:leader="none" w:pos="8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borrower promises that the borrower will not take the following actions without the written consent of the lender:</w:t>
      </w:r>
    </w:p>
    <w:p>
      <w:pPr>
        <w:spacing w:after="0" w:line="225" w:lineRule="exact"/>
        <w:rPr>
          <w:sz w:val="20"/>
          <w:szCs w:val="20"/>
          <w:color w:val="auto"/>
        </w:rPr>
      </w:pPr>
    </w:p>
    <w:p>
      <w:pPr>
        <w:ind w:left="900" w:hanging="244"/>
        <w:spacing w:after="0"/>
        <w:tabs>
          <w:tab w:leader="none" w:pos="9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Transfer (including sale, gift, debt repayment, exchange, etc.), mortgage, pledge or otherwise dispose of all or most of its major assets;</w:t>
      </w:r>
    </w:p>
    <w:p>
      <w:pPr>
        <w:spacing w:after="0" w:line="236" w:lineRule="exact"/>
        <w:rPr>
          <w:rFonts w:ascii="Arial" w:cs="Arial" w:eastAsia="Arial" w:hAnsi="Arial"/>
          <w:sz w:val="17"/>
          <w:szCs w:val="17"/>
          <w:color w:val="auto"/>
        </w:rPr>
      </w:pPr>
    </w:p>
    <w:p>
      <w:pPr>
        <w:jc w:val="both"/>
        <w:ind w:firstLine="656"/>
        <w:spacing w:after="0" w:line="259" w:lineRule="auto"/>
        <w:tabs>
          <w:tab w:leader="none" w:pos="91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86" w:lineRule="exact"/>
        <w:rPr>
          <w:rFonts w:ascii="Arial" w:cs="Arial" w:eastAsia="Arial" w:hAnsi="Arial"/>
          <w:sz w:val="18"/>
          <w:szCs w:val="18"/>
          <w:color w:val="auto"/>
        </w:rPr>
      </w:pPr>
    </w:p>
    <w:p>
      <w:pPr>
        <w:ind w:firstLine="656"/>
        <w:spacing w:after="0" w:line="277" w:lineRule="auto"/>
        <w:tabs>
          <w:tab w:leader="none" w:pos="9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Provide the third party with a guarantee sufficient to have a material adverse impact on its financial condition or its ability to perform its obligations under the contract;</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Paying off other long-term debts in advance and may have a significant adverse impact on the borrower’s ability to perform its obligations under the contract;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ind w:firstLine="656"/>
        <w:spacing w:after="0" w:line="277" w:lineRule="auto"/>
        <w:tabs>
          <w:tab w:leader="none" w:pos="91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Sign contracts / agreements or undertake relevant obligations that have a significant adverse impact on the borrower’s ability to perform its obligations under the contract.</w:t>
      </w:r>
    </w:p>
    <w:p>
      <w:pPr>
        <w:spacing w:after="0" w:line="170" w:lineRule="exact"/>
        <w:rPr>
          <w:sz w:val="20"/>
          <w:szCs w:val="20"/>
          <w:color w:val="auto"/>
        </w:rPr>
      </w:pPr>
    </w:p>
    <w:p>
      <w:pPr>
        <w:ind w:right="20" w:firstLine="656"/>
        <w:spacing w:after="0" w:line="277" w:lineRule="auto"/>
        <w:tabs>
          <w:tab w:leader="none" w:pos="84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70" w:lineRule="exact"/>
        <w:rPr>
          <w:sz w:val="20"/>
          <w:szCs w:val="20"/>
          <w:color w:val="auto"/>
        </w:rPr>
      </w:pPr>
    </w:p>
    <w:p>
      <w:pPr>
        <w:ind w:left="920" w:hanging="264"/>
        <w:spacing w:after="0"/>
        <w:tabs>
          <w:tab w:leader="none" w:pos="9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occurrence of relevant events makes the representations and warranties made by the borrower in this contract untrue, inaccurate or invalid.</w:t>
      </w:r>
    </w:p>
    <w:p>
      <w:pPr>
        <w:spacing w:after="0" w:line="248" w:lineRule="exact"/>
        <w:rPr>
          <w:rFonts w:ascii="Arial" w:cs="Arial" w:eastAsia="Arial" w:hAnsi="Arial"/>
          <w:sz w:val="16"/>
          <w:szCs w:val="16"/>
          <w:color w:val="auto"/>
        </w:rPr>
      </w:pPr>
    </w:p>
    <w:p>
      <w:pPr>
        <w:jc w:val="both"/>
        <w:ind w:firstLine="656"/>
        <w:spacing w:after="0" w:line="263" w:lineRule="auto"/>
        <w:tabs>
          <w:tab w:leader="none" w:pos="90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83" w:lineRule="exact"/>
        <w:rPr>
          <w:rFonts w:ascii="Arial" w:cs="Arial" w:eastAsia="Arial" w:hAnsi="Arial"/>
          <w:sz w:val="18"/>
          <w:szCs w:val="18"/>
          <w:color w:val="auto"/>
        </w:rPr>
      </w:pPr>
    </w:p>
    <w:p>
      <w:pPr>
        <w:ind w:firstLine="656"/>
        <w:spacing w:after="0" w:line="277" w:lineRule="auto"/>
        <w:tabs>
          <w:tab w:leader="none" w:pos="90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borrower’s legal representative or its authorized agent, principal, main financial principal, mailing address, enterprise name, office space and other matters are changed;</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Being applied for reorganization or bankruptcy by other creditors or being revoked by the superior competent authority;(5) other major adverse events that may affect the borrower’s solvency.</w:t>
      </w:r>
    </w:p>
    <w:p>
      <w:pPr>
        <w:spacing w:after="0" w:line="170" w:lineRule="exact"/>
        <w:rPr>
          <w:sz w:val="20"/>
          <w:szCs w:val="20"/>
          <w:color w:val="auto"/>
        </w:rPr>
      </w:pPr>
    </w:p>
    <w:p>
      <w:pPr>
        <w:ind w:firstLine="656"/>
        <w:spacing w:after="0" w:line="277" w:lineRule="auto"/>
        <w:tabs>
          <w:tab w:leader="none" w:pos="82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3" w:name="page264"/>
    <w:bookmarkEnd w:id="263"/>
    <w:p>
      <w:pPr>
        <w:jc w:val="both"/>
        <w:ind w:firstLine="656"/>
        <w:spacing w:after="0" w:line="301" w:lineRule="auto"/>
        <w:tabs>
          <w:tab w:leader="none" w:pos="84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57" w:lineRule="exact"/>
        <w:rPr>
          <w:rFonts w:ascii="Arial" w:cs="Arial" w:eastAsia="Arial" w:hAnsi="Arial"/>
          <w:sz w:val="16"/>
          <w:szCs w:val="16"/>
          <w:color w:val="auto"/>
        </w:rPr>
      </w:pPr>
    </w:p>
    <w:p>
      <w:pPr>
        <w:jc w:val="both"/>
        <w:ind w:firstLine="656"/>
        <w:spacing w:after="0" w:line="293" w:lineRule="auto"/>
        <w:tabs>
          <w:tab w:leader="none" w:pos="83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64" w:lineRule="exact"/>
        <w:rPr>
          <w:rFonts w:ascii="Arial" w:cs="Arial" w:eastAsia="Arial" w:hAnsi="Arial"/>
          <w:sz w:val="16"/>
          <w:szCs w:val="16"/>
          <w:color w:val="auto"/>
        </w:rPr>
      </w:pPr>
    </w:p>
    <w:p>
      <w:pPr>
        <w:jc w:val="both"/>
        <w:ind w:firstLine="656"/>
        <w:spacing w:after="0" w:line="263" w:lineRule="auto"/>
        <w:tabs>
          <w:tab w:leader="none" w:pos="84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lender has the right to recover the loan funds under this contract in advance according to the withdrawal of the borrower’s funds.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special agreements on group customers (applicable to group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borrower of this contract is a group customer, the borrower hereby undertakes:</w:t>
      </w:r>
    </w:p>
    <w:p>
      <w:pPr>
        <w:spacing w:after="0" w:line="225" w:lineRule="exact"/>
        <w:rPr>
          <w:sz w:val="20"/>
          <w:szCs w:val="20"/>
          <w:color w:val="auto"/>
        </w:rPr>
      </w:pPr>
    </w:p>
    <w:p>
      <w:pPr>
        <w:jc w:val="both"/>
        <w:ind w:firstLine="656"/>
        <w:spacing w:after="0" w:line="263" w:lineRule="auto"/>
        <w:tabs>
          <w:tab w:leader="none" w:pos="91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borrower shall timely report the related party transactions of more than 10% of the net assets of the actual trustee, including: j the related party relationships of all parties to the transaction k Transaction items and nature l The amount of the transaction or the corresponding proportion m Pricing policy (including transactions with no amount or only symbolic amount).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4" w:name="page265"/>
    <w:bookmarkEnd w:id="264"/>
    <w:p>
      <w:pPr>
        <w:jc w:val="both"/>
        <w:ind w:firstLine="656"/>
        <w:spacing w:after="0" w:line="254" w:lineRule="auto"/>
        <w:tabs>
          <w:tab w:leader="none" w:pos="9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 j providing false materials or concealing important business financial facts k Changing the original purpose of the credit without the consent of the lender, misappropriating the credit or using the bank credit to engage in illegal and illegal transactions l Taking advantage of false contracts with related parties to obtain bank funds or credit by discounting or pledging creditor’s rights such as notes receivable and accounts receivable without actual trade background m refusing to accept the lender’s supervision and inspection of its use of credit funds and relevant business and financial activities n In case of major merger, acquisition and reorganization, the lender believes that it may affect the credit security o Intentionally evading bank creditor’s rights through related party transactions.</w:t>
      </w:r>
    </w:p>
    <w:p>
      <w:pPr>
        <w:spacing w:after="0" w:line="192" w:lineRule="exact"/>
        <w:rPr>
          <w:sz w:val="20"/>
          <w:szCs w:val="20"/>
          <w:color w:val="auto"/>
        </w:rPr>
      </w:pPr>
    </w:p>
    <w:p>
      <w:pPr>
        <w:jc w:val="both"/>
        <w:ind w:firstLine="656"/>
        <w:spacing w:after="0" w:line="275" w:lineRule="auto"/>
        <w:tabs>
          <w:tab w:leader="none" w:pos="94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76" w:lineRule="exact"/>
        <w:rPr>
          <w:sz w:val="20"/>
          <w:szCs w:val="20"/>
          <w:color w:val="auto"/>
        </w:rPr>
      </w:pPr>
    </w:p>
    <w:p>
      <w:pPr>
        <w:jc w:val="both"/>
        <w:ind w:firstLine="656"/>
        <w:spacing w:after="0" w:line="263" w:lineRule="auto"/>
        <w:tabs>
          <w:tab w:leader="none" w:pos="90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 declares and guarantees that the management of environmental and social risks, including: j the internal management documents related to environmental and social risks comply with the requirements of laws and regulations and are effectively implemented; k there are no major litigation cases involving environmental and social risks;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99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borrower promises to accept the supervision of the lender and strengthen environmental and social risk management, including: j commitment to compliance of all behaviors and performances related to environmental and social risks k Commit to establish and improve the internal management system of environmental and social risks, and specify the responsibilities, obligations and punishment measures of relevant responsible personnel of the borrower l Commit to establish and improve the emergency mechanism and measures for environmental and social risk emergencies m Commit to establish special departments and / or designate special personnel to be responsible for environmental and social risks n Promise to cooperate with the lender or its recognized third party in the assessment and inspection of the borrower’s environmental and social risks o in the face of strong doubts from the public or other stakeholders about the borrower’s performance in controlling environmental and social risks, promise to respond appropriately or take other necessary actions p undertake to urge the borrower’s vital related parties to strengthen management and prevent the environmental and social risks of related parties from infecting the borrower q undertake to perform other matters that the lender considers relevant to controlling environmental and social risks</w:t>
      </w:r>
    </w:p>
    <w:p>
      <w:pPr>
        <w:spacing w:after="0" w:line="185" w:lineRule="exact"/>
        <w:rPr>
          <w:rFonts w:ascii="Arial" w:cs="Arial" w:eastAsia="Arial" w:hAnsi="Arial"/>
          <w:sz w:val="17"/>
          <w:szCs w:val="17"/>
          <w:color w:val="auto"/>
        </w:rPr>
      </w:pPr>
    </w:p>
    <w:p>
      <w:pPr>
        <w:jc w:val="both"/>
        <w:ind w:firstLine="656"/>
        <w:spacing w:after="0" w:line="255" w:lineRule="auto"/>
        <w:tabs>
          <w:tab w:leader="none" w:pos="90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 promises to timely and fully inform the lender of various permits j approvals and approvals related to environmental and social risks in the process of commencement, construction, operation and shutdown k Assessment and inspection of the borrower’s environmental and social risks by the environmental and social risk regulatory authority or its recognized institutions l supporting construction and operation of environmental facilities m Discharge and compliance of pollutants n Safety and health of employees o neighboring communities for the borrower Major complaints and protests p Major environmental and social claims q Other lenders believe that it is related to environmental and social winds Skillfully Major information related to insurance;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5" w:name="page266"/>
    <w:bookmarkEnd w:id="265"/>
    <w:p>
      <w:pPr>
        <w:jc w:val="both"/>
        <w:ind w:firstLine="656"/>
        <w:spacing w:after="0" w:line="275" w:lineRule="auto"/>
        <w:tabs>
          <w:tab w:leader="none" w:pos="91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If the borrower and the actual Credit Lender have the following circumstances, it shall be deemed that the borrower has an event of default under this Contract: j the borrower’s statement, guarantee and commitment on environmental and social risk management have not been seriously fulfilled k The borrower is punished by relevant government departments due to poor environmental and social risk management l the borrower is strongly questioned by the public and / or the media due to poor environmental and social risk management m Other events of default related to environmental and social risk management agreed between the lender and the borrower, including cross events of default;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case of the above events of default of the borrower, the lender has the right to unilaterally decide: j cancel the credit commitment already made k Suspend the disbursement of the loan until the borrower takes rescue measures satisfactory to the lender l recover the allocated loan in advance m When the loan cannot be repaid, relevant mortgage and pledge rights and other punishment measures shall be exercised in advance n other punishment measures agreed by the lender and the borrower.</w:t>
      </w:r>
    </w:p>
    <w:p>
      <w:pPr>
        <w:spacing w:after="0" w:line="187" w:lineRule="exact"/>
        <w:rPr>
          <w:sz w:val="20"/>
          <w:szCs w:val="20"/>
          <w:color w:val="auto"/>
        </w:rPr>
      </w:pPr>
    </w:p>
    <w:p>
      <w:pPr>
        <w:jc w:val="both"/>
        <w:ind w:firstLine="656"/>
        <w:spacing w:after="0" w:line="290" w:lineRule="auto"/>
        <w:tabs>
          <w:tab w:leader="none" w:pos="91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1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65" w:lineRule="exact"/>
        <w:rPr>
          <w:rFonts w:ascii="Arial" w:cs="Arial" w:eastAsia="Arial" w:hAnsi="Arial"/>
          <w:sz w:val="16"/>
          <w:szCs w:val="16"/>
          <w:color w:val="auto"/>
        </w:rPr>
      </w:pPr>
    </w:p>
    <w:p>
      <w:pPr>
        <w:jc w:val="both"/>
        <w:ind w:firstLine="656"/>
        <w:spacing w:after="0" w:line="259" w:lineRule="auto"/>
        <w:tabs>
          <w:tab w:leader="none" w:pos="9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Article 9 deduction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 ..The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87" w:lineRule="exact"/>
        <w:rPr>
          <w:sz w:val="20"/>
          <w:szCs w:val="20"/>
          <w:color w:val="auto"/>
        </w:rPr>
      </w:pPr>
    </w:p>
    <w:p>
      <w:pPr>
        <w:ind w:firstLine="656"/>
        <w:spacing w:after="0" w:line="277" w:lineRule="auto"/>
        <w:tabs>
          <w:tab w:leader="none" w:pos="8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deducted income is inconsistent with the currency to be repaid, it shall be handled in the following ways:</w:t>
      </w:r>
    </w:p>
    <w:p>
      <w:pPr>
        <w:spacing w:after="0" w:line="225" w:lineRule="exact"/>
        <w:rPr>
          <w:sz w:val="20"/>
          <w:szCs w:val="20"/>
          <w:color w:val="auto"/>
        </w:rPr>
      </w:pPr>
    </w:p>
    <w:p>
      <w:pPr>
        <w:ind w:firstLine="656"/>
        <w:spacing w:after="0" w:line="308" w:lineRule="auto"/>
        <w:tabs>
          <w:tab w:leader="none" w:pos="9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Article 10 proof of creditor’s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agreed service address</w:t>
      </w:r>
    </w:p>
    <w:p>
      <w:pPr>
        <w:spacing w:after="0" w:line="229" w:lineRule="exact"/>
        <w:rPr>
          <w:sz w:val="20"/>
          <w:szCs w:val="20"/>
          <w:color w:val="auto"/>
        </w:rPr>
      </w:pPr>
    </w:p>
    <w:p>
      <w:pPr>
        <w:jc w:val="both"/>
        <w:ind w:firstLine="656"/>
        <w:spacing w:after="0" w:line="311" w:lineRule="auto"/>
        <w:tabs>
          <w:tab w:leader="none" w:pos="83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48" w:lineRule="exact"/>
        <w:rPr>
          <w:rFonts w:ascii="Arial" w:cs="Arial" w:eastAsia="Arial" w:hAnsi="Arial"/>
          <w:sz w:val="16"/>
          <w:szCs w:val="16"/>
          <w:color w:val="auto"/>
        </w:rPr>
      </w:pPr>
    </w:p>
    <w:p>
      <w:pPr>
        <w:jc w:val="both"/>
        <w:ind w:firstLine="656"/>
        <w:spacing w:after="0" w:line="291" w:lineRule="auto"/>
        <w:tabs>
          <w:tab w:leader="none" w:pos="82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events of default and handling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following circumstances shall constitute a breach of contract by the borrower against the lender:</w:t>
      </w:r>
    </w:p>
    <w:p>
      <w:pPr>
        <w:spacing w:after="0" w:line="225" w:lineRule="exact"/>
        <w:rPr>
          <w:sz w:val="20"/>
          <w:szCs w:val="20"/>
          <w:color w:val="auto"/>
        </w:rPr>
      </w:pPr>
    </w:p>
    <w:p>
      <w:pPr>
        <w:jc w:val="both"/>
        <w:ind w:firstLine="656"/>
        <w:spacing w:after="0" w:line="263" w:lineRule="auto"/>
        <w:tabs>
          <w:tab w:leader="none" w:pos="92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borrower has violated “other matters agreed by both parties” (if any) in part I of the contract or any agreed matter in Article 8 of Part II.</w:t>
      </w:r>
    </w:p>
    <w:p>
      <w:pPr>
        <w:spacing w:after="0" w:line="248" w:lineRule="exact"/>
        <w:rPr>
          <w:rFonts w:ascii="Arial" w:cs="Arial" w:eastAsia="Arial" w:hAnsi="Arial"/>
          <w:sz w:val="16"/>
          <w:szCs w:val="16"/>
          <w:color w:val="auto"/>
        </w:rPr>
      </w:pPr>
    </w:p>
    <w:p>
      <w:pPr>
        <w:ind w:firstLine="656"/>
        <w:spacing w:after="0" w:line="277" w:lineRule="auto"/>
        <w:tabs>
          <w:tab w:leader="none" w:pos="91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borrower’s investors withdraw funds, transfer assets or transfer equity without authorization.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guarantor has or will no longer have the ability to provide guarantee corresponding to the loan, or violates the guarantee documents signed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it.</w:t>
      </w:r>
    </w:p>
    <w:p>
      <w:pPr>
        <w:spacing w:after="0" w:line="210" w:lineRule="exact"/>
        <w:rPr>
          <w:rFonts w:ascii="Arial" w:cs="Arial" w:eastAsia="Arial" w:hAnsi="Arial"/>
          <w:sz w:val="16"/>
          <w:szCs w:val="16"/>
          <w:color w:val="auto"/>
        </w:rPr>
      </w:pPr>
    </w:p>
    <w:p>
      <w:pPr>
        <w:ind w:firstLine="656"/>
        <w:spacing w:after="0" w:line="277" w:lineRule="auto"/>
        <w:tabs>
          <w:tab w:leader="none" w:pos="91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ind w:right="20" w:firstLine="656"/>
        <w:spacing w:after="0" w:line="277" w:lineRule="auto"/>
        <w:tabs>
          <w:tab w:leader="none" w:pos="90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4"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Failure to repay the principal and interest on schedule or use the loan for the agreed purpose.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loan funds are not paid in the agreed manner.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documents and information submitted for loan application are false and incorrect.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It does not meet or exceed the constraints of relevant financial indicators agreed in the contract.</w:t>
      </w:r>
    </w:p>
    <w:p>
      <w:pPr>
        <w:spacing w:after="0" w:line="225" w:lineRule="exact"/>
        <w:rPr>
          <w:rFonts w:ascii="Arial" w:cs="Arial" w:eastAsia="Arial" w:hAnsi="Arial"/>
          <w:sz w:val="18"/>
          <w:szCs w:val="18"/>
          <w:color w:val="auto"/>
        </w:rPr>
      </w:pPr>
    </w:p>
    <w:p>
      <w:pPr>
        <w:ind w:firstLine="656"/>
        <w:spacing w:after="0" w:line="277" w:lineRule="auto"/>
        <w:tabs>
          <w:tab w:leader="none" w:pos="101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capital flow in the general settlement account / capital return account is abnormal.</w:t>
      </w:r>
    </w:p>
    <w:p>
      <w:pPr>
        <w:spacing w:after="0" w:line="225" w:lineRule="exact"/>
        <w:rPr>
          <w:rFonts w:ascii="Arial" w:cs="Arial" w:eastAsia="Arial" w:hAnsi="Arial"/>
          <w:sz w:val="18"/>
          <w:szCs w:val="18"/>
          <w:color w:val="auto"/>
        </w:rPr>
      </w:pPr>
    </w:p>
    <w:p>
      <w:pPr>
        <w:ind w:firstLine="656"/>
        <w:spacing w:after="0" w:line="277" w:lineRule="auto"/>
        <w:tabs>
          <w:tab w:leader="none" w:pos="99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Handling of breach of contract</w:t>
      </w:r>
    </w:p>
    <w:p>
      <w:pPr>
        <w:spacing w:after="0" w:line="225" w:lineRule="exact"/>
        <w:rPr>
          <w:sz w:val="20"/>
          <w:szCs w:val="20"/>
          <w:color w:val="auto"/>
        </w:rPr>
      </w:pPr>
    </w:p>
    <w:p>
      <w:pPr>
        <w:ind w:firstLine="656"/>
        <w:spacing w:after="0" w:line="277" w:lineRule="auto"/>
        <w:tabs>
          <w:tab w:leader="none" w:pos="93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when one or more of the default circumstances listed in the current paragraph occur, the lender may take one or more of the following measures at its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require the borrower to correct within a time limit.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17"/>
          <w:szCs w:val="17"/>
          <w:color w:val="auto"/>
        </w:rPr>
        <w:t>cancel the unused loan of the borrower and stop issuing and paying the unused loan of the borrower.</w:t>
      </w:r>
    </w:p>
    <w:p>
      <w:pPr>
        <w:spacing w:after="0" w:line="213"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l 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 Penalty interest and compound interest shall be charged for overdue loans and misappropriated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 Deduct from any account opened by the borrower in each branch of Shanghai Pudong Development Bank Co.,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ind w:left="660"/>
        <w:spacing w:after="0"/>
        <w:rPr>
          <w:sz w:val="20"/>
          <w:szCs w:val="20"/>
          <w:color w:val="auto"/>
        </w:rPr>
      </w:pPr>
      <w:r>
        <w:rPr>
          <w:rFonts w:ascii="Arial" w:cs="Arial" w:eastAsia="Arial" w:hAnsi="Arial"/>
          <w:sz w:val="18"/>
          <w:szCs w:val="18"/>
          <w:color w:val="auto"/>
        </w:rPr>
        <w:t>o Require the borrower to supplement the loan issuance and payment conditions, or change the loan payment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 require the borrower to provide other guarantees approved by the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 other necessary measures stipulated by law.</w:t>
      </w:r>
    </w:p>
    <w:p>
      <w:pPr>
        <w:spacing w:after="0" w:line="225" w:lineRule="exact"/>
        <w:rPr>
          <w:sz w:val="20"/>
          <w:szCs w:val="20"/>
          <w:color w:val="auto"/>
        </w:rPr>
      </w:pPr>
    </w:p>
    <w:p>
      <w:pPr>
        <w:jc w:val="both"/>
        <w:ind w:firstLine="656"/>
        <w:spacing w:after="0" w:line="286" w:lineRule="auto"/>
        <w:tabs>
          <w:tab w:leader="none" w:pos="90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65" w:lineRule="exact"/>
        <w:rPr>
          <w:rFonts w:ascii="Arial" w:cs="Arial" w:eastAsia="Arial" w:hAnsi="Arial"/>
          <w:sz w:val="17"/>
          <w:szCs w:val="17"/>
          <w:color w:val="auto"/>
        </w:rPr>
      </w:pPr>
    </w:p>
    <w:p>
      <w:pPr>
        <w:jc w:val="both"/>
        <w:ind w:firstLine="656"/>
        <w:spacing w:after="0" w:line="263" w:lineRule="auto"/>
        <w:tabs>
          <w:tab w:leader="none" w:pos="90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effectiveness, alteration and dissolution</w:t>
      </w:r>
    </w:p>
    <w:p>
      <w:pPr>
        <w:spacing w:after="0" w:line="229" w:lineRule="exact"/>
        <w:rPr>
          <w:sz w:val="20"/>
          <w:szCs w:val="20"/>
          <w:color w:val="auto"/>
        </w:rPr>
      </w:pPr>
    </w:p>
    <w:p>
      <w:pPr>
        <w:jc w:val="both"/>
        <w:ind w:firstLine="656"/>
        <w:spacing w:after="0" w:line="263" w:lineRule="auto"/>
        <w:tabs>
          <w:tab w:leader="none" w:pos="8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83" w:lineRule="exact"/>
        <w:rPr>
          <w:rFonts w:ascii="Arial" w:cs="Arial" w:eastAsia="Arial" w:hAnsi="Arial"/>
          <w:sz w:val="18"/>
          <w:szCs w:val="18"/>
          <w:color w:val="auto"/>
        </w:rPr>
      </w:pPr>
    </w:p>
    <w:p>
      <w:pPr>
        <w:ind w:firstLine="656"/>
        <w:spacing w:after="0" w:line="277" w:lineRule="auto"/>
        <w:tabs>
          <w:tab w:leader="none" w:pos="82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other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..definition</w:t>
      </w:r>
    </w:p>
    <w:p>
      <w:pPr>
        <w:spacing w:after="0" w:line="225" w:lineRule="exact"/>
        <w:rPr>
          <w:sz w:val="20"/>
          <w:szCs w:val="20"/>
          <w:color w:val="auto"/>
        </w:rPr>
      </w:pPr>
    </w:p>
    <w:p>
      <w:pPr>
        <w:ind w:firstLine="656"/>
        <w:spacing w:after="0" w:line="277" w:lineRule="auto"/>
        <w:tabs>
          <w:tab w:leader="none" w:pos="9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creditor’s rights” under this contract refers to the loan principal, interest, liquidated damages and various expenses incurred to realize the creditor’s rights.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term “interest” under this contract includes interest, penalty interest and compound interest.</w:t>
      </w:r>
    </w:p>
    <w:p>
      <w:pPr>
        <w:spacing w:after="0" w:line="225" w:lineRule="exact"/>
        <w:rPr>
          <w:rFonts w:ascii="Arial" w:cs="Arial" w:eastAsia="Arial" w:hAnsi="Arial"/>
          <w:sz w:val="18"/>
          <w:szCs w:val="18"/>
          <w:color w:val="auto"/>
        </w:rPr>
      </w:pPr>
    </w:p>
    <w:p>
      <w:pPr>
        <w:ind w:firstLine="656"/>
        <w:spacing w:after="0" w:line="277" w:lineRule="auto"/>
        <w:tabs>
          <w:tab w:leader="none" w:pos="92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ind w:left="660"/>
        <w:spacing w:after="0"/>
        <w:rPr>
          <w:sz w:val="20"/>
          <w:szCs w:val="20"/>
          <w:color w:val="auto"/>
        </w:rPr>
      </w:pPr>
      <w:r>
        <w:rPr>
          <w:rFonts w:ascii="Arial" w:cs="Arial" w:eastAsia="Arial" w:hAnsi="Arial"/>
          <w:sz w:val="18"/>
          <w:szCs w:val="18"/>
          <w:color w:val="auto"/>
        </w:rPr>
        <w:t>2. Applicable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Settlement of disputes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Miscellaneous</w:t>
      </w:r>
    </w:p>
    <w:p>
      <w:pPr>
        <w:spacing w:after="0" w:line="225" w:lineRule="exact"/>
        <w:rPr>
          <w:sz w:val="20"/>
          <w:szCs w:val="20"/>
          <w:color w:val="auto"/>
        </w:rPr>
      </w:pPr>
    </w:p>
    <w:p>
      <w:pPr>
        <w:jc w:val="both"/>
        <w:ind w:firstLine="656"/>
        <w:spacing w:after="0" w:line="263" w:lineRule="auto"/>
        <w:tabs>
          <w:tab w:leader="none" w:pos="91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invalidity of one clause of the contract shall not affect the validity of other clauses of the contract. This contract is not valid for any reason</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184" w:lineRule="exact"/>
        <w:rPr>
          <w:sz w:val="20"/>
          <w:szCs w:val="20"/>
          <w:color w:val="auto"/>
        </w:rPr>
      </w:pPr>
    </w:p>
    <w:p>
      <w:pPr>
        <w:jc w:val="both"/>
        <w:ind w:firstLine="656"/>
        <w:spacing w:after="0" w:line="263" w:lineRule="auto"/>
        <w:tabs>
          <w:tab w:leader="none" w:pos="90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ind w:left="660"/>
        <w:spacing w:after="0"/>
        <w:rPr>
          <w:sz w:val="20"/>
          <w:szCs w:val="20"/>
          <w:color w:val="auto"/>
        </w:rPr>
      </w:pPr>
      <w:r>
        <w:rPr>
          <w:rFonts w:ascii="Arial" w:cs="Arial" w:eastAsia="Arial" w:hAnsi="Arial"/>
          <w:sz w:val="16"/>
          <w:szCs w:val="16"/>
          <w:color w:val="auto"/>
        </w:rPr>
        <w:t>(5) Unless otherwise specified in the contract, relevant terms and expressions in the annexes to the contract have the same meanings as those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11" w:lineRule="exact"/>
        <w:rPr>
          <w:sz w:val="20"/>
          <w:szCs w:val="20"/>
          <w:color w:val="auto"/>
        </w:rPr>
      </w:pPr>
    </w:p>
    <w:p>
      <w:pPr>
        <w:ind w:left="660" w:right="1160" w:hanging="4"/>
        <w:spacing w:after="0" w:line="500" w:lineRule="auto"/>
        <w:tabs>
          <w:tab w:leader="none" w:pos="91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headings under this contract are for convenience only and shall not be used as the basis for the contents under this heading. (no text below this page)</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page is the signature page without text)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contract is signed by and between the borrower and the lender on </w:t>
      </w:r>
      <w:r>
        <w:rPr>
          <w:rFonts w:ascii="Arial" w:cs="Arial" w:eastAsia="Arial" w:hAnsi="Arial"/>
          <w:sz w:val="17"/>
          <w:szCs w:val="17"/>
          <w:u w:val="single" w:color="auto"/>
          <w:color w:val="auto"/>
        </w:rPr>
        <w:t>March 25,2021</w:t>
      </w:r>
      <w:r>
        <w:rPr>
          <w:rFonts w:ascii="Arial" w:cs="Arial" w:eastAsia="Arial" w:hAnsi="Arial"/>
          <w:sz w:val="17"/>
          <w:szCs w:val="17"/>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Borrower(Official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representative or authorized agent (signature or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(Official seal or contract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representative / person in charge (authorized or sealed)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 Z2106LN15654078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contract for loans of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Bank of Communications Co., Ltd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Z2106LN15654078</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685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tips</w:t>
      </w:r>
    </w:p>
    <w:p>
      <w:pPr>
        <w:spacing w:after="0" w:line="225" w:lineRule="exact"/>
        <w:rPr>
          <w:sz w:val="20"/>
          <w:szCs w:val="20"/>
          <w:color w:val="auto"/>
        </w:rPr>
      </w:pPr>
    </w:p>
    <w:p>
      <w:pPr>
        <w:ind w:left="120" w:right="120" w:firstLine="324"/>
        <w:spacing w:after="0" w:line="282" w:lineRule="auto"/>
        <w:rPr>
          <w:sz w:val="20"/>
          <w:szCs w:val="20"/>
          <w:color w:val="auto"/>
        </w:rPr>
      </w:pPr>
      <w:r>
        <w:rPr>
          <w:rFonts w:ascii="Arial" w:cs="Arial" w:eastAsia="Arial" w:hAnsi="Arial"/>
          <w:sz w:val="18"/>
          <w:szCs w:val="18"/>
          <w:b w:val="1"/>
          <w:bCs w:val="1"/>
          <w:color w:val="auto"/>
        </w:rPr>
        <w:t>The borrower is requested to carefully read the full text of this contract, especially the clauses marked with ▲▲. In case of any doubt, please timely submit it to the lender for explanation.</w:t>
      </w:r>
    </w:p>
    <w:p>
      <w:pPr>
        <w:spacing w:after="0" w:line="2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view of the borrower’s application for working capital loan line from the lender, in order to clarify the rights and obligations of both parties, the borrower and the lender hereby enter into this contract through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p>
      <w:pPr>
        <w:ind w:left="660"/>
        <w:spacing w:after="0"/>
        <w:rPr>
          <w:sz w:val="20"/>
          <w:szCs w:val="20"/>
          <w:color w:val="auto"/>
        </w:rPr>
      </w:pPr>
      <w:r>
        <w:rPr>
          <w:rFonts w:ascii="Arial" w:cs="Arial" w:eastAsia="Arial" w:hAnsi="Arial"/>
          <w:sz w:val="18"/>
          <w:szCs w:val="18"/>
          <w:color w:val="auto"/>
        </w:rPr>
        <w:t>Article 1 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“Line” refers to the maximum amount of the loan balance (under the revolving line) or total loan (under the one-time line) that the lender may issue to the borrower according to the contract. According to the contract, the line can be a revolving line or a one-time line (only used once or multiple times).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“Revolving credit line” means that the borrower can apply for the use of the credit line multiple times in accordance with the contract to obtain the loan, but the loan balance cannot exceed the agreed credit line.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“One time limit” means that the borrower can apply for the use limit one time or multiple times to obtain the loan according to the contract, but the total amount of the loan withdrawn shall not exceed the agreed limit.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 balance” refers to the sum of the principal amount of the loan obtained and outstanding by the borrower under this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“Line balance” refers to the amount of the line after deducting the loan balance (under the revolving line) or the total loan (under the one-time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line).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“Credit period” refers to the period during which the lender grants loans to the borrower according to the application of the borrower and the contract, which belongs to the occurrence period of the loan rather than the loan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 term” refers to the term of each loan determined by both parties in the corresponding application for use of loan line of Bank of Communications (hereinafter referred to as “application for use of loan line”).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 market quotation rate (LPR)” refers to the quotation rate of loan market issued by the national interbank lending center on the 20th of each month (postponed in case of holidays).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“Bank working day” and “working day” refer to the open business day of the bank&amp;apos;s corporate business in the place where the lender is located, excluding legal holidays and rest days (except for business due to holiday adjustment). If the loan date, repayment date, interest payment date, maturity date and other obligation performance dates meet non bank working days, they shall be postponed to the next bank working day accordingly.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648"/>
        <w:spacing w:after="0" w:line="263" w:lineRule="auto"/>
        <w:rPr>
          <w:sz w:val="20"/>
          <w:szCs w:val="20"/>
          <w:color w:val="auto"/>
        </w:rPr>
      </w:pPr>
      <w:r>
        <w:rPr>
          <w:rFonts w:ascii="Arial" w:cs="Arial" w:eastAsia="Arial" w:hAnsi="Arial"/>
          <w:sz w:val="18"/>
          <w:szCs w:val="18"/>
          <w:color w:val="auto"/>
        </w:rPr>
        <w:t>Related parties, related party transactions, major investors and individuals have the same meaning as the same words in the accounting standards for Business Enterprises No. 36 - disclosure of related parties (CK [2006] No. 3) issued by the Ministry of Finance and the subsequent amendments to the standards.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 use of quota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 when the borrower needs to use the line, it shall apply to the lender at least 5 banking days in advance. When applying, the application form for the use of credit line shall be filled in and can be used only after being reviewed and approved by the lender.</w:t>
      </w:r>
    </w:p>
    <w:p>
      <w:pPr>
        <w:spacing w:after="0" w:line="170" w:lineRule="exact"/>
        <w:rPr>
          <w:sz w:val="20"/>
          <w:szCs w:val="20"/>
          <w:color w:val="auto"/>
        </w:rPr>
      </w:pPr>
    </w:p>
    <w:p>
      <w:pPr>
        <w:ind w:left="1060" w:hanging="404"/>
        <w:spacing w:after="0"/>
        <w:tabs>
          <w:tab w:leader="none" w:pos="106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2.2 Each use of the quota is subject to meeting all the following conditions:</w:t>
      </w:r>
    </w:p>
    <w:p>
      <w:pPr>
        <w:spacing w:after="0" w:line="225" w:lineRule="exact"/>
        <w:rPr>
          <w:sz w:val="20"/>
          <w:szCs w:val="20"/>
          <w:color w:val="auto"/>
        </w:rPr>
      </w:pPr>
    </w:p>
    <w:p>
      <w:pPr>
        <w:ind w:left="920" w:hanging="264"/>
        <w:spacing w:after="0"/>
        <w:tabs>
          <w:tab w:leader="none" w:pos="9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loan balance (under the revolving credit line) or the total loan amount (under the one-time credit line) does not exceed the credit line;</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amount of the loan applied for shall not exceed the balance of the quota;</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use application date and loan granting date are within the credit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loan term and maturity date of the loan shall comply with the provisions of this contract;</w:t>
      </w:r>
    </w:p>
    <w:p>
      <w:pPr>
        <w:spacing w:after="0" w:line="225" w:lineRule="exact"/>
        <w:rPr>
          <w:rFonts w:ascii="Arial" w:cs="Arial" w:eastAsia="Arial" w:hAnsi="Arial"/>
          <w:sz w:val="18"/>
          <w:szCs w:val="18"/>
          <w:color w:val="auto"/>
        </w:rPr>
      </w:pPr>
    </w:p>
    <w:p>
      <w:pPr>
        <w:ind w:right="20" w:firstLine="656"/>
        <w:spacing w:after="0" w:line="277" w:lineRule="auto"/>
        <w:tabs>
          <w:tab w:leader="none" w:pos="92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guarantee contract (if any) under this contract has become effective and continues to be valid. If the guarantee contract is a mortgage contract and / or pledge contract, the security interest has been established and continues to be valid;</w:t>
      </w:r>
    </w:p>
    <w:p>
      <w:pPr>
        <w:spacing w:after="0" w:line="170" w:lineRule="exact"/>
        <w:rPr>
          <w:rFonts w:ascii="Arial" w:cs="Arial" w:eastAsia="Arial" w:hAnsi="Arial"/>
          <w:sz w:val="18"/>
          <w:szCs w:val="18"/>
          <w:color w:val="auto"/>
        </w:rPr>
      </w:pPr>
    </w:p>
    <w:p>
      <w:pPr>
        <w:ind w:firstLine="656"/>
        <w:spacing w:after="0" w:line="277" w:lineRule="auto"/>
        <w:tabs>
          <w:tab w:leader="none" w:pos="91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borrower has completed the government permission, approval, registration and other formalities that must be handled according to law when applying for loan and required by the lender, and such permission, approval or registration is continuously valid;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ind w:left="960" w:hanging="304"/>
        <w:spacing w:after="0"/>
        <w:tabs>
          <w:tab w:leader="none" w:pos="9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After the effectiveness of this contract, there has been no significant adverse change in the borrower&amp;apos;s operating and financial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conditions;</w:t>
      </w:r>
    </w:p>
    <w:p>
      <w:pPr>
        <w:spacing w:after="0" w:line="210" w:lineRule="exact"/>
        <w:rPr>
          <w:rFonts w:ascii="Arial" w:cs="Arial" w:eastAsia="Arial" w:hAnsi="Arial"/>
          <w:sz w:val="17"/>
          <w:szCs w:val="17"/>
          <w:color w:val="auto"/>
        </w:rPr>
      </w:pPr>
    </w:p>
    <w:p>
      <w:pPr>
        <w:ind w:left="920" w:hanging="264"/>
        <w:spacing w:after="0"/>
        <w:tabs>
          <w:tab w:leader="none" w:pos="9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borrower&amp;apos;s application complies with the requirements of the lender&amp;apos;s relevant rules and regulations;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borrower has not violated the contract;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payment method of the loan complies with the provisions of this contract. If the entrusted payment is adopted by the lender, the lender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agrees to pay;</w:t>
      </w:r>
    </w:p>
    <w:p>
      <w:pPr>
        <w:spacing w:after="0" w:line="210" w:lineRule="exact"/>
        <w:rPr>
          <w:rFonts w:ascii="Arial" w:cs="Arial" w:eastAsia="Arial" w:hAnsi="Arial"/>
          <w:sz w:val="16"/>
          <w:szCs w:val="16"/>
          <w:color w:val="auto"/>
        </w:rPr>
      </w:pPr>
    </w:p>
    <w:p>
      <w:pPr>
        <w:ind w:firstLine="656"/>
        <w:spacing w:after="0" w:line="277" w:lineRule="auto"/>
        <w:tabs>
          <w:tab w:leader="none" w:pos="98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For foreign currency loans, the borrower has provided documents proving that the loan complies with relevant foreign exchange management policies, including but not limited to valid certificates or registration documents for foreign exchange purposes;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borrower has designated a special fund return account and signed an account management agreement as required by the lender.</w:t>
      </w:r>
    </w:p>
    <w:p>
      <w:pPr>
        <w:spacing w:after="0" w:line="237" w:lineRule="exact"/>
        <w:rPr>
          <w:sz w:val="20"/>
          <w:szCs w:val="20"/>
          <w:color w:val="auto"/>
        </w:rPr>
      </w:pPr>
    </w:p>
    <w:p>
      <w:pPr>
        <w:ind w:firstLine="656"/>
        <w:spacing w:after="0" w:line="230" w:lineRule="exact"/>
        <w:tabs>
          <w:tab w:leader="none" w:pos="104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2.3 If the lender agrees to grant the loan, the final loan information shall be subject to the contents in the bank print column of the application for use of line</w:t>
      </w:r>
      <w:r>
        <w:rPr>
          <w:rFonts w:ascii="SimSun" w:cs="SimSun" w:eastAsia="SimSun" w:hAnsi="SimSun"/>
          <w:sz w:val="18"/>
          <w:szCs w:val="18"/>
          <w:color w:val="auto"/>
        </w:rPr>
        <w:t>《</w:t>
      </w:r>
      <w:r>
        <w:rPr>
          <w:rFonts w:ascii="Arial" w:cs="Arial" w:eastAsia="Arial" w:hAnsi="Arial"/>
          <w:sz w:val="18"/>
          <w:szCs w:val="18"/>
          <w:color w:val="auto"/>
        </w:rPr>
        <w:t>The application for quota use is used as the loan voucher.</w:t>
      </w:r>
    </w:p>
    <w:p>
      <w:pPr>
        <w:spacing w:after="0" w:line="216" w:lineRule="exact"/>
        <w:rPr>
          <w:rFonts w:ascii="Arial" w:cs="Arial" w:eastAsia="Arial" w:hAnsi="Arial"/>
          <w:sz w:val="18"/>
          <w:szCs w:val="18"/>
          <w:color w:val="auto"/>
        </w:rPr>
      </w:pPr>
    </w:p>
    <w:p>
      <w:pPr>
        <w:jc w:val="both"/>
        <w:ind w:firstLine="656"/>
        <w:spacing w:after="0" w:line="311" w:lineRule="auto"/>
        <w:tabs>
          <w:tab w:leader="none" w:pos="1049"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2.4 If the currency of the quota application is inconsistent with the currency of the quota, it shall be converted according to the exchange rate at the beginning of each day published by Bank of Communications Co., Ltd. for the purpose of determining the quota balance only. If there is no directly applicable exchange rate, it shall be converted by bank of Communications Co., Ltd. according to the exchange rate determined in a reasonable way.</w:t>
      </w:r>
    </w:p>
    <w:p>
      <w:pPr>
        <w:spacing w:after="0" w:line="148" w:lineRule="exact"/>
        <w:rPr>
          <w:rFonts w:ascii="Arial" w:cs="Arial" w:eastAsia="Arial" w:hAnsi="Arial"/>
          <w:sz w:val="16"/>
          <w:szCs w:val="16"/>
          <w:b w:val="1"/>
          <w:bCs w:val="1"/>
          <w:color w:val="auto"/>
        </w:rPr>
      </w:pPr>
    </w:p>
    <w:p>
      <w:pPr>
        <w:jc w:val="both"/>
        <w:ind w:firstLine="656"/>
        <w:spacing w:after="0" w:line="263" w:lineRule="auto"/>
        <w:tabs>
          <w:tab w:leader="none" w:pos="1062"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2.5 After the borrower becomes the shareholder of the guarantor or the “actual controller” as defined in the company law, the lender has the right to suspend or cancel the unused loan line of the borrower before the guarantor provides the resolution of its shareholders&amp;apos; meeting (shareholders&amp;apos; meeting) on agreeing to provide guarantee for the borrower accepted by the lender.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ind w:left="660"/>
        <w:spacing w:after="0"/>
        <w:rPr>
          <w:sz w:val="20"/>
          <w:szCs w:val="20"/>
          <w:color w:val="auto"/>
        </w:rPr>
      </w:pPr>
      <w:r>
        <w:rPr>
          <w:rFonts w:ascii="Arial" w:cs="Arial" w:eastAsia="Arial" w:hAnsi="Arial"/>
          <w:sz w:val="18"/>
          <w:szCs w:val="18"/>
          <w:color w:val="auto"/>
        </w:rPr>
        <w:t>Article 3 interest rate and calculation and payment of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 Basic rules for determining interest rates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3.1.1 The loan interest rate under this contract is calculated based on the loan market quotation interest rate (LPR) as the pricing benchmark and according to the loan market quotation interest rate (LPR) plus (minus) points (1 basis point is 0.01%, 1 percentage point is 100 basis points). The interest rate shall be agreed in the application for quota use after negotiation between both parties at each use.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both parties agree to apply fixed interest rate in the quota use application, if the specific value is recorded in the fixed interest rate value field, the specific interest rate of each loan shall be subject to the value recorded in the fixed interest rate value field in the quota use application, These specific values are determined on the basis of the specific value of the loan market quotation interest rate (LPR) applicable to the applicable date of the pricing benchmark agreed in the quota use application (hereinafter referred to as “LPR value”) and according to the plus (minus) point value agreed in the quota use application. If no specific value is recorded in the fixed interest rate value field, the specific interest rate of each loan is determined based on the LPR value applicable to the applicable date of the pricing benchmark agreed in the quota use application and according to the plus (minus) point value agreed in the quota use application.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both parties agree on the applicable floating interest rate in the application for quota use, the specific interest rate of each loan shall be based on the LPR value applicable to the applicable date of the pricing benchmark agreed in the application for quota use, according to the plus (minus) point value, interest rate floating rules, interest rate floating cycle The unit of interest rate floating cycle and the floating start date of specific date (if necessary) shall be determined.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both"/>
        <w:ind w:firstLine="648"/>
        <w:spacing w:after="0" w:line="263" w:lineRule="auto"/>
        <w:rPr>
          <w:sz w:val="20"/>
          <w:szCs w:val="20"/>
          <w:color w:val="auto"/>
        </w:rPr>
      </w:pPr>
      <w:r>
        <w:rPr>
          <w:rFonts w:ascii="Arial" w:cs="Arial" w:eastAsia="Arial" w:hAnsi="Arial"/>
          <w:sz w:val="18"/>
          <w:szCs w:val="18"/>
          <w:color w:val="auto"/>
        </w:rPr>
        <w:t>3.1.2 If the currency is RMB, daily interest rate = monthly interest rate / 30, monthly interest rate = annual interest rate / 12;If the currency is Hong Kong dollar, British pound and Australian dollar, the daily interest rate = annual interest rate / 365;If the currencies are USD, euro, Japanese yen and other foreign currencies accepted by the lender, the daily interest rate = annual interest rate / 360.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3.2 lending rate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loan interest rate at the time of each loan is determined based on the applicable LPR value of the “applicable date of pricing benchmark” agreed in the corresponding quota use application, and according to the plus (minus) point value agreed in the quota use application. Take “applicable date of pricing benchmark” as t day, and the applicable LPR value on t day is the latest published loan market quotation interest rate (LPR) value before t day.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Adjustment of interest rate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3.3.1 If the application for the use of credit line is recorded as a fixed interest rate, the interest rate recorded in the loan shall be implemented within the loan term.</w:t>
      </w:r>
    </w:p>
    <w:p>
      <w:pPr>
        <w:spacing w:after="0" w:line="170" w:lineRule="exact"/>
        <w:rPr>
          <w:sz w:val="20"/>
          <w:szCs w:val="20"/>
          <w:color w:val="auto"/>
        </w:rPr>
      </w:pPr>
    </w:p>
    <w:p>
      <w:pPr>
        <w:jc w:val="both"/>
        <w:ind w:firstLine="656"/>
        <w:spacing w:after="0" w:line="263" w:lineRule="auto"/>
        <w:tabs>
          <w:tab w:leader="none" w:pos="10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3.3.2 if the application for use of quota records a floating interest rate, the loan interest rate adjustment date shall be determined according to the interest rate floating rules, interest rate floating cycle, interest rate floating cycle unit and specific date floating start date (if necessary) agreed in the application for use of quota, and the adjusted interest rate shall apply from the loan interest rate adjustment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8" w:name="page279"/>
    <w:bookmarkEnd w:id="278"/>
    <w:p>
      <w:pPr>
        <w:jc w:val="both"/>
        <w:ind w:firstLine="648"/>
        <w:spacing w:after="0" w:line="289" w:lineRule="auto"/>
        <w:rPr>
          <w:sz w:val="20"/>
          <w:szCs w:val="20"/>
          <w:color w:val="auto"/>
        </w:rPr>
      </w:pPr>
      <w:r>
        <w:rPr>
          <w:rFonts w:ascii="Arial" w:cs="Arial" w:eastAsia="Arial" w:hAnsi="Arial"/>
          <w:sz w:val="16"/>
          <w:szCs w:val="16"/>
          <w:color w:val="auto"/>
        </w:rPr>
        <w:t>3.3.2.1 If the quoted interest rate (LPR) of the loan market is adjusted during the loan period, the period of loan interest rate adjustment shall be calculated from the “loan entry date” or “specific start date” selected in the “interest rate floating rules”. The empty column of interest rate floating cycle is filled in the number of interest rate floating cycles. The interest rate floating cycle unit can be selected by day or by month. If “1” is filled in the number of interest rate floating cycles and “by day” is selected as the floating cycle unit, the loan interest rate adjustment date is the loan market quoted interest rate (LPR) adjustment date; If “3” is filled in the number of interest rate floating cycles and “by day” is selected as the floating cycle unit, the loan interest rate adjustment date is the day every 3 days from the “loan entry date” or “specific date floating start date”;If “1” is filled in the number of interest rate floating cycles and “by month” is selected as the floating cycle unit, the loan interest rate adjustment date is every month from the “loan entry date” or “specific date floating start date”; If “3” is filled in the number of interest rate floating cycles and “by month” is selected as the floating cycle unit, the loan interest rate adjustment date is every 3 months from the “loan entry date” or “floating start date of specific date”, and so 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3.3.2.2 The loan interest rate on the loan interest rate adjustment date shall be determined on the basis of the LPR value applicable on the loan interest rate adjustment date, and the increase (decrease) point value of the interest rate shall remain unchanged (except for the increase (decrease) point value adjusted by both parties through consultation). Take “loan interest rate adjustment date” as t date, and the applicable LPR value on t date is the latest published loan market quotation interest rate (LPR) value before t date.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3.3.3 If the market quoted interest rate (LPR) of the loan is cancelled according to the regulatory requirements or the corresponding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stops issuing according to the regulatory requirements, the two parties shall negotiate and adjust the loan interest rate separately, but the adjusted interest rate shall not be lower than the then applicable interest rate; If both parties fail to reach an agreement on the adjusted interest rate more than 1 month since the date when the loan market quoted interest rate (LPR) is cancelled or stopped issuing, the lender has the right to announce the early maturity of the loan.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right="20" w:firstLine="648"/>
        <w:spacing w:after="0" w:line="277" w:lineRule="auto"/>
        <w:rPr>
          <w:sz w:val="20"/>
          <w:szCs w:val="20"/>
          <w:color w:val="auto"/>
        </w:rPr>
      </w:pPr>
      <w:r>
        <w:rPr>
          <w:rFonts w:ascii="Arial" w:cs="Arial" w:eastAsia="Arial" w:hAnsi="Arial"/>
          <w:sz w:val="18"/>
          <w:szCs w:val="18"/>
          <w:color w:val="auto"/>
        </w:rPr>
        <w:t>(3.3.4) the two parties can adjust the value of plus or minus of the corresponding loan interest rate after each loan interest rate is adjusted by the Nikkei consensus.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3.4 If the loan currency is RMB, the penalty interest rate of overdue loan shall rise by 50% according to the interest rate agreed in the contract, and the penalty interest rate of misappropriated loan shall rise by 100% according to the interest rate agreed in the contract. If the quoted interest rate (LPR) of the floating rate loan is adjusted, the lender has the right to adjust the penalty interest rate applicable to each loan accordingly, and the new penalty interest rate shall apply from the date of adjustment of the loan interest rate agreed in the corresponding quota use application.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Calculation of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3.5.1 Normal interest = interest rate agreed in the contract×Loan amount×Occupied days.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number of occupied days is calculated from the lending date (inclusive) to the maturity date (exclusive). When the maturity date is a non working day, it shall be postponed. The extended period shall be included in the number of occupied days, and the interest shall still be calculated according to the contract.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3.5.2 The penalty interest of overdue loans and misappropriated loans shall be calculated according to the amount overdue or misappropriated and the actual number of days (from the date of overdue or misappropriation (inclusive) to the date of principal and interest repayment (exclusive)).</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3.5.3 If the calculated interest / penalty interest has a large number of decimal places, the lender will retain two decimal places according to the rounding method.</w:t>
      </w:r>
    </w:p>
    <w:p>
      <w:pPr>
        <w:spacing w:after="0" w:line="170" w:lineRule="exact"/>
        <w:rPr>
          <w:sz w:val="20"/>
          <w:szCs w:val="20"/>
          <w:color w:val="auto"/>
        </w:rPr>
      </w:pPr>
    </w:p>
    <w:p>
      <w:pPr>
        <w:ind w:firstLine="656"/>
        <w:spacing w:after="0" w:line="277" w:lineRule="auto"/>
        <w:tabs>
          <w:tab w:leader="none" w:pos="10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3.6 if the borrower repays in advance or the lender recovers the loan in advance according to the contract, the corresponding interest rate grade will not be adjusted, but the interest rate agreed in the contract will still be implemented.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jc w:val="both"/>
        <w:ind w:firstLine="648"/>
        <w:spacing w:after="0" w:line="277" w:lineRule="auto"/>
        <w:rPr>
          <w:sz w:val="20"/>
          <w:szCs w:val="20"/>
          <w:color w:val="auto"/>
        </w:rPr>
      </w:pPr>
      <w:r>
        <w:rPr>
          <w:rFonts w:ascii="Arial" w:cs="Arial" w:eastAsia="Arial" w:hAnsi="Arial"/>
          <w:sz w:val="18"/>
          <w:szCs w:val="18"/>
          <w:color w:val="auto"/>
        </w:rPr>
        <w:t>3.7 If the loan currency is foreign currency, the determination of interest rate, adjustment of interest rate, penalty interest rate for overdue and misappropriation of loans shall be subject to the provisions of Article 17 of the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4 payment of loans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4.1 If the loan granting account designated by the borrower is a special loan granting account opened at the lender, the loan granting and payment shall be handled through this account. This account is only used for the issuance and external payment of loan funds. It only sells “settlement business application” vouchers. It cannot handle checks, bills of exchange, bank acceptance bills and other businesses, and cannot be used for other settlement. When the borrower pays and handles the loan fund allocation independently, it must be handled at the counter of the account opening outlet. The deposit interest of the account shall be included in the borrower&amp;apos;s repayment account.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4.2 When the borrower withdraws the loan according to the contract, it shall specify the payment method (entrusted payment by the lender or independent payment by the borrower), and only one payment method can be used for each withdrawal.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4.3 The lender&amp;apos;s entrusted payment refers to the lender&amp;apos;s direct payment of the loan funds to the borrower&amp;apos;s counterparty for the purpose agreed in this contract through the borrower&amp;apos;s account after issuing the loan according to the borrower&amp;apos;s entrusted payment power of attorney.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amount of a single payment exceeds the autonomous payment limit or meets one of the conditions agreed in article 19.3, the entrusted payment method of loan shall be adopted.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firstLine="648"/>
        <w:spacing w:after="0" w:line="259" w:lineRule="auto"/>
        <w:rPr>
          <w:sz w:val="20"/>
          <w:szCs w:val="20"/>
          <w:color w:val="auto"/>
        </w:rPr>
      </w:pPr>
      <w:r>
        <w:rPr>
          <w:rFonts w:ascii="Arial" w:cs="Arial" w:eastAsia="Arial" w:hAnsi="Arial"/>
          <w:sz w:val="18"/>
          <w:szCs w:val="18"/>
          <w:color w:val="auto"/>
        </w:rPr>
        <w:t>If the entrusted payment is adopted by the lender, the borrower shall submit the application for the use of the line, the corresponding entrusted payment power of attorney and other materials required by the lender (including but not limited to business contracts, invoices, receipt documents and other transaction materials), specify the amount of the loan and the object and amount of payment, and the amount of the loan shall be equal to the total amount of payment.</w:t>
      </w:r>
    </w:p>
    <w:p>
      <w:pPr>
        <w:spacing w:after="0" w:line="187" w:lineRule="exact"/>
        <w:rPr>
          <w:sz w:val="20"/>
          <w:szCs w:val="20"/>
          <w:color w:val="auto"/>
        </w:rPr>
      </w:pPr>
    </w:p>
    <w:p>
      <w:pPr>
        <w:ind w:firstLine="656"/>
        <w:spacing w:after="0" w:line="308" w:lineRule="auto"/>
        <w:tabs>
          <w:tab w:leader="none" w:pos="106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the payment proposed by the borrower does not comply with the provisions of this contract or the corresponding business contract or has other defects, the lender has the right to refuse the payment and return the entrusted payment power of attorney submitted by the borrower.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5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the lender agrees to pay, if the external payment cannot be made or the payment refund occurs due to the error of the information provided by the borrower, the borrower shall resubmit the relevant documents and materials containing the correct information within the time limit specified by the lender. Therefore, the lender shall not be liable for the delay or failure of payment.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4.4 The borrower&amp;apos;s independent payment means that after the lender issues the loan funds to the borrower&amp;apos;s account according to the contract, the borrower shall independently pay them to the borrower&amp;apos;s counterparty for the purpose agreed in the contract.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borrower pays independently, the borrower shall submit the application for the use of the line, the instructions for the use of funds and other materials required by the lender to the lender. The borrower shall summarize and report the payment of loan funds to the lender on time. The lender has the right to verify whether the loan payment meets the agreed purpose through account analysis, voucher inspection, on-site investigation, etc., and the borrower must cooperate with the lender in the verification.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ind w:left="660"/>
        <w:spacing w:after="0"/>
        <w:rPr>
          <w:sz w:val="20"/>
          <w:szCs w:val="20"/>
          <w:color w:val="auto"/>
        </w:rPr>
      </w:pPr>
      <w:r>
        <w:rPr>
          <w:rFonts w:ascii="Arial" w:cs="Arial" w:eastAsia="Arial" w:hAnsi="Arial"/>
          <w:sz w:val="18"/>
          <w:szCs w:val="18"/>
          <w:color w:val="auto"/>
        </w:rPr>
        <w:t>Article 5 repayment of loans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 The borrower shall repay according to the repayment date and amount recorded in the corresponding application for use of credit line.</w:t>
      </w:r>
    </w:p>
    <w:p>
      <w:pPr>
        <w:spacing w:after="0" w:line="225" w:lineRule="exact"/>
        <w:rPr>
          <w:sz w:val="20"/>
          <w:szCs w:val="20"/>
          <w:color w:val="auto"/>
        </w:rPr>
      </w:pPr>
    </w:p>
    <w:p>
      <w:pPr>
        <w:ind w:left="1060" w:hanging="404"/>
        <w:spacing w:after="0"/>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5.2 the borrower cannot repay the loan in advance without the written consent of the lender.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5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5.3 the repayment arrangement of principal and interest agreed by the borrower and the lender in the application for the use of line is the true expression of intention reached by both parties on a voluntary basis after negotiation. Under the repayment arrangement selected by both parties, whether the principal is repaid before the interest does not affect the borrower&amp;apos;s repayment responsibility for the interest payable, and the borrower shall not raise a defense against the repayment of the interest payable. Under any repayment arrangement, the borrower shall be liable for repayment of all principal and interest payable.</w:t>
      </w:r>
    </w:p>
    <w:p>
      <w:pPr>
        <w:spacing w:after="0" w:line="187" w:lineRule="exact"/>
        <w:rPr>
          <w:rFonts w:ascii="Arial" w:cs="Arial" w:eastAsia="Arial" w:hAnsi="Arial"/>
          <w:sz w:val="18"/>
          <w:szCs w:val="18"/>
          <w:color w:val="auto"/>
        </w:rPr>
      </w:pPr>
    </w:p>
    <w:p>
      <w:pPr>
        <w:ind w:firstLine="656"/>
        <w:spacing w:after="0" w:line="277" w:lineRule="auto"/>
        <w:tabs>
          <w:tab w:leader="none" w:pos="106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5.4 when the borrower&amp;apos;s repayment (including the borrower&amp;apos;s active repayment and the lender&amp;apos;s deduction in accordance with the contract) fails to pay off all the borrower&amp;apos;s debts in full:</w:t>
      </w:r>
    </w:p>
    <w:p>
      <w:pPr>
        <w:spacing w:after="0" w:line="170" w:lineRule="exact"/>
        <w:rPr>
          <w:sz w:val="20"/>
          <w:szCs w:val="20"/>
          <w:color w:val="auto"/>
        </w:rPr>
      </w:pPr>
    </w:p>
    <w:p>
      <w:pPr>
        <w:jc w:val="both"/>
        <w:ind w:firstLine="656"/>
        <w:spacing w:after="0" w:line="259" w:lineRule="auto"/>
        <w:tabs>
          <w:tab w:leader="none" w:pos="90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It shall first be used to pay off the overdue expenses. If the principal and interest are overdue for less than 90 days, the balance after offsetting the expenses shall be used to offset the due and unpaid interest, penalty interest and compound interest, and then used to offset the due and unpaid principal;If the principal or interest is overdue for more than 90 days, the balance after offsetting the expenses shall be used to offset the due and unpaid principal first, and then to offset the due and unpaid interest, penalty interest and compound interest;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2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 has several debts (including the borrower&amp;apos;s debts to the Lender under other contracts), and the lender has the right to determine the repayment and offset order of each debt of the borrower at its own discretion, as long as the offset order does not violate the mandatory provisions of applicable laws, regulations, rules and relevant regulatory requirements of the lender. The lender shall notify the borrower of the result of debt repayment. Unless otherwise agreed by both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660"/>
        <w:spacing w:after="0"/>
        <w:rPr>
          <w:sz w:val="20"/>
          <w:szCs w:val="20"/>
          <w:color w:val="auto"/>
        </w:rPr>
      </w:pPr>
      <w:r>
        <w:rPr>
          <w:rFonts w:ascii="Arial" w:cs="Arial" w:eastAsia="Arial" w:hAnsi="Arial"/>
          <w:sz w:val="18"/>
          <w:szCs w:val="18"/>
          <w:color w:val="auto"/>
        </w:rPr>
        <w:t>Article 6 representations and warranties of the borrower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6.1 The borrower is legally established and exists, has all necessary rights and capabilities, and can perform its obligations under this contract and bear civil liabilities in its own name.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6.2 The signing and performance of this contract is the true expression of intention of the borrower, and has been subject to all necessary consent, approval and authorization, without any legal defects.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6.3 The borrower&amp;apos;s production and operation are legal and compliant, has the ability of sustainable operation, has legal repayment sources, does not involve major environmental and social risks, and has no major bad credit record. The senior management of the borrower has no bad record.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6.4 All documents, statements, materials and information provided by the borrower to the lender in the process of signing and performing this contract are true, accurate, complete and effective, do not conceal any information that may affect its financial status and repayment ability from the lender, and the financial status of the borrower has not changed significantly since the date of the latest financial statement report.</w:t>
      </w:r>
    </w:p>
    <w:p>
      <w:pPr>
        <w:spacing w:after="0" w:line="165" w:lineRule="exact"/>
        <w:rPr>
          <w:sz w:val="20"/>
          <w:szCs w:val="20"/>
          <w:color w:val="auto"/>
        </w:rPr>
      </w:pPr>
    </w:p>
    <w:p>
      <w:pPr>
        <w:jc w:val="both"/>
        <w:ind w:firstLine="656"/>
        <w:spacing w:after="0" w:line="263" w:lineRule="auto"/>
        <w:tabs>
          <w:tab w:leader="none" w:pos="106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6.5 neither the borrower nor its affiliates are enterprises or individuals in the sanctions list of the United Nations, the European Union or the United States and the list of risks related to terrorism and anti money laundering issued by Chinese government departments or competent authorities; It is not located in countries and regions sanctioned by the United Nations, the European Union or the United States.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656"/>
        <w:spacing w:after="0" w:line="257" w:lineRule="auto"/>
        <w:tabs>
          <w:tab w:leader="none" w:pos="110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6.6 the borrower guarantees to comply with the national anti money laundering laws, regulations and relevant policies, not to engage in assisting others in money laundering, terrorist financing, tax evasion, evasion of bank debt, cash withdrawal, telecommunications fraud, illegal fund-raising and other illegal activities, and actively cooperate with the lender in customer identification, transaction record preservation, customer identity and transaction background due diligence Large sum and suspicious transaction reports and other anti money laundering work, and provide relevant supporting materials as required by the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7 rights and obligations of the Lender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7.1 The lender has the right to recover the loan principal and interest (including compound interest, penalty interest for overdue and misappropriated loans, etc.) in accordance with the contract, collect the fees payable by the borrower, decide to recover the loan in advance according to the return of the borrower&amp;apos;s funds, and exercise other rights stipulated by law or the contract.</w:t>
      </w:r>
    </w:p>
    <w:p>
      <w:pPr>
        <w:spacing w:after="0" w:line="184" w:lineRule="exact"/>
        <w:rPr>
          <w:sz w:val="20"/>
          <w:szCs w:val="20"/>
          <w:color w:val="auto"/>
        </w:rPr>
      </w:pPr>
    </w:p>
    <w:p>
      <w:pPr>
        <w:jc w:val="both"/>
        <w:ind w:firstLine="656"/>
        <w:spacing w:after="0" w:line="263" w:lineRule="auto"/>
        <w:tabs>
          <w:tab w:leader="none" w:pos="109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7.2 during the performance of this contract, the lender will only conduct formal review on the materials provided by the borrower. If the lender fails to complete the entrusted payment in time due to the untrue, inaccurate or incomplete materials provided by the borrower or the borrower&amp;apos;s payment in violation of the contract, the lender shall not be liable.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5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7.3 the lender shall issue loans and handle payment in accordance with the contract. If the lender fails to issue the loan or handle the payment on time due to any of the following reasons, the lender shall not be liable, but will timely notify the borrower: the loan account designated by the borrower is frozen, the account of the payment object is frozen, force majeure, communication or network failure, Lender system failure, etc. Unless otherwise agreed in the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5" w:name="page286"/>
    <w:bookmarkEnd w:id="285"/>
    <w:p>
      <w:pPr>
        <w:ind w:left="660"/>
        <w:spacing w:after="0"/>
        <w:rPr>
          <w:sz w:val="20"/>
          <w:szCs w:val="20"/>
          <w:color w:val="auto"/>
        </w:rPr>
      </w:pPr>
      <w:r>
        <w:rPr>
          <w:rFonts w:ascii="Arial" w:cs="Arial" w:eastAsia="Arial" w:hAnsi="Arial"/>
          <w:sz w:val="18"/>
          <w:szCs w:val="18"/>
          <w:color w:val="auto"/>
        </w:rPr>
        <w:t>Article 8 obligations of the borrower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8.1 The borrower shall repay the loan principal under this contract and pay interest according to the time, amount, currency and interest rate recorded in this contract and the corresponding quota use application.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 return account designated by the borrower is used to collect the corresponding sales revenue or planned repayment funds. If the corresponding sales revenue is settled in non cash, the borrower shall ensure that the funds are transferred to the fund return account in time after receiving the funds. The borrower shall provide the capital in and out of the capital return account as required by the lender.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8.2 The borrower shall use the loan according to the purpose agreed in the contract and the purpose determined in the corresponding application for the use of the loan, shall not misappropriate the loan for other purposes, and shall not use the loan for fixed asset investment, equity investment and fields and purposes prohibited by the state.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borrower shall use the loan funds in the agreed manner, and shall not evade the entrusted payment of the lender by breaking up the whole into parts; If the borrower pays independently, the borrower shall use the loan within a reasonable time according to the requirements of the lender&amp;apos;s regulatory authority, and the payment of loan funds shall comply with the provisions of this contract.</w:t>
      </w:r>
    </w:p>
    <w:p>
      <w:pPr>
        <w:spacing w:after="0" w:line="184" w:lineRule="exact"/>
        <w:rPr>
          <w:sz w:val="20"/>
          <w:szCs w:val="20"/>
          <w:color w:val="auto"/>
        </w:rPr>
      </w:pPr>
    </w:p>
    <w:p>
      <w:pPr>
        <w:jc w:val="both"/>
        <w:ind w:firstLine="656"/>
        <w:spacing w:after="0" w:line="263" w:lineRule="auto"/>
        <w:tabs>
          <w:tab w:leader="none" w:pos="108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8.3 the borrower shall bear the settlement expenses (if any) for the payment of loan funds (including entrusted payment by the lender and independent payment by the borrower). The specific charges shall be implemented in accordance with laws, regulations, rules, regulatory provisions and the then effective service charge list of Bank of Communications published by the lender.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lending account is a special loan issuing account. When the loan funds are paid (including the entrusted payment of the lender and the independent payment of the borrower), if the collection account does not belong to the account opened in the Bank of communications, the fund payment may be handled through the payment system of the people&amp;apos;s Bank of China or the local exchange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jc w:val="both"/>
        <w:ind w:right="20" w:firstLine="648"/>
        <w:spacing w:after="0" w:line="263" w:lineRule="auto"/>
        <w:rPr>
          <w:sz w:val="20"/>
          <w:szCs w:val="20"/>
          <w:color w:val="auto"/>
        </w:rPr>
      </w:pPr>
      <w:r>
        <w:rPr>
          <w:rFonts w:ascii="Arial" w:cs="Arial" w:eastAsia="Arial" w:hAnsi="Arial"/>
          <w:sz w:val="18"/>
          <w:szCs w:val="18"/>
          <w:color w:val="auto"/>
        </w:rPr>
        <w:t>If the lending account is not a special loan issuing account, when the loan funds are paid (including the entrusted payment of the lender and the independent payment of the borrower), if the collection account is an account of another bank in another place, the fund payment shall be handled through the payment system of the people&amp;apos;s Bank of China.</w:t>
      </w:r>
    </w:p>
    <w:p>
      <w:pPr>
        <w:spacing w:after="0" w:line="184" w:lineRule="exact"/>
        <w:rPr>
          <w:sz w:val="20"/>
          <w:szCs w:val="20"/>
          <w:color w:val="auto"/>
        </w:rPr>
      </w:pPr>
    </w:p>
    <w:p>
      <w:pPr>
        <w:jc w:val="both"/>
        <w:ind w:firstLine="656"/>
        <w:spacing w:after="0" w:line="259" w:lineRule="auto"/>
        <w:tabs>
          <w:tab w:leader="none" w:pos="106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8.4 the borrower shall cooperate with the lender in the management of loan payment and the supervision and inspection of loan use and the borrower&amp;apos;s operation, and timely provide the financial statements, loan fund use records and materials, transaction information of related parties and related parties, environmental and social risk reports, other materials and information required by the lender for post loan risk management,And ensure that the documents, materials and information provided are true, complete and accurate.</w:t>
      </w:r>
    </w:p>
    <w:p>
      <w:pPr>
        <w:spacing w:after="0" w:line="186" w:lineRule="exact"/>
        <w:rPr>
          <w:rFonts w:ascii="Arial" w:cs="Arial" w:eastAsia="Arial" w:hAnsi="Arial"/>
          <w:sz w:val="18"/>
          <w:szCs w:val="18"/>
          <w:color w:val="auto"/>
        </w:rPr>
      </w:pPr>
    </w:p>
    <w:p>
      <w:pPr>
        <w:ind w:firstLine="656"/>
        <w:spacing w:after="0" w:line="308" w:lineRule="auto"/>
        <w:tabs>
          <w:tab w:leader="none" w:pos="105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8.5 the borrower shall notify the lender in writing at least 30 days in advance of any of the following matters, and shall not take action before paying off all loan principal and interest under the contract or providing repayment scheme and guarantee approved by the lender:</w:t>
      </w:r>
    </w:p>
    <w:p>
      <w:pPr>
        <w:spacing w:after="0" w:line="146" w:lineRule="exact"/>
        <w:rPr>
          <w:sz w:val="20"/>
          <w:szCs w:val="20"/>
          <w:color w:val="auto"/>
        </w:rPr>
      </w:pPr>
    </w:p>
    <w:p>
      <w:pPr>
        <w:ind w:left="920" w:hanging="264"/>
        <w:spacing w:after="0"/>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Sell, gift, lease, lend, transfer, mortgage, pledge or otherwise dispose of all or most of the assets or important assets;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Major changes have taken place in the business system or property right organization form, including but not limited to the implementation of contracting, leasing, joint venture, corporate transformation, joint-stock cooperative transformation, enterprise sale, merger (merger), joint venture (cooperation), division, establishment of subsidiaries, equity transfer, property right transfer, capital reduction, etc.</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Foreign investment or increased debt financing exceeds the agreed limit.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ind w:left="660"/>
        <w:spacing w:after="0"/>
        <w:rPr>
          <w:sz w:val="20"/>
          <w:szCs w:val="20"/>
          <w:color w:val="auto"/>
        </w:rPr>
      </w:pPr>
      <w:r>
        <w:rPr>
          <w:rFonts w:ascii="Arial" w:cs="Arial" w:eastAsia="Arial" w:hAnsi="Arial"/>
          <w:sz w:val="16"/>
          <w:szCs w:val="16"/>
          <w:color w:val="auto"/>
        </w:rPr>
        <w:t>▲▲ 8.6 the borrower shall notify the lender in writing within 7 days from the date of occurrence or possible occurrence of the following events:</w:t>
      </w:r>
    </w:p>
    <w:p>
      <w:pPr>
        <w:spacing w:after="0" w:line="248" w:lineRule="exact"/>
        <w:rPr>
          <w:sz w:val="20"/>
          <w:szCs w:val="20"/>
          <w:color w:val="auto"/>
        </w:rPr>
      </w:pPr>
    </w:p>
    <w:p>
      <w:pPr>
        <w:ind w:firstLine="656"/>
        <w:spacing w:after="0" w:line="342" w:lineRule="auto"/>
        <w:tabs>
          <w:tab w:leader="none" w:pos="94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borrower or its affiliates modify the articles of association, change the business registration items such as enterprise name, legal representative (person in charge), domicile, mailing address or business scope, or make decisions that have a significant impact on finance and personnel;</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its affiliates or guarantors intend to apply for bankruptcy or may or has been applied for bankruptcy by creditors;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3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or its affiliates are involved in major litigation, arbitration and administrative measures, or property preservation or other coercive measures are taken for the main assets or the collateral under the contract, or the safety and integrity of the main assets or the collateral under the contract are or may be affected, or the value is reduced or may be reduced;</w:t>
      </w:r>
    </w:p>
    <w:p>
      <w:pPr>
        <w:spacing w:after="0" w:line="183" w:lineRule="exact"/>
        <w:rPr>
          <w:rFonts w:ascii="Arial" w:cs="Arial" w:eastAsia="Arial" w:hAnsi="Arial"/>
          <w:sz w:val="18"/>
          <w:szCs w:val="18"/>
          <w:color w:val="auto"/>
        </w:rPr>
      </w:pPr>
    </w:p>
    <w:p>
      <w:pPr>
        <w:ind w:firstLine="656"/>
        <w:spacing w:after="0" w:line="277" w:lineRule="auto"/>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or its affiliates provide guarantee for the third party, which has a significant adverse impact on its economic status, financial status or ability to perform its obligations under the contract;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or its affiliates sign contracts that have a significant impact on its operation and financial status;</w:t>
      </w:r>
    </w:p>
    <w:p>
      <w:pPr>
        <w:spacing w:after="0" w:line="225" w:lineRule="exact"/>
        <w:rPr>
          <w:rFonts w:ascii="Arial" w:cs="Arial" w:eastAsia="Arial" w:hAnsi="Arial"/>
          <w:sz w:val="18"/>
          <w:szCs w:val="18"/>
          <w:color w:val="auto"/>
        </w:rPr>
      </w:pPr>
    </w:p>
    <w:p>
      <w:pPr>
        <w:ind w:right="20" w:firstLine="656"/>
        <w:spacing w:after="0" w:line="277" w:lineRule="auto"/>
        <w:tabs>
          <w:tab w:leader="none" w:pos="91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pays off the undue debts in advance or gives priority to other due debts, adds mortgage and pledge for other existing debts, or makes any arrangement with similar effect or signs relevant documents;</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its affiliates or guarantors stop production, close down, dissolve, close down for rectification, are revoked or their business licenses are revoked;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disappearance of the borrower or its affiliates, the main individual investors of the borrower or its affiliates, the legal representative (person in charge), directors or key management personnel of the borrower or its affiliates, involving violations of laws and regulations or violation of applicable exchange rules or abnormal changes;</w:t>
      </w:r>
    </w:p>
    <w:p>
      <w:pPr>
        <w:spacing w:after="0" w:line="183" w:lineRule="exact"/>
        <w:rPr>
          <w:rFonts w:ascii="Arial" w:cs="Arial" w:eastAsia="Arial" w:hAnsi="Arial"/>
          <w:sz w:val="18"/>
          <w:szCs w:val="18"/>
          <w:color w:val="auto"/>
        </w:rPr>
      </w:pPr>
    </w:p>
    <w:p>
      <w:pPr>
        <w:ind w:right="20" w:firstLine="656"/>
        <w:spacing w:after="0" w:line="277" w:lineRule="auto"/>
        <w:tabs>
          <w:tab w:leader="none" w:pos="92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Serious difficulties in the operation of the borrower or its affiliates, or deterioration of its financial condition, or other events that have a negative impact on the operation, financial condition, solvency or economic condition of the borrower or its affiliates;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8" w:name="page289"/>
    <w:bookmarkEnd w:id="288"/>
    <w:p>
      <w:pPr>
        <w:ind w:left="1000" w:hanging="344"/>
        <w:spacing w:after="0"/>
        <w:tabs>
          <w:tab w:leader="none" w:pos="10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Related party transactions occur, and the transaction amount reaches or exceeds 10% of the latest audited net assets;</w:t>
      </w:r>
    </w:p>
    <w:p>
      <w:pPr>
        <w:spacing w:after="0" w:line="225" w:lineRule="exact"/>
        <w:rPr>
          <w:rFonts w:ascii="Arial" w:cs="Arial" w:eastAsia="Arial" w:hAnsi="Arial"/>
          <w:sz w:val="18"/>
          <w:szCs w:val="18"/>
          <w:color w:val="auto"/>
        </w:rPr>
      </w:pPr>
    </w:p>
    <w:p>
      <w:pPr>
        <w:ind w:firstLine="656"/>
        <w:spacing w:after="0" w:line="277" w:lineRule="auto"/>
        <w:tabs>
          <w:tab w:leader="none" w:pos="101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Before paying off all debts under this contract, the borrower becomes or may become the shareholder of the guarantor or the “actual controller” as defined in the company law;</w:t>
      </w:r>
    </w:p>
    <w:p>
      <w:pPr>
        <w:spacing w:after="0" w:line="197" w:lineRule="exact"/>
        <w:rPr>
          <w:rFonts w:ascii="Arial" w:cs="Arial" w:eastAsia="Arial" w:hAnsi="Arial"/>
          <w:sz w:val="18"/>
          <w:szCs w:val="18"/>
          <w:color w:val="auto"/>
        </w:rPr>
      </w:pPr>
    </w:p>
    <w:p>
      <w:pPr>
        <w:ind w:right="20" w:firstLine="656"/>
        <w:spacing w:after="0" w:line="277" w:lineRule="auto"/>
        <w:tabs>
          <w:tab w:leader="none" w:pos="10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borrower or its affiliates cause liability accidents or are exposed by the media due to violation of laws and regulations, regulatory provisions, national policies or industrial standards;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Safety or environmental protection accidents of the borrower or its affiliates;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Changes in the control or controlled relationship between the borrower&amp;apos;s related parties and the borrower;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Significant equity changes of the borrower or related parties;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audit opinion of the borrower&amp;apos;s external auditor on its financial statements is not a standard unqualified opinion;</w:t>
      </w:r>
    </w:p>
    <w:p>
      <w:pPr>
        <w:spacing w:after="0" w:line="225" w:lineRule="exact"/>
        <w:rPr>
          <w:rFonts w:ascii="Arial" w:cs="Arial" w:eastAsia="Arial" w:hAnsi="Arial"/>
          <w:sz w:val="18"/>
          <w:szCs w:val="18"/>
          <w:color w:val="auto"/>
        </w:rPr>
      </w:pPr>
    </w:p>
    <w:p>
      <w:pPr>
        <w:ind w:firstLine="656"/>
        <w:spacing w:after="0" w:line="277" w:lineRule="auto"/>
        <w:tabs>
          <w:tab w:leader="none" w:pos="99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other similar measures by the competent authorities for violating laws, regulations and / or regulatory requirements;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9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borrower or its affiliates are included in the sanctions list of the United Nations, the European Union or the United States, as well as the list of risks related to terrorism and anti money laundering issued by Chinese government departments or competent authorities; Or its country and region are included in the list of sanctions countries and regions such as the United Nations, the European Union or the United States;</w:t>
      </w:r>
    </w:p>
    <w:p>
      <w:pPr>
        <w:spacing w:after="0" w:line="165" w:lineRule="exact"/>
        <w:rPr>
          <w:rFonts w:ascii="Arial" w:cs="Arial" w:eastAsia="Arial" w:hAnsi="Arial"/>
          <w:sz w:val="17"/>
          <w:szCs w:val="17"/>
          <w:color w:val="auto"/>
        </w:rPr>
      </w:pPr>
    </w:p>
    <w:p>
      <w:pPr>
        <w:ind w:left="1000" w:hanging="344"/>
        <w:spacing w:after="0"/>
        <w:tabs>
          <w:tab w:leader="none" w:pos="10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Other major adverse events affecting the solvency of the borrower or its affiliates occur.</w:t>
      </w:r>
    </w:p>
    <w:p>
      <w:pPr>
        <w:spacing w:after="0" w:line="225" w:lineRule="exact"/>
        <w:rPr>
          <w:sz w:val="20"/>
          <w:szCs w:val="20"/>
          <w:color w:val="auto"/>
        </w:rPr>
      </w:pPr>
    </w:p>
    <w:p>
      <w:pPr>
        <w:ind w:firstLine="656"/>
        <w:spacing w:after="0" w:line="277" w:lineRule="auto"/>
        <w:tabs>
          <w:tab w:leader="none" w:pos="10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8.7 when the guarantee under this contract changes against the creditor&amp;apos;s rights of the lender, the borrower shall timely provide other guarantees approved by the lender as required by the lender.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“change” mentioned in this paragraph includes but is not limited to: the guarantor merges, splits, stops production, goes out of business, dissolves, goes out of business for rectification, is revoked, the business license is revoked, applies for or is applied for bankruptcy; The operation or financial status of the guarantor has changed significantly; The guarantor is involved in major litigation, arbitration, administrative measures, or property preservation or other coercive measures have been taken for its main assets; The security and integrity of the collateral is or may be affected; The value of the collateral decreases or may decrease, or compulsory measures such as seizure and property preservation are taken; The guarantor or its legal representative (principal) or key management personnel are involved in violation of laws and regulations or the applicable exchange rules; If the guarantor is an individual, the guarantor is missing or dead (declared dead);The guarantor is in breach of contract under the guarantee contract; Disputes between the guarantor and the borrower; The guarantor requests to terminate the guarantee contract; The guarantee contract is not effective, invalid or revoked; The security interest is not established or invalid; Or other events affecting the safety of the creditor&amp;apos;s rights of the lender.</w:t>
      </w:r>
    </w:p>
    <w:p>
      <w:pPr>
        <w:spacing w:after="0" w:line="166" w:lineRule="exact"/>
        <w:rPr>
          <w:sz w:val="20"/>
          <w:szCs w:val="20"/>
          <w:color w:val="auto"/>
        </w:rPr>
      </w:pPr>
    </w:p>
    <w:p>
      <w:pPr>
        <w:jc w:val="both"/>
        <w:ind w:firstLine="656"/>
        <w:spacing w:after="0" w:line="286" w:lineRule="auto"/>
        <w:tabs>
          <w:tab w:leader="none" w:pos="109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8.8 the borrower promises that from the date of signing this contract to the completion of all loan principal, interest and related expenses under this contract, the borrower&amp;apos;s financial indicators, external agency rating and production and operation qualification / license always comply with the contract. If the production and operation qualification / license needs annual review, it shall pass the annual review on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9" w:name="page290"/>
    <w:bookmarkEnd w:id="289"/>
    <w:p>
      <w:pPr>
        <w:jc w:val="both"/>
        <w:ind w:firstLine="648"/>
        <w:spacing w:after="0" w:line="257" w:lineRule="auto"/>
        <w:rPr>
          <w:sz w:val="20"/>
          <w:szCs w:val="20"/>
          <w:color w:val="auto"/>
        </w:rPr>
      </w:pPr>
      <w:r>
        <w:rPr>
          <w:rFonts w:ascii="Arial" w:cs="Arial" w:eastAsia="Arial" w:hAnsi="Arial"/>
          <w:sz w:val="18"/>
          <w:szCs w:val="18"/>
          <w:color w:val="auto"/>
        </w:rPr>
        <w:t>8.9 The borrower guarantees that the borrower, the borrower&amp;apos;s staff and agents will not provide, give, demand or receive any form of material benefits (including but not limited to cash, physical cards, tourism, etc.) or other non-material benefits to the lender or the lender&amp;apos;s staff in any form;Not use the funds or services provided by the lender directly or indirectly in any form for activities related to corruption or bribery; If the borrower is aware of any violation of this article, it shall timely, truthfully, completely and accurately provide clues and relevant information to the lender, and cooperate with relevant matters as required by the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9 adjustment of credit limit, early maturity of loan and risk repricing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 Any of the following events shall be deemed as the “early expiration event” of the contract:</w:t>
      </w:r>
    </w:p>
    <w:p>
      <w:pPr>
        <w:spacing w:after="0" w:line="225" w:lineRule="exact"/>
        <w:rPr>
          <w:sz w:val="20"/>
          <w:szCs w:val="20"/>
          <w:color w:val="auto"/>
        </w:rPr>
      </w:pPr>
    </w:p>
    <w:p>
      <w:pPr>
        <w:ind w:left="920" w:hanging="264"/>
        <w:spacing w:after="0"/>
        <w:tabs>
          <w:tab w:leader="none" w:pos="9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fails to repay the loan principal or pay interest as agreed in any application for quota use under this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representations and warranties made by the borrower under this contract are untrue;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Any event listed in article 8.6 to be notified actually occurs, affecting or possibly affecting the safety of the creditor&amp;apos;s rights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firstLine="656"/>
        <w:spacing w:after="0" w:line="277" w:lineRule="auto"/>
        <w:tabs>
          <w:tab w:leader="none" w:pos="90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Due to changes in laws, regulations and regulatory policies, the lender&amp;apos;s granting of loans in accordance with the contract constitutes or may constitute violation of laws or regulations;</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When performing other contracts with the lender or contracts with a third party, the borrower may have breached the contract or the debt may have been declared to be due ahead of schedule;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borrower violates other provisions of this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 In case of any “early maturity event”, the lender has the right to take one, more or all of the following measures:</w:t>
      </w:r>
    </w:p>
    <w:p>
      <w:pPr>
        <w:spacing w:after="0" w:line="225" w:lineRule="exact"/>
        <w:rPr>
          <w:sz w:val="20"/>
          <w:szCs w:val="20"/>
          <w:color w:val="auto"/>
        </w:rPr>
      </w:pPr>
    </w:p>
    <w:p>
      <w:pPr>
        <w:ind w:left="920" w:hanging="264"/>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Reduce, suspend or cancel the quota under the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Stop issuing loans that have not been withdrawn by the borrower;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Stop the payment of the loan withdrawn but not used by the borrower;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Require the borrower to negotiate with the lender on supplementary loan issuance and payment conditions within a limited time limit;</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Require the borrower to change the payment method as required by the lender;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Implement the risk repricing of the loan in accordance with Article 9.3;</w:t>
      </w:r>
    </w:p>
    <w:p>
      <w:pPr>
        <w:spacing w:after="0" w:line="225" w:lineRule="exact"/>
        <w:rPr>
          <w:rFonts w:ascii="Arial" w:cs="Arial" w:eastAsia="Arial" w:hAnsi="Arial"/>
          <w:sz w:val="18"/>
          <w:szCs w:val="18"/>
          <w:color w:val="auto"/>
        </w:rPr>
      </w:pPr>
    </w:p>
    <w:p>
      <w:pPr>
        <w:ind w:firstLine="656"/>
        <w:spacing w:after="0" w:line="277" w:lineRule="auto"/>
        <w:tabs>
          <w:tab w:leader="none" w:pos="92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Unilaterally announce that all the loan principal issued under the contract will expire in advance, and require the borrower to immediately repay all the loan principal due and settle the interest.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0" w:name="page291"/>
    <w:bookmarkEnd w:id="290"/>
    <w:p>
      <w:pPr>
        <w:jc w:val="both"/>
        <w:ind w:right="20" w:firstLine="648"/>
        <w:spacing w:after="0" w:line="263" w:lineRule="auto"/>
        <w:rPr>
          <w:sz w:val="20"/>
          <w:szCs w:val="20"/>
          <w:color w:val="auto"/>
        </w:rPr>
      </w:pPr>
      <w:r>
        <w:rPr>
          <w:rFonts w:ascii="Arial" w:cs="Arial" w:eastAsia="Arial" w:hAnsi="Arial"/>
          <w:sz w:val="18"/>
          <w:szCs w:val="18"/>
          <w:color w:val="auto"/>
        </w:rPr>
        <w:t>9.3 According to the production and operation of the borrower at the time of signing this contract, both parties have determined the interest rate agreed in this contract and its adjustment after consensus. The borrower agrees that in case of any “early maturity event”, the lender has the right to reprice the risk of the loan in accordance with this article.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9.3.1 Risk repricing includes negotiated repricing and direct increase of loan interest rate. The risk repricing method adopted in this contract shall be agreed by both parties in Article 21.</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9.3.2 “Negotiated repricing” means that the lender has the right to require the borrower to negotiate with the lender to increase the loan interest rate within a limited time limit, and both parties determine the “repricing date” and relevant interest rate in the form of supplementary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9.3.3 “Direct increase of loan interest rate” means that the lender has the right to directly increase the loan interest rate in accordance with this article and Article 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9.3.3.1 From the “repricing date” notified by the lender to the borrower in writing, the increased loan interest rate shall be implemented for each loan outstanding by the borrower as of the “repricing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9.3.3.2 If the loan currency is RMB, the increased loan interest rate of each loan shall be determined according to the plus (minus) point value agreed in Article 21 based on the applicable LPR value on the “repricing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“repricing date” is taken as t date, and the applicable LPR value on t date is the latest published loan market quotation interest rate (LPR) value before 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9.3.3.3 If the loan currency is foreign currency, the increased loan interest rate shall be determined in accordance with Article 21.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9.3.4 After the lender performs risk repricing as agreed above, the new interest rate shall be implemented from the “repricing date”. On the basis of this interest rate, it is still subject to floating adjustment as agreed in Article 3 of the contract. If both parties agree to change relevant agreements through consultation, the changed agreements shall prevail. If the loan is overdue (including the borrower&amp;apos;s failure to repay on time or the lender&amp;apos;s declaration of early maturity) or misappropriated, the penalty interest rate for overdue and misappropriation shall be determined on the basis of the new interest rate (including the interest rate after floating adjustment as agreed in this contract), and the interest rate for calculating compound interest shall be adjusted accordingly.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9.3.5 The implementation of “risk repricing” shall not be deemed or interpreted as the lender waiving other rights stipulated by laws and regulations and agreed in this contract. The lender has the right to take other creditor&amp;apos;s rights protection measures in accordance with laws, regulations and the contract, including but not limited to the measures agreed in article 9.2.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10 breach of contract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10.1 If the borrower fails to repay the loan principal in full and on time, pay interest or use the loan according to the purpose agreed in this contract, the lender shall calculate and charge interest according to the penalty interest rate of overdue loan or the penalty interest rate of misappropriated loan, and charge compound interest on the unpaid interest payable. If the penalty interest rate is adjusted according to the contract, the interest rate for calculating compound interest shall be adjusted accordingly.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10.2 If the borrower fails to repay the loan principal and interest in full and on time, it shall bear the urging fees, legal fees (or arbitration fees), preservation fees, announcement fees, execution fees, lawyer fees, travel expenses and other expenses paid by the lender to realize the creditor&amp;apos;s rights.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ind w:left="660"/>
        <w:spacing w:after="0"/>
        <w:rPr>
          <w:sz w:val="20"/>
          <w:szCs w:val="20"/>
          <w:color w:val="auto"/>
        </w:rPr>
      </w:pPr>
      <w:r>
        <w:rPr>
          <w:rFonts w:ascii="Arial" w:cs="Arial" w:eastAsia="Arial" w:hAnsi="Arial"/>
          <w:sz w:val="18"/>
          <w:szCs w:val="18"/>
          <w:color w:val="auto"/>
        </w:rPr>
        <w:t>▲▲ Article 11 deduction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11.1 When the borrower authorizes the due loan principal, interest, default interest, compound interest or other expenses, the lender has the right to deduct the funds in any account opened by the borrower in all branches of Bank of communications for repayment.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11.2 After deduction, the lender shall notify the borrower of the account number, contract number, application for use of line number, deduction amount and remaining debt amount involved in the deduction.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11.3 If the deducted income is insufficient to pay off all the debts of the borrower, the debt paid off shall be determined according to the contract.</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11.4 If the currency of the deducted income is inconsistent with that of the debt to be offset, it shall be converted into the amount of the debt to be offset at the exchange rate published by Bank of Communications Co., Ltd. at the time of deduction. If it is necessary to go through the procedures of settlement and sale of foreign exchange or foreign exchange conversion, the borrower is obliged to assist the lender in handling the procedures as required by the lender, and the exchange rate risk shall be borne by the borrower.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12 notice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 The contact information (including mailing address, telephone number, fax number, etc.) filled in by the borrower in this contract is true and valid. In case of any change in contact information, the borrower shall immediately send / send the change information in writing to the mailing address filled in by the lender in this contract. Such information change shall take effect after the lender receives the change notice.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12.2 Unless otherwise expressly agreed in this contract, the lender has the right to notify the borrower in any of the following ways. The lender shall have the right to choose the appropriate method of notice, and shall not be liable for transmission errors, omissions or delays in postal, fax, telephone or any other communication system. If the lender chooses multiple notification methods at the same time, the one that reaches the borrower faster shall prevail. If the lender sends more than one notice to the borrower on the same matter and the contents of the notice are different, unless otherwise specified in the notice, the notice sent later shall prevail.</w:t>
      </w:r>
    </w:p>
    <w:p>
      <w:pPr>
        <w:spacing w:after="0" w:line="188" w:lineRule="exact"/>
        <w:rPr>
          <w:sz w:val="20"/>
          <w:szCs w:val="20"/>
          <w:color w:val="auto"/>
        </w:rPr>
      </w:pPr>
    </w:p>
    <w:p>
      <w:pPr>
        <w:ind w:firstLine="656"/>
        <w:spacing w:after="0" w:line="277" w:lineRule="auto"/>
        <w:tabs>
          <w:tab w:leader="none" w:pos="90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For announcement, the date on which the lender issues an announcement on its website, online banking, telephone banking or business outlets shall be deemed as the date of service;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case of personal service, the date of receipt by the borrower shall be deemed as the date of service;</w:t>
      </w:r>
    </w:p>
    <w:p>
      <w:pPr>
        <w:spacing w:after="0" w:line="225" w:lineRule="exact"/>
        <w:rPr>
          <w:rFonts w:ascii="Arial" w:cs="Arial" w:eastAsia="Arial" w:hAnsi="Arial"/>
          <w:sz w:val="18"/>
          <w:szCs w:val="18"/>
          <w:color w:val="auto"/>
        </w:rPr>
      </w:pPr>
    </w:p>
    <w:p>
      <w:pPr>
        <w:ind w:right="20" w:firstLine="656"/>
        <w:spacing w:after="0" w:line="277" w:lineRule="auto"/>
        <w:tabs>
          <w:tab w:leader="none" w:pos="91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Mail (including express mail, ordinary mail and registered mail) shall be delivered to the borrower&amp;apos;s latest known mailing address, and the 3rd (same city) / 5th (different place) after the date of mailing shall be deemed as the date of delivery;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When fax, mobile phone short message or other electronic communication means are sent to the borrower&amp;apos;s fax number, mobile phone number or e-mail address designated by the borrower, the date of sending shall be deemed as the date of service. The aforementioned delivery means that relevant information enters the server terminal of the service provider without taking the actual display of relevant information in the client terminal as the standard.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2" w:name="page293"/>
    <w:bookmarkEnd w:id="292"/>
    <w:p>
      <w:pPr>
        <w:jc w:val="both"/>
        <w:ind w:firstLine="648"/>
        <w:spacing w:after="0" w:line="255" w:lineRule="auto"/>
        <w:rPr>
          <w:sz w:val="20"/>
          <w:szCs w:val="20"/>
          <w:color w:val="auto"/>
        </w:rPr>
      </w:pPr>
      <w:r>
        <w:rPr>
          <w:rFonts w:ascii="Arial" w:cs="Arial" w:eastAsia="Arial" w:hAnsi="Arial"/>
          <w:sz w:val="18"/>
          <w:szCs w:val="18"/>
          <w:color w:val="auto"/>
        </w:rPr>
        <w:t>12.3 The borrower agrees that unless the lender receives the borrower&amp;apos;s written notice on the change of mailing address, the mailing address filled in by the borrower in this contract is the address for the court to serve judicial documents and other written documents on the borrower. The scope of application of the above service address includes but is not limited to the first instance, second instance, retrial and execution procedures of civil proceedings. If the borrower responds to the lawsuit and directly submits the confirmation of service address to the court, and the confirmation address is inconsistent with the latest known mailing address of the lender, the court has the right to serve according to the address on the confirmation of service address.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process of dispute resolution of this contract, the court may serve the judgment, ruling and mediation on the borrower in any of the following ways:</w:t>
      </w:r>
    </w:p>
    <w:p>
      <w:pPr>
        <w:spacing w:after="0" w:line="170" w:lineRule="exact"/>
        <w:rPr>
          <w:sz w:val="20"/>
          <w:szCs w:val="20"/>
          <w:color w:val="auto"/>
        </w:rPr>
      </w:pPr>
    </w:p>
    <w:p>
      <w:pPr>
        <w:ind w:firstLine="656"/>
        <w:spacing w:after="0" w:line="277" w:lineRule="auto"/>
        <w:tabs>
          <w:tab w:leader="none" w:pos="90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For postal service (including express mail, ordinary mail and registered mail), the date of receipt signed by the borrower on the service return certificate shall be the date of service;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case of personal service, the date on which the borrower signs the service receipt shall be deemed as the date of service.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court uses the method of postal service (including express mail, ordinary mail and registered mail), if the borrower fails to sign on the service return certificate, or the communication address filled in by the borrower is inaccurate or the communication address is actually changed, but the lender does not receive the borrower&amp;apos;s written notice on changing the communication address, resulting in the return of the judgment, ruling and mediation, The date on which the document is returned shall be deemed as the date of service.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court adopts the method of personal service, if the borrower fails to sign on the service receipt, the date when the sender records the situation on the service receipt on the spot shall be the date of service.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judgment, ruling and mediation, the court has the right to give any notice to the borrower by any means of communication agreed in article 12.2. The court shall have the right to choose the appropriate means of communication and shall not be liable for transmission errors, omissions or delays in postal, fax, telephone, telex or any other communication system. If the court chooses multiple means of communication at the same time, the one that reaches the borrower faster shall prevail.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12.4 This clause is an independent dispute resolution clause in the contract. If the contract is invalid, revoked or terminated, the validity of this clause shall not be affected.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13 information disclosure and confidentiality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13.1 For the unpublished information and materials of the borrower obtained and known during the signing and performance of this contract, the lender shall not use the relevant information and materials in violation of laws, regulations and regulatory requirements, and shall bear the responsibility of confidentiality according to law, and shall not disclose such information and materials to a third party, except under the following circumstances:</w:t>
      </w:r>
    </w:p>
    <w:p>
      <w:pPr>
        <w:spacing w:after="0" w:line="149" w:lineRule="exact"/>
        <w:rPr>
          <w:sz w:val="20"/>
          <w:szCs w:val="20"/>
          <w:color w:val="auto"/>
        </w:rPr>
      </w:pPr>
    </w:p>
    <w:p>
      <w:pPr>
        <w:ind w:left="920" w:hanging="264"/>
        <w:spacing w:after="0"/>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Disclosure required by applicable laws and regulations;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disclosure according to law;</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When the borrower fails to repay the loan principal and / or pay interest in full and on time, the lender needs to disclose to the lender&amp;apos;s external professional consultant and allow the lender&amp;apos;s external professional consultant to use it on a confidential basis in order to realize the creditor&amp;apos;s rights under this contract;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borrower agrees or authorizes the lender to make disclosure.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jc w:val="both"/>
        <w:ind w:firstLine="648"/>
        <w:spacing w:after="0" w:line="277" w:lineRule="auto"/>
        <w:rPr>
          <w:sz w:val="20"/>
          <w:szCs w:val="20"/>
          <w:color w:val="auto"/>
        </w:rPr>
      </w:pPr>
      <w:r>
        <w:rPr>
          <w:rFonts w:ascii="Arial" w:cs="Arial" w:eastAsia="Arial" w:hAnsi="Arial"/>
          <w:sz w:val="18"/>
          <w:szCs w:val="18"/>
          <w:color w:val="auto"/>
        </w:rPr>
        <w:t>13.2 The borrower confirms that it has signed the letter of authorization for credit information inquiry and provision. The lender shall inquire, use and save the borrower&amp;apos;s credit information within the scope specified in the power of attorney.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13.3 In addition to the circumstances specified in articles 13.1 and 13.2 of the contract, the Borrower further agrees that bank of Communications Co., Ltd. can use or disclose the borrower&amp;apos;s information and materials, including but not limited to the borrower&amp;apos;s basic information, credit transaction information, bad information and other relevant information and materials, and is willing to bear all consequences arising therefrom:</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 services to outsourcing institutions, third-party service providers, other financial institutions and other institutions or individuals deemed necessary by the lender for the following purposes, including but not limited to other branches of Bank of communications, or subsidiaries wholly or partially owned by Bank of communications, Disclose and allow them to use such information and materials on a confidential basis: j to carry out bank credit business or related to bank credit business, such as promoting the credit business of Bank of Communications Co., Ltd., collecting the borrower&amp;apos;s arrears, transferring the creditor&amp;apos;s rights of bank credit business, etc; k Provide or may provide new products or services or further services for the lender to the borrower.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applicability of this article 13.3 shall be subject to the agreement of both parties in Article 24 of the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14 application of law and dispute resolution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contract shall be governed by the laws of the people&amp;apos;s Republic of China (excluding the laws of Hong Kong, Macao and Taiwan for the purpose of this contract). Unless otherwise agreed in this contract, the disputes under this contract shall be brought to the court with jurisdiction in the place where the lender is located. During the dispute period, each party shall continue to perform the terms not involved in the dispute.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15 effectiveness and composition of the contract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15.1 This contract shall come into force after being signed (or sealed) by the legal representative (principal) or authorized representative of the borrower and affixed with the official seal, and signed (or sealed) by the principal or authorized representative of the lender and affixed with the special seal for contract.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15.2 The application for quota use signed when using the quota under the contract and other relevant documents and materials are an integral part of the contract.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15.3 The application for quota use is a supplement to this contract. Unless otherwise agreed in the application for use of credit line, the rights, obligations and related matters between the borrower and the lender shall still be implemented in accordance with the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16 specific contents of quota</w:t>
      </w:r>
    </w:p>
    <w:p>
      <w:pPr>
        <w:spacing w:after="0" w:line="192" w:lineRule="exact"/>
        <w:rPr>
          <w:sz w:val="20"/>
          <w:szCs w:val="20"/>
          <w:color w:val="auto"/>
        </w:rPr>
      </w:pPr>
    </w:p>
    <w:p>
      <w:pPr>
        <w:jc w:val="both"/>
        <w:ind w:firstLine="648"/>
        <w:spacing w:after="0" w:line="250" w:lineRule="exact"/>
        <w:rPr>
          <w:sz w:val="20"/>
          <w:szCs w:val="20"/>
          <w:color w:val="auto"/>
        </w:rPr>
      </w:pPr>
      <w:r>
        <w:rPr>
          <w:rFonts w:ascii="Arial" w:cs="Arial" w:eastAsia="Arial" w:hAnsi="Arial"/>
          <w:sz w:val="18"/>
          <w:szCs w:val="18"/>
          <w:color w:val="auto"/>
        </w:rPr>
        <w:t xml:space="preserve">16.1 Currency of quota: RMB; Amount in words: eight million yuan; It can be used for R RMB </w:t>
      </w:r>
      <w:r>
        <w:rPr>
          <w:rFonts w:ascii="MS PGothic" w:cs="MS PGothic" w:eastAsia="MS PGothic" w:hAnsi="MS PGothic"/>
          <w:sz w:val="18"/>
          <w:szCs w:val="18"/>
          <w:color w:val="auto"/>
        </w:rPr>
        <w:t>☐</w:t>
      </w:r>
      <w:r>
        <w:rPr>
          <w:rFonts w:ascii="Arial" w:cs="Arial" w:eastAsia="Arial" w:hAnsi="Arial"/>
          <w:sz w:val="18"/>
          <w:szCs w:val="18"/>
          <w:color w:val="auto"/>
        </w:rPr>
        <w:t xml:space="preserve"> / (foreign currency);The quota belongs to</w:t>
      </w:r>
      <w:r>
        <w:rPr>
          <w:rFonts w:ascii="MS PGothic" w:cs="MS PGothic" w:eastAsia="MS PGothic" w:hAnsi="MS PGothic"/>
          <w:sz w:val="18"/>
          <w:szCs w:val="18"/>
          <w:color w:val="auto"/>
        </w:rPr>
        <w:t>☐</w:t>
      </w:r>
      <w:r>
        <w:rPr>
          <w:rFonts w:ascii="Arial" w:cs="Arial" w:eastAsia="Arial" w:hAnsi="Arial"/>
          <w:sz w:val="18"/>
          <w:szCs w:val="18"/>
          <w:color w:val="auto"/>
        </w:rPr>
        <w:t xml:space="preserve"> revolving quota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quota (can be used multiple times) R one-time quota (only used once).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16.2 Purpose of quota: operating turnover.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16.3 The credit term is from January 29, 2021 to January 29,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17 interest rate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loan currency is foreign currency, the relevant agreements on the determination of interest rate, the adjustment of interest rate and the penalty interest rate of overdue and misappropriated loans are as follows:</w:t>
      </w:r>
    </w:p>
    <w:p>
      <w:pPr>
        <w:spacing w:after="0" w:line="170"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741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ind w:left="660"/>
        <w:spacing w:after="0"/>
        <w:rPr>
          <w:sz w:val="20"/>
          <w:szCs w:val="20"/>
          <w:color w:val="auto"/>
        </w:rPr>
      </w:pPr>
      <w:r>
        <w:rPr>
          <w:rFonts w:ascii="Arial" w:cs="Arial" w:eastAsia="Arial" w:hAnsi="Arial"/>
          <w:sz w:val="18"/>
          <w:szCs w:val="18"/>
          <w:color w:val="auto"/>
        </w:rPr>
        <w:t>Article 18 Account Agreement</w:t>
      </w:r>
    </w:p>
    <w:p>
      <w:pPr>
        <w:spacing w:after="0" w:line="191"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22"/>
          <w:szCs w:val="22"/>
          <w:color w:val="auto"/>
        </w:rPr>
        <w:t xml:space="preserve">18.1 The borrower designates the following account as the lending account, which </w:t>
      </w:r>
      <w:r>
        <w:rPr>
          <w:rFonts w:ascii="MS PGothic" w:cs="MS PGothic" w:eastAsia="MS PGothic" w:hAnsi="MS PGothic"/>
          <w:sz w:val="22"/>
          <w:szCs w:val="22"/>
          <w:color w:val="auto"/>
        </w:rPr>
        <w:t>☐</w:t>
      </w:r>
      <w:r>
        <w:rPr>
          <w:rFonts w:ascii="Arial" w:cs="Arial" w:eastAsia="Arial" w:hAnsi="Arial"/>
          <w:sz w:val="22"/>
          <w:szCs w:val="22"/>
          <w:color w:val="auto"/>
        </w:rPr>
        <w:t xml:space="preserve"> is R not the special loan issuing account opened by the borrower at the lender. If both parties agree otherwise in the corresponding quota use application, the agreement in the quota use application shall prevail.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310066865018010213932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deposit: Bank of Communications Shanghai Zhangjiang sub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18.2 Designated by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repayment account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310066865018010213932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deposit: Bank of Communications Shanghai Zhangjiang sub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The fund withdrawal account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310066865018010213932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deposit: Bank of Communications Shanghai Zhangjiang sub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19 specific agreements on loan issuance, payment and repayment</w:t>
      </w:r>
    </w:p>
    <w:p>
      <w:pPr>
        <w:spacing w:after="0" w:line="192" w:lineRule="exact"/>
        <w:rPr>
          <w:sz w:val="20"/>
          <w:szCs w:val="20"/>
          <w:color w:val="auto"/>
        </w:rPr>
      </w:pPr>
    </w:p>
    <w:p>
      <w:pPr>
        <w:ind w:firstLine="648"/>
        <w:spacing w:after="0" w:line="239" w:lineRule="exact"/>
        <w:rPr>
          <w:sz w:val="20"/>
          <w:szCs w:val="20"/>
          <w:color w:val="auto"/>
        </w:rPr>
      </w:pPr>
      <w:r>
        <w:rPr>
          <w:rFonts w:ascii="Arial" w:cs="Arial" w:eastAsia="Arial" w:hAnsi="Arial"/>
          <w:sz w:val="18"/>
          <w:szCs w:val="18"/>
          <w:color w:val="auto"/>
        </w:rPr>
        <w:t xml:space="preserve">19.1 The term of each loan drawn under this contract shall not be longer than 12 R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days, and the maturity date of all loans shall not be later than June 7,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19.2 The limit of independent payment under this contract is RMB ten thousand yuan.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19.3 If one of the following conditions is met, the entrusted payment method of the lender shall be adopted:</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741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4027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19.4 If the borrower pays independently, the borrower shall summarize and report the payment of loan funds to the lender within 15 days after the loan is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20 financial restrictions, external agency rating and production and operation qualification / license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 The external investment limit of the borrower is RMB 90 million;Increase the debt financing limit to RMB 90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ind w:left="660"/>
        <w:spacing w:after="0"/>
        <w:rPr>
          <w:sz w:val="20"/>
          <w:szCs w:val="20"/>
          <w:color w:val="auto"/>
        </w:rPr>
      </w:pPr>
      <w:r>
        <w:rPr>
          <w:rFonts w:ascii="Arial" w:cs="Arial" w:eastAsia="Arial" w:hAnsi="Arial"/>
          <w:sz w:val="18"/>
          <w:szCs w:val="18"/>
          <w:color w:val="auto"/>
        </w:rPr>
        <w:t>20.2 Contractual agreement on the borrower&amp;apos;s financial indicators:</w:t>
      </w:r>
    </w:p>
    <w:p>
      <w:pPr>
        <w:spacing w:after="0" w:line="225" w:lineRule="exact"/>
        <w:rPr>
          <w:sz w:val="20"/>
          <w:szCs w:val="20"/>
          <w:color w:val="auto"/>
        </w:rPr>
      </w:pPr>
    </w:p>
    <w:p>
      <w:pPr>
        <w:ind w:left="920" w:hanging="264"/>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20.3 Specific agreement on rating of external agencies:</w:t>
      </w:r>
    </w:p>
    <w:p>
      <w:pPr>
        <w:spacing w:after="0" w:line="225" w:lineRule="exact"/>
        <w:rPr>
          <w:sz w:val="20"/>
          <w:szCs w:val="20"/>
          <w:color w:val="auto"/>
        </w:rPr>
      </w:pPr>
    </w:p>
    <w:p>
      <w:pPr>
        <w:ind w:left="920" w:hanging="264"/>
        <w:spacing w:after="0"/>
        <w:tabs>
          <w:tab w:leader="none" w:pos="9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20.4 Specific agreement on the borrower&amp;apos;s production and operation qualification / license:</w:t>
      </w:r>
    </w:p>
    <w:p>
      <w:pPr>
        <w:spacing w:after="0" w:line="225" w:lineRule="exact"/>
        <w:rPr>
          <w:sz w:val="20"/>
          <w:szCs w:val="20"/>
          <w:color w:val="auto"/>
        </w:rPr>
      </w:pPr>
    </w:p>
    <w:p>
      <w:pPr>
        <w:ind w:left="920" w:hanging="264"/>
        <w:spacing w:after="0"/>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21 specific agreement on risk repricing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 The contract adopts the following (1) risk repricing method: (1) negotiated repricing (2) Directly raise the loan interest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 Adopting the method of “directly increasing loan interest rate”:</w:t>
      </w:r>
    </w:p>
    <w:p>
      <w:pPr>
        <w:spacing w:after="0" w:line="19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21.2.1 If the loan currency is RMB, the increased interest rate plus (minus) points are:</w:t>
      </w:r>
      <w:r>
        <w:rPr>
          <w:rFonts w:ascii="MS PGothic" w:cs="MS PGothic" w:eastAsia="MS PGothic" w:hAnsi="MS PGothic"/>
          <w:sz w:val="18"/>
          <w:szCs w:val="18"/>
          <w:color w:val="auto"/>
        </w:rPr>
        <w:t>☐</w:t>
      </w:r>
      <w:r>
        <w:rPr>
          <w:rFonts w:ascii="Arial" w:cs="Arial" w:eastAsia="Arial" w:hAnsi="Arial"/>
          <w:sz w:val="18"/>
          <w:szCs w:val="18"/>
          <w:color w:val="auto"/>
        </w:rPr>
        <w:t xml:space="preserve"> no plus or minus points</w:t>
      </w:r>
      <w:r>
        <w:rPr>
          <w:rFonts w:ascii="MS PGothic" w:cs="MS PGothic" w:eastAsia="MS PGothic" w:hAnsi="MS PGothic"/>
          <w:sz w:val="18"/>
          <w:szCs w:val="18"/>
          <w:color w:val="auto"/>
        </w:rPr>
        <w:t>☐</w:t>
      </w:r>
      <w:r>
        <w:rPr>
          <w:rFonts w:ascii="Arial" w:cs="Arial" w:eastAsia="Arial" w:hAnsi="Arial"/>
          <w:sz w:val="18"/>
          <w:szCs w:val="18"/>
          <w:color w:val="auto"/>
        </w:rPr>
        <w:t xml:space="preserve"> plus / percentage points</w:t>
      </w:r>
      <w:r>
        <w:rPr>
          <w:rFonts w:ascii="MS PGothic" w:cs="MS PGothic" w:eastAsia="MS PGothic" w:hAnsi="MS PGothic"/>
          <w:sz w:val="18"/>
          <w:szCs w:val="18"/>
          <w:color w:val="auto"/>
        </w:rPr>
        <w:t>☐</w:t>
      </w:r>
      <w:r>
        <w:rPr>
          <w:rFonts w:ascii="Arial" w:cs="Arial" w:eastAsia="Arial" w:hAnsi="Arial"/>
          <w:sz w:val="18"/>
          <w:szCs w:val="18"/>
          <w:color w:val="auto"/>
        </w:rPr>
        <w:t xml:space="preserve"> minus / percentage points. If there is another agreement on a loan, the increase (decrease) point of the interest rate after the increase of the loan shall be subject to the records in the application for the use of the applicable quota.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21.2.2 If the loan currency is foreign currency, the increased loan interest rate is: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4318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43180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22 contact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contact information of the borrower for receiving the notice agreed in Article 12 includes: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postal address: </w:t>
      </w:r>
      <w:r>
        <w:rPr>
          <w:rFonts w:ascii="Arial" w:cs="Arial" w:eastAsia="Arial" w:hAnsi="Arial"/>
          <w:sz w:val="18"/>
          <w:szCs w:val="18"/>
          <w:u w:val="single" w:color="auto"/>
          <w:color w:val="auto"/>
        </w:rPr>
        <w:t>1st floor, building 18, No. 498, GuoShouJing Road, Pudong New Area, Shanghai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Yang Xiaofeng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Postal Code: 201203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Mobile number: 13701602419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ind w:left="660"/>
        <w:spacing w:after="0"/>
        <w:rPr>
          <w:sz w:val="20"/>
          <w:szCs w:val="20"/>
          <w:color w:val="auto"/>
        </w:rPr>
      </w:pPr>
      <w:r>
        <w:rPr>
          <w:rFonts w:ascii="Arial" w:cs="Arial" w:eastAsia="Arial" w:hAnsi="Arial"/>
          <w:sz w:val="18"/>
          <w:szCs w:val="18"/>
          <w:color w:val="auto"/>
        </w:rPr>
        <w:t>Article 23 number of copies of the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contract is made in triplicate, with each party and the guarantor (if any) holding one copy.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24 other agreed matters</w:t>
      </w:r>
    </w:p>
    <w:p>
      <w:pPr>
        <w:spacing w:after="0" w:line="19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24.1 Both parties agree that this contract R applicable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 to Article 13.3.</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24.2 the payment method of the loan under this contract shall be subject to the application for use of credit line signed by the lender.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455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741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4556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Borrower: ChinaLink Professional Services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(person in charge): Yang Xiaofeng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address: </w:t>
      </w:r>
      <w:r>
        <w:rPr>
          <w:rFonts w:ascii="Arial" w:cs="Arial" w:eastAsia="Arial" w:hAnsi="Arial"/>
          <w:sz w:val="18"/>
          <w:szCs w:val="18"/>
          <w:u w:val="single" w:color="auto"/>
          <w:color w:val="auto"/>
        </w:rPr>
        <w:t>Room 26C01, No. 828-838, Zhangyang Road, China (Shanghai) pilot Free Trade Zone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Lender: Bank of Communications Co., Ltd. Shanghai new branch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 in charge: Chen 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No. 230, Xinjinqiao Road,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0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300" w:lineRule="exact"/>
        <w:rPr>
          <w:sz w:val="20"/>
          <w:szCs w:val="20"/>
          <w:color w:val="auto"/>
        </w:rPr>
      </w:pPr>
    </w:p>
    <w:p>
      <w:pPr>
        <w:jc w:val="both"/>
        <w:ind w:left="120" w:right="120" w:firstLine="648"/>
        <w:spacing w:after="0" w:line="300" w:lineRule="auto"/>
        <w:rPr>
          <w:sz w:val="20"/>
          <w:szCs w:val="20"/>
          <w:color w:val="auto"/>
        </w:rPr>
      </w:pPr>
      <w:r>
        <w:rPr>
          <w:rFonts w:ascii="Arial" w:cs="Arial" w:eastAsia="Arial" w:hAnsi="Arial"/>
          <w:sz w:val="19"/>
          <w:szCs w:val="19"/>
          <w:b w:val="1"/>
          <w:bCs w:val="1"/>
          <w:color w:val="auto"/>
        </w:rPr>
        <w:t>The borrower has read all the terms of the contract, and the lender has made a detailed description at the request of the borrower. When signing the contract, the borrower has no doubt and objection to all the contents, and understands the terms of the contract, especially with</w:t>
      </w:r>
      <w:r>
        <w:rPr>
          <w:rFonts w:ascii="Arial" w:cs="Arial" w:eastAsia="Arial" w:hAnsi="Arial"/>
          <w:sz w:val="19"/>
          <w:szCs w:val="19"/>
          <w:color w:val="auto"/>
        </w:rPr>
        <w:t>▲▲ meaning of marked terms and its legal consequences.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2"/>
              </w:rPr>
              <w:t>(this page is the signature page of working capital loan contract, and there is no text below)</w:t>
            </w:r>
          </w:p>
        </w:tc>
        <w:tc>
          <w:tcPr>
            <w:tcW w:w="384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440" w:type="dxa"/>
            <w:vAlign w:val="bottom"/>
          </w:tcPr>
          <w:p>
            <w:pPr>
              <w:ind w:left="1800"/>
              <w:spacing w:after="0"/>
              <w:rPr>
                <w:sz w:val="20"/>
                <w:szCs w:val="20"/>
                <w:color w:val="auto"/>
              </w:rPr>
            </w:pPr>
            <w:r>
              <w:rPr>
                <w:rFonts w:ascii="Arial" w:cs="Arial" w:eastAsia="Arial" w:hAnsi="Arial"/>
                <w:sz w:val="18"/>
                <w:szCs w:val="18"/>
                <w:color w:val="auto"/>
              </w:rPr>
              <w:t>lender</w:t>
            </w:r>
          </w:p>
        </w:tc>
        <w:tc>
          <w:tcPr>
            <w:tcW w:w="3840" w:type="dxa"/>
            <w:vAlign w:val="bottom"/>
          </w:tcPr>
          <w:p>
            <w:pPr>
              <w:spacing w:after="0"/>
              <w:rPr>
                <w:sz w:val="24"/>
                <w:szCs w:val="24"/>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(official seal)</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(special seal for contract)</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Legal representative (principal) Or authorized representative</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principal or authorized representative</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(signature or seal)</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(signature or seal)</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Signature Date:</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Signature Date:</w:t>
            </w:r>
          </w:p>
        </w:tc>
      </w:tr>
      <w:tr>
        <w:trPr>
          <w:trHeight w:val="432"/>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4420" w:type="dxa"/>
            <w:vAlign w:val="bottom"/>
          </w:tcPr>
          <w:p>
            <w:pPr>
              <w:jc w:val="right"/>
              <w:ind w:right="4050"/>
              <w:spacing w:after="0"/>
              <w:rPr>
                <w:sz w:val="20"/>
                <w:szCs w:val="20"/>
                <w:color w:val="auto"/>
              </w:rPr>
            </w:pPr>
            <w:r>
              <w:rPr>
                <w:rFonts w:ascii="Arial" w:cs="Arial" w:eastAsia="Arial" w:hAnsi="Arial"/>
                <w:sz w:val="18"/>
                <w:szCs w:val="18"/>
                <w:color w:val="auto"/>
              </w:rPr>
              <w:t>/</w:t>
            </w:r>
          </w:p>
        </w:tc>
        <w:tc>
          <w:tcPr>
            <w:tcW w:w="2440" w:type="dxa"/>
            <w:vAlign w:val="bottom"/>
          </w:tcPr>
          <w:p>
            <w:pPr>
              <w:ind w:left="220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3530"/>
              <w:spacing w:after="0"/>
              <w:rPr>
                <w:sz w:val="20"/>
                <w:szCs w:val="20"/>
                <w:color w:val="auto"/>
              </w:rPr>
            </w:pPr>
            <w:r>
              <w:rPr>
                <w:rFonts w:ascii="Arial" w:cs="Arial" w:eastAsia="Arial" w:hAnsi="Arial"/>
                <w:sz w:val="18"/>
                <w:szCs w:val="18"/>
                <w:color w:val="auto"/>
              </w:rPr>
              <w:t>/</w:t>
            </w:r>
          </w:p>
        </w:tc>
      </w:tr>
      <w:tr>
        <w:trPr>
          <w:trHeight w:val="655"/>
        </w:trPr>
        <w:tc>
          <w:tcPr>
            <w:tcW w:w="5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25</w:t>
            </w: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 Z2103LN15613701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contract for loans of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Bank of Communications Co., Ltd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Z2103LN15613701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6858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tips</w:t>
      </w:r>
    </w:p>
    <w:p>
      <w:pPr>
        <w:spacing w:after="0" w:line="229" w:lineRule="exact"/>
        <w:rPr>
          <w:sz w:val="20"/>
          <w:szCs w:val="20"/>
          <w:color w:val="auto"/>
        </w:rPr>
      </w:pPr>
    </w:p>
    <w:p>
      <w:pPr>
        <w:ind w:left="120" w:right="120" w:firstLine="324"/>
        <w:spacing w:after="0" w:line="277" w:lineRule="auto"/>
        <w:rPr>
          <w:sz w:val="20"/>
          <w:szCs w:val="20"/>
          <w:color w:val="auto"/>
        </w:rPr>
      </w:pPr>
      <w:r>
        <w:rPr>
          <w:rFonts w:ascii="Arial" w:cs="Arial" w:eastAsia="Arial" w:hAnsi="Arial"/>
          <w:sz w:val="18"/>
          <w:szCs w:val="18"/>
          <w:color w:val="auto"/>
        </w:rPr>
        <w:t>The borrower is requested to carefully read the full text of this contract, especially the clauses marked with ▲▲ . In case of any doubt, please timely submit it to the lender for explanation.</w:t>
      </w:r>
    </w:p>
    <w:p>
      <w:pPr>
        <w:spacing w:after="0" w:line="2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view of the borrower's application for working capital loan line from the lender, in order to clarify the rights and obligations of both parties, the borrower and the lender hereby enter into this contract through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8" w:name="page299"/>
    <w:bookmarkEnd w:id="298"/>
    <w:p>
      <w:pPr>
        <w:ind w:left="660"/>
        <w:spacing w:after="0"/>
        <w:rPr>
          <w:sz w:val="20"/>
          <w:szCs w:val="20"/>
          <w:color w:val="auto"/>
        </w:rPr>
      </w:pPr>
      <w:r>
        <w:rPr>
          <w:rFonts w:ascii="Arial" w:cs="Arial" w:eastAsia="Arial" w:hAnsi="Arial"/>
          <w:sz w:val="18"/>
          <w:szCs w:val="18"/>
          <w:color w:val="auto"/>
        </w:rPr>
        <w:t>Article 1 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“Line” refers to the maximum amount of the loan balance (under the revolving line) or total loan (under the one-time line) that the lender may issue to the borrower according to the contract. According to the contract, the line can be a revolving line or a one-time line (only used once or multiple times).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“Revolving credit line” means that the borrower can apply for the use of the credit line multiple times in accordance with the contract to obtain the loan, but the loan balance cannot exceed the agreed credit line.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“One time limit” means that the borrower can apply for the use limit one time or multiple times to obtain the loan according to the contract, but the total amount of the loan withdrawn shall not exceed the agreed limit.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 balance” refers to the sum of the principal amount of the loan obtained and outstanding by the borrower under this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“Line balance” refers to the amount of the line after deducting the loan balance (under the revolving line) or the total loan (under the one-time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line).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“Credit period” refers to the period during which the lender grants loans to the borrower according to the application of the borrower and the contract, which belongs to the occurrence period of the loan rather than the loan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 term” refers to the term of each loan determined by both parties in the corresponding application for use of loan line of Bank of Communications (hereinafter referred to as “application for use of loan line”).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 market quotation rate (LPR)” refers to the loan market quotation rate published by the national interbank lending center on the 20th of each month (postponed in case of holidays).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“Bank working day” and “working day” refer to the open business day of the bank&amp;apos;s corporate business in the place where the lender is located, excluding legal holidays and rest days (except for business due to holiday adjustment). If the loan date, repayment date, interest payment date, maturity date and other obligation performance dates meet non bank working days, they shall be postponed to the next bank working day accordingly.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9" w:name="page300"/>
    <w:bookmarkEnd w:id="299"/>
    <w:p>
      <w:pPr>
        <w:jc w:val="both"/>
        <w:ind w:firstLine="648"/>
        <w:spacing w:after="0" w:line="263" w:lineRule="auto"/>
        <w:rPr>
          <w:sz w:val="20"/>
          <w:szCs w:val="20"/>
          <w:color w:val="auto"/>
        </w:rPr>
      </w:pPr>
      <w:r>
        <w:rPr>
          <w:rFonts w:ascii="Arial" w:cs="Arial" w:eastAsia="Arial" w:hAnsi="Arial"/>
          <w:sz w:val="18"/>
          <w:szCs w:val="18"/>
          <w:color w:val="auto"/>
        </w:rPr>
        <w:t>Related parties, related party transactions, major investors and individuals have the same meaning as the same words in the accounting standards for Business Enterprises No. 36 - disclosure of related parties (CK [2006] No. 3) issued by the Ministry of Finance and the subsequent amendments to the standards.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 use of quota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 when the borrower needs to use the line, it shall apply to the lender at least 5 banking days in advance. When applying, the application form for the use of credit line shall be filled in and can be used only after being reviewed and approved by the lender.</w:t>
      </w:r>
    </w:p>
    <w:p>
      <w:pPr>
        <w:spacing w:after="0" w:line="170" w:lineRule="exact"/>
        <w:rPr>
          <w:sz w:val="20"/>
          <w:szCs w:val="20"/>
          <w:color w:val="auto"/>
        </w:rPr>
      </w:pPr>
    </w:p>
    <w:p>
      <w:pPr>
        <w:ind w:left="1060" w:hanging="404"/>
        <w:spacing w:after="0"/>
        <w:tabs>
          <w:tab w:leader="none" w:pos="106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2.2 Each use of the quota is subject to meeting all the following conditions:</w:t>
      </w:r>
    </w:p>
    <w:p>
      <w:pPr>
        <w:spacing w:after="0" w:line="225" w:lineRule="exact"/>
        <w:rPr>
          <w:sz w:val="20"/>
          <w:szCs w:val="20"/>
          <w:color w:val="auto"/>
        </w:rPr>
      </w:pPr>
    </w:p>
    <w:p>
      <w:pPr>
        <w:ind w:left="920" w:hanging="264"/>
        <w:spacing w:after="0"/>
        <w:tabs>
          <w:tab w:leader="none" w:pos="92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loan balance (under the revolving credit line) or the total loan amount (under the one-time credit line) does not exceed the credit line;</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amount of the loan applied for shall not exceed the balance of the quota;</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use application date and loan granting date are within the credit period;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loan term and maturity date of the loan shall comply with the provisions of this contract;</w:t>
      </w:r>
    </w:p>
    <w:p>
      <w:pPr>
        <w:spacing w:after="0" w:line="225" w:lineRule="exact"/>
        <w:rPr>
          <w:rFonts w:ascii="Arial" w:cs="Arial" w:eastAsia="Arial" w:hAnsi="Arial"/>
          <w:sz w:val="18"/>
          <w:szCs w:val="18"/>
          <w:color w:val="auto"/>
        </w:rPr>
      </w:pPr>
    </w:p>
    <w:p>
      <w:pPr>
        <w:ind w:right="20" w:firstLine="656"/>
        <w:spacing w:after="0" w:line="277" w:lineRule="auto"/>
        <w:tabs>
          <w:tab w:leader="none" w:pos="92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guarantee contract (if any) under this contract has become effective and continues to be valid. If the guarantee contract is a mortgage contract and / or pledge contract, the security interest has been established and continues to be valid;</w:t>
      </w:r>
    </w:p>
    <w:p>
      <w:pPr>
        <w:spacing w:after="0" w:line="170" w:lineRule="exact"/>
        <w:rPr>
          <w:rFonts w:ascii="Arial" w:cs="Arial" w:eastAsia="Arial" w:hAnsi="Arial"/>
          <w:sz w:val="18"/>
          <w:szCs w:val="18"/>
          <w:color w:val="auto"/>
        </w:rPr>
      </w:pPr>
    </w:p>
    <w:p>
      <w:pPr>
        <w:ind w:firstLine="656"/>
        <w:spacing w:after="0" w:line="277" w:lineRule="auto"/>
        <w:tabs>
          <w:tab w:leader="none" w:pos="91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borrower has completed the government permission, approval, registration and other formalities that must be handled according to law when applying for loan and required by the lender, and such permission, approval or registration is continuously valid;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0" w:name="page301"/>
    <w:bookmarkEnd w:id="300"/>
    <w:p>
      <w:pPr>
        <w:ind w:left="960" w:hanging="304"/>
        <w:spacing w:after="0"/>
        <w:tabs>
          <w:tab w:leader="none" w:pos="9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After the effectiveness of this contract, there has been no significant adverse change in the borrower&amp;apos;s operating and financial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conditions;</w:t>
      </w:r>
    </w:p>
    <w:p>
      <w:pPr>
        <w:spacing w:after="0" w:line="210" w:lineRule="exact"/>
        <w:rPr>
          <w:rFonts w:ascii="Arial" w:cs="Arial" w:eastAsia="Arial" w:hAnsi="Arial"/>
          <w:sz w:val="17"/>
          <w:szCs w:val="17"/>
          <w:color w:val="auto"/>
        </w:rPr>
      </w:pPr>
    </w:p>
    <w:p>
      <w:pPr>
        <w:ind w:left="920" w:hanging="264"/>
        <w:spacing w:after="0"/>
        <w:tabs>
          <w:tab w:leader="none" w:pos="9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borrower&amp;apos;s application complies with the requirements of the lender&amp;apos;s relevant rules and regulations;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 has not violated the contract;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payment method of the loan complies with the provisions of this contract. If the entrusted payment is adopted by the lender, the lender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agrees to pay;</w:t>
      </w:r>
    </w:p>
    <w:p>
      <w:pPr>
        <w:spacing w:after="0" w:line="210" w:lineRule="exact"/>
        <w:rPr>
          <w:rFonts w:ascii="Arial" w:cs="Arial" w:eastAsia="Arial" w:hAnsi="Arial"/>
          <w:sz w:val="16"/>
          <w:szCs w:val="16"/>
          <w:color w:val="auto"/>
        </w:rPr>
      </w:pPr>
    </w:p>
    <w:p>
      <w:pPr>
        <w:ind w:firstLine="656"/>
        <w:spacing w:after="0" w:line="277" w:lineRule="auto"/>
        <w:tabs>
          <w:tab w:leader="none" w:pos="98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For foreign currency loans, the borrower has provided documents proving that the loan complies with relevant foreign exchange management policies, including but not limited to valid certificates or registration documents for foreign exchange purposes;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borrower has designated a special fund return account and signed an account management agreement as required by the lender.</w:t>
      </w:r>
    </w:p>
    <w:p>
      <w:pPr>
        <w:spacing w:after="0" w:line="237" w:lineRule="exact"/>
        <w:rPr>
          <w:sz w:val="20"/>
          <w:szCs w:val="20"/>
          <w:color w:val="auto"/>
        </w:rPr>
      </w:pPr>
    </w:p>
    <w:p>
      <w:pPr>
        <w:ind w:firstLine="656"/>
        <w:spacing w:after="0" w:line="230" w:lineRule="exact"/>
        <w:tabs>
          <w:tab w:leader="none" w:pos="104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2.3 If the lender agrees to grant the loan, the final loan information shall be subject to the contents in the bank print column of the application for use of line</w:t>
      </w:r>
      <w:r>
        <w:rPr>
          <w:rFonts w:ascii="SimSun" w:cs="SimSun" w:eastAsia="SimSun" w:hAnsi="SimSun"/>
          <w:sz w:val="18"/>
          <w:szCs w:val="18"/>
          <w:color w:val="auto"/>
        </w:rPr>
        <w:t>《</w:t>
      </w:r>
      <w:r>
        <w:rPr>
          <w:rFonts w:ascii="Arial" w:cs="Arial" w:eastAsia="Arial" w:hAnsi="Arial"/>
          <w:sz w:val="18"/>
          <w:szCs w:val="18"/>
          <w:color w:val="auto"/>
        </w:rPr>
        <w:t>The application for quota use is used as the loan voucher.</w:t>
      </w:r>
    </w:p>
    <w:p>
      <w:pPr>
        <w:spacing w:after="0" w:line="216" w:lineRule="exact"/>
        <w:rPr>
          <w:rFonts w:ascii="Arial" w:cs="Arial" w:eastAsia="Arial" w:hAnsi="Arial"/>
          <w:sz w:val="18"/>
          <w:szCs w:val="18"/>
          <w:color w:val="auto"/>
        </w:rPr>
      </w:pPr>
    </w:p>
    <w:p>
      <w:pPr>
        <w:jc w:val="both"/>
        <w:ind w:firstLine="656"/>
        <w:spacing w:after="0" w:line="311" w:lineRule="auto"/>
        <w:tabs>
          <w:tab w:leader="none" w:pos="1049"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2.4 If the currency of the quota application is inconsistent with the currency of the quota, it shall be converted according to the exchange rate at the beginning of each day published by Bank of Communications Co., Ltd. for the purpose of determining the quota balance only. If there is no directly applicable exchange rate, it shall be converted by bank of Communications Co., Ltd. according to the exchange rate determined in a reasonable way.</w:t>
      </w:r>
    </w:p>
    <w:p>
      <w:pPr>
        <w:spacing w:after="0" w:line="148" w:lineRule="exact"/>
        <w:rPr>
          <w:rFonts w:ascii="Arial" w:cs="Arial" w:eastAsia="Arial" w:hAnsi="Arial"/>
          <w:sz w:val="16"/>
          <w:szCs w:val="16"/>
          <w:b w:val="1"/>
          <w:bCs w:val="1"/>
          <w:color w:val="auto"/>
        </w:rPr>
      </w:pPr>
    </w:p>
    <w:p>
      <w:pPr>
        <w:jc w:val="both"/>
        <w:ind w:firstLine="656"/>
        <w:spacing w:after="0" w:line="263" w:lineRule="auto"/>
        <w:tabs>
          <w:tab w:leader="none" w:pos="1062" w:val="left"/>
        </w:tabs>
        <w:numPr>
          <w:ilvl w:val="0"/>
          <w:numId w:val="294"/>
        </w:numPr>
        <w:rPr>
          <w:rFonts w:ascii="Arial" w:cs="Arial" w:eastAsia="Arial" w:hAnsi="Arial"/>
          <w:sz w:val="18"/>
          <w:szCs w:val="18"/>
          <w:b w:val="1"/>
          <w:bCs w:val="1"/>
          <w:color w:val="auto"/>
        </w:rPr>
      </w:pPr>
      <w:r>
        <w:rPr>
          <w:rFonts w:ascii="Arial" w:cs="Arial" w:eastAsia="Arial" w:hAnsi="Arial"/>
          <w:sz w:val="18"/>
          <w:szCs w:val="18"/>
          <w:color w:val="auto"/>
        </w:rPr>
        <w:t>2.5 After the borrower becomes the shareholder of the guarantor or the “actual controller” as defined in the company law, the lender has the right to suspend or cancel the unused loan line of the borrower before the guarantor provides the resolution of its shareholders&amp;apos; meeting (shareholders&amp;apos; meeting) on agreeing to provide guarantee for the borrower accepted by the lender.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1" w:name="page302"/>
    <w:bookmarkEnd w:id="301"/>
    <w:p>
      <w:pPr>
        <w:ind w:left="660"/>
        <w:spacing w:after="0"/>
        <w:rPr>
          <w:sz w:val="20"/>
          <w:szCs w:val="20"/>
          <w:color w:val="auto"/>
        </w:rPr>
      </w:pPr>
      <w:r>
        <w:rPr>
          <w:rFonts w:ascii="Arial" w:cs="Arial" w:eastAsia="Arial" w:hAnsi="Arial"/>
          <w:sz w:val="18"/>
          <w:szCs w:val="18"/>
          <w:color w:val="auto"/>
        </w:rPr>
        <w:t>Article 3 interest rate and calculation and payment of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 Basic rules for determining interest rates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3.1.1 The loan interest rate under this contract is calculated based on the loan market quotation interest rate (LPR) as the pricing benchmark and according to the loan market quotation interest rate (LPR) plus (minus) points (1 basis point is 0.01%, 1 percentage point is 100 basis points). The interest rate shall be agreed in the application for quota use after negotiation between both parties at each use.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both parties agree to apply fixed interest rate in the quota use application, if the specific value is recorded in the fixed interest rate value field, the specific interest rate of each loan shall be subject to the value recorded in the fixed interest rate value field in the quota use application, These specific values are determined on the basis of the specific value of the loan market quotation interest rate (LPR) applicable to the applicable date of the pricing benchmark agreed in the quota use application (hereinafter referred to as “LPR value”) and according to the plus (minus) point value agreed in the quota use application. If no specific value is recorded in the fixed interest rate value field, the specific interest rate of each loan is determined based on the LPR value applicable to the applicable date of the pricing benchmark agreed in the quota use application and according to the plus (minus) point value agreed in the quota use application.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both parties agree on the applicable floating interest rate in the application for quota use, the specific interest rate of each loan shall be based on the LPR value applicable to the applicable date of the pricing benchmark agreed in the application for quota use, according to the plus (minus) point value, interest rate floating rules, interest rate floating cycle The unit of interest rate floating cycle and the floating start date of specific date (if necessary) shall be determined.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2" w:name="page303"/>
    <w:bookmarkEnd w:id="302"/>
    <w:p>
      <w:pPr>
        <w:jc w:val="both"/>
        <w:ind w:firstLine="648"/>
        <w:spacing w:after="0" w:line="263" w:lineRule="auto"/>
        <w:rPr>
          <w:sz w:val="20"/>
          <w:szCs w:val="20"/>
          <w:color w:val="auto"/>
        </w:rPr>
      </w:pPr>
      <w:r>
        <w:rPr>
          <w:rFonts w:ascii="Arial" w:cs="Arial" w:eastAsia="Arial" w:hAnsi="Arial"/>
          <w:sz w:val="18"/>
          <w:szCs w:val="18"/>
          <w:color w:val="auto"/>
        </w:rPr>
        <w:t>3.1.2 If the currency is RMB, daily interest rate = monthly interest rate / 30, monthly interest rate = annual interest rate / 12;If the currency is Hong Kong dollar, British pound and Australian dollar, the daily interest rate = annual interest rate / 365;If the currencies are USD, euro, Japanese yen and other foreign currencies accepted by the lender, the daily interest rate = annual interest rate / 360.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3.2 lending rate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loan interest rate at the time of each loan is determined based on the applicable LPR value of the “applicable date of pricing benchmark” agreed in the corresponding quota use application, and according to the plus (minus) point value agreed in the quota use application. Take “applicable date of pricing benchmark” as t day, and the applicable LPR value on t day is the latest published loan market quotation interest rate (LPR) value before t day.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Adjustment of interest rate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3.3.1 If the application for the use of credit line is recorded as a fixed interest rate, the interest rate recorded in the loan shall be implemented within the loan term.</w:t>
      </w:r>
    </w:p>
    <w:p>
      <w:pPr>
        <w:spacing w:after="0" w:line="170" w:lineRule="exact"/>
        <w:rPr>
          <w:sz w:val="20"/>
          <w:szCs w:val="20"/>
          <w:color w:val="auto"/>
        </w:rPr>
      </w:pPr>
    </w:p>
    <w:p>
      <w:pPr>
        <w:jc w:val="both"/>
        <w:ind w:firstLine="656"/>
        <w:spacing w:after="0" w:line="263" w:lineRule="auto"/>
        <w:tabs>
          <w:tab w:leader="none" w:pos="10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3.3.2 if the application for use of quota records a floating interest rate, the loan interest rate adjustment date shall be determined according to the interest rate floating rules, interest rate floating cycle, interest rate floating cycle unit and specific date floating start date (if necessary) agreed in the application for use of quota, and the adjusted interest rate shall apply from the loan interest rate adjustment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3" w:name="page304"/>
    <w:bookmarkEnd w:id="303"/>
    <w:p>
      <w:pPr>
        <w:jc w:val="both"/>
        <w:ind w:firstLine="648"/>
        <w:spacing w:after="0" w:line="289" w:lineRule="auto"/>
        <w:rPr>
          <w:sz w:val="20"/>
          <w:szCs w:val="20"/>
          <w:color w:val="auto"/>
        </w:rPr>
      </w:pPr>
      <w:r>
        <w:rPr>
          <w:rFonts w:ascii="Arial" w:cs="Arial" w:eastAsia="Arial" w:hAnsi="Arial"/>
          <w:sz w:val="16"/>
          <w:szCs w:val="16"/>
          <w:color w:val="auto"/>
        </w:rPr>
        <w:t>3.3.2.1 If the quoted interest rate (LPR) of the loan market is adjusted during the loan period, the period of loan interest rate adjustment shall be calculated from the “loan entry date” or “specific start date” selected in the “interest rate floating rules”. The empty column of interest rate floating cycle is filled in the number of interest rate floating cycles. The interest rate floating cycle unit can be selected by day or by month. If “1” is filled in the number of interest rate floating cycles and “by day” is selected as the floating cycle unit, the loan interest rate adjustment date is the loan market quoted interest rate (LPR) adjustment date; If “3” is filled in the number of interest rate floating cycles and “by day” is selected as the floating cycle unit, the loan interest rate adjustment date is the day every 3 days from the “loan entry date” or “specific date floating start date”;If “1” is filled in the number of interest rate floating cycles and “by month” is selected as the floating cycle unit, the loan interest rate adjustment date is every month from the “loan entry date” or “specific date floating start date”; If “3” is filled in the number of interest rate floating cycles and “by month” is selected as the floating cycle unit, the loan interest rate adjustment date is every 3 months from the “loan entry date” or “floating start date of specific date”, and so 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3.3.2.2 The loan interest rate on the loan interest rate adjustment date shall be determined on the basis of the LPR value applicable on the loan interest rate adjustment date, and the increase (decrease) point value of the interest rate shall remain unchanged (except for the increase (decrease) point value adjusted by both parties through consultation). Take “loan interest rate adjustment date” as t date, and the applicable LPR value on t date is the latest published loan market quotation interest rate (LPR) value before t date.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3.3.3 If the market quoted interest rate (LPR) of the loan is cancelled according to the regulatory requirements or the corresponding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stops issuing according to the regulatory requirements, the two parties shall negotiate and adjust the loan interest rate separately, but the adjusted interest rate shall not be lower than the then applicable interest rate; If both parties fail to reach an agreement on the adjusted interest rate more than 1 month since the date when the loan market quoted interest rate (LPR) is cancelled or stopped issuing, the lender has the right to announce the early maturity of the loan.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jc w:val="both"/>
        <w:ind w:right="20" w:firstLine="648"/>
        <w:spacing w:after="0" w:line="277" w:lineRule="auto"/>
        <w:rPr>
          <w:sz w:val="20"/>
          <w:szCs w:val="20"/>
          <w:color w:val="auto"/>
        </w:rPr>
      </w:pPr>
      <w:r>
        <w:rPr>
          <w:rFonts w:ascii="Arial" w:cs="Arial" w:eastAsia="Arial" w:hAnsi="Arial"/>
          <w:sz w:val="18"/>
          <w:szCs w:val="18"/>
          <w:color w:val="auto"/>
        </w:rPr>
        <w:t>(3.3.4) the two parties can adjust the value of plus or minus of the corresponding loan interest rate after each loan interest rate is adjusted by the Nikkei consensus.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3.4 If the loan currency is RMB, the penalty interest rate of overdue loan shall rise by 50% according to the interest rate agreed in the contract, and the penalty interest rate of misappropriated loan shall rise by 100% according to the interest rate agreed in the contract. If the quoted interest rate (LPR) of the floating rate loan is adjusted, the lender has the right to adjust the penalty interest rate applicable to each loan accordingly, and the new penalty interest rate shall apply from the date of adjustment of the loan interest rate agreed in the corresponding quota use application.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Calculation of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3.5.1 Normal interest = interest rate agreed in the contract×Loan amount×Occupied days.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number of occupied days is calculated from the lending date (inclusive) to the maturity date (exclusive). When the maturity date is a non working day, it shall be postponed. The extended period shall be included in the number of occupied days, and the interest shall still be calculated according to the contract.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3.5.2 The penalty interest of overdue loans and misappropriated loans shall be calculated according to the amount overdue or misappropriated and the actual number of days (from the date of overdue or misappropriation (inclusive) to the date of principal and interest repayment (exclusive)).</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3.5.3 If the calculated interest / penalty interest has a large number of decimal places, the lender will retain two decimal places according to the rounding method.</w:t>
      </w:r>
    </w:p>
    <w:p>
      <w:pPr>
        <w:spacing w:after="0" w:line="170" w:lineRule="exact"/>
        <w:rPr>
          <w:sz w:val="20"/>
          <w:szCs w:val="20"/>
          <w:color w:val="auto"/>
        </w:rPr>
      </w:pPr>
    </w:p>
    <w:p>
      <w:pPr>
        <w:ind w:firstLine="656"/>
        <w:spacing w:after="0" w:line="277" w:lineRule="auto"/>
        <w:tabs>
          <w:tab w:leader="none" w:pos="10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3.6 if the borrower repays in advance or the lender recovers the loan in advance according to the contract, the corresponding interest rate grade will not be adjusted, but the interest rate agreed in the contract will still be implemented.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5" w:name="page306"/>
    <w:bookmarkEnd w:id="305"/>
    <w:p>
      <w:pPr>
        <w:jc w:val="both"/>
        <w:ind w:firstLine="648"/>
        <w:spacing w:after="0" w:line="277" w:lineRule="auto"/>
        <w:rPr>
          <w:sz w:val="20"/>
          <w:szCs w:val="20"/>
          <w:color w:val="auto"/>
        </w:rPr>
      </w:pPr>
      <w:r>
        <w:rPr>
          <w:rFonts w:ascii="Arial" w:cs="Arial" w:eastAsia="Arial" w:hAnsi="Arial"/>
          <w:sz w:val="18"/>
          <w:szCs w:val="18"/>
          <w:color w:val="auto"/>
        </w:rPr>
        <w:t>3.7 If the loan currency is foreign currency, the determination of interest rate, adjustment of interest rate, penalty interest rate for overdue and misappropriation of loans shall be subject to the provisions of Article 17 of the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4 payment of loans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4.1 If the loan granting account designated by the borrower is a special loan granting account opened at the lender, the loan granting and payment shall be handled through this account. This account is only used for the issuance and external payment of loan funds. It only sells “settlement business application” vouchers. It cannot handle checks, bills of exchange, bank acceptance bills and other businesses, and cannot be used for other settlement. When the borrower pays and handles the loan fund allocation independently, it must be handled at the counter of the account opening outlet. The deposit interest of the account shall be included in the borrower&amp;apos;s repayment account.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4.2 When the borrower withdraws the loan according to the contract, it shall specify the payment method (entrusted payment by the lender or independent payment by the borrower), and only one payment method can be used for each withdrawal.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4.3 The lender&amp;apos;s entrusted payment refers to the lender&amp;apos;s direct payment of the loan funds to the borrower&amp;apos;s counterparty for the purpose agreed in this contract through the borrower&amp;apos;s account after issuing the loan according to the borrower&amp;apos;s entrusted payment power of attorney.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amount of a single payment exceeds the autonomous payment limit or meets one of the conditions agreed in article 19.3, the entrusted payment method of loan shall be adopted.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6" w:name="page307"/>
    <w:bookmarkEnd w:id="306"/>
    <w:p>
      <w:pPr>
        <w:jc w:val="both"/>
        <w:ind w:firstLine="648"/>
        <w:spacing w:after="0" w:line="259" w:lineRule="auto"/>
        <w:rPr>
          <w:sz w:val="20"/>
          <w:szCs w:val="20"/>
          <w:color w:val="auto"/>
        </w:rPr>
      </w:pPr>
      <w:r>
        <w:rPr>
          <w:rFonts w:ascii="Arial" w:cs="Arial" w:eastAsia="Arial" w:hAnsi="Arial"/>
          <w:sz w:val="18"/>
          <w:szCs w:val="18"/>
          <w:color w:val="auto"/>
        </w:rPr>
        <w:t>If the entrusted payment is adopted by the lender, the borrower shall submit the application for the use of the line, the corresponding entrusted payment power of attorney and other materials required by the lender (including but not limited to business contracts, invoices, receipt documents and other transaction materials), specify the amount of the loan and the object and amount of payment, and the amount of the loan shall be equal to the total amount of payment.</w:t>
      </w:r>
    </w:p>
    <w:p>
      <w:pPr>
        <w:spacing w:after="0" w:line="187" w:lineRule="exact"/>
        <w:rPr>
          <w:sz w:val="20"/>
          <w:szCs w:val="20"/>
          <w:color w:val="auto"/>
        </w:rPr>
      </w:pPr>
    </w:p>
    <w:p>
      <w:pPr>
        <w:ind w:firstLine="656"/>
        <w:spacing w:after="0" w:line="308" w:lineRule="auto"/>
        <w:tabs>
          <w:tab w:leader="none" w:pos="106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if the payment proposed by the borrower does not comply with the provisions of this contract or the corresponding business contract or has other defects, the lender has the right to refuse the payment and return the entrusted payment power of attorney submitted by the borrower.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5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if the lender agrees to pay, if the external payment cannot be made or the payment refund occurs due to the error of the information provided by the borrower, the borrower shall resubmit the relevant documents and materials containing the correct information within the time limit specified by the lender. Therefore, the lender shall not be liable for the delay or failure of payment.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4.4 The borrower&amp;apos;s independent payment means that after the lender issues the loan funds to the borrower&amp;apos;s account according to the contract, the borrower shall independently pay them to the borrower&amp;apos;s counterparty for the purpose agreed in the contract.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borrower pays independently, the borrower shall submit the application for the use of the line, the instructions for the use of funds and other materials required by the lender to the lender. The borrower shall summarize and report the payment of loan funds to the lender on time. The lender has the right to verify whether the loan payment meets the agreed purpose through account analysis, voucher inspection, on-site investigation, etc., and the borrower must cooperate with the lender in the verification.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7" w:name="page308"/>
    <w:bookmarkEnd w:id="307"/>
    <w:p>
      <w:pPr>
        <w:ind w:left="660"/>
        <w:spacing w:after="0"/>
        <w:rPr>
          <w:sz w:val="20"/>
          <w:szCs w:val="20"/>
          <w:color w:val="auto"/>
        </w:rPr>
      </w:pPr>
      <w:r>
        <w:rPr>
          <w:rFonts w:ascii="Arial" w:cs="Arial" w:eastAsia="Arial" w:hAnsi="Arial"/>
          <w:sz w:val="18"/>
          <w:szCs w:val="18"/>
          <w:color w:val="auto"/>
        </w:rPr>
        <w:t>Article 5 repayment of loans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 The borrower shall repay according to the repayment date and amount recorded in the corresponding application for use of credit line.</w:t>
      </w:r>
    </w:p>
    <w:p>
      <w:pPr>
        <w:spacing w:after="0" w:line="225" w:lineRule="exact"/>
        <w:rPr>
          <w:sz w:val="20"/>
          <w:szCs w:val="20"/>
          <w:color w:val="auto"/>
        </w:rPr>
      </w:pPr>
    </w:p>
    <w:p>
      <w:pPr>
        <w:ind w:left="1060" w:hanging="404"/>
        <w:spacing w:after="0"/>
        <w:tabs>
          <w:tab w:leader="none" w:pos="10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5.2 the borrower cannot repay the loan in advance without the written consent of the lender.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5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5.3 the repayment arrangement of principal and interest agreed by the borrower and the lender in the application for the use of line is the true expression of intention reached by both parties on a voluntary basis after negotiation. Under the repayment arrangement selected by both parties, whether the principal is repaid before the interest does not affect the borrower&amp;apos;s repayment responsibility for the interest payable, and the borrower shall not raise a defense against the repayment of the interest payable. Under any repayment arrangement, the borrower shall be liable for repayment of all principal and interest payable.</w:t>
      </w:r>
    </w:p>
    <w:p>
      <w:pPr>
        <w:spacing w:after="0" w:line="187" w:lineRule="exact"/>
        <w:rPr>
          <w:rFonts w:ascii="Arial" w:cs="Arial" w:eastAsia="Arial" w:hAnsi="Arial"/>
          <w:sz w:val="18"/>
          <w:szCs w:val="18"/>
          <w:color w:val="auto"/>
        </w:rPr>
      </w:pPr>
    </w:p>
    <w:p>
      <w:pPr>
        <w:ind w:firstLine="656"/>
        <w:spacing w:after="0" w:line="277" w:lineRule="auto"/>
        <w:tabs>
          <w:tab w:leader="none" w:pos="106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5.4 when the borrower&amp;apos;s repayment (including the borrower&amp;apos;s active repayment and the lender&amp;apos;s deduction in accordance with the contract) fails to pay off all the borrower&amp;apos;s debts in full:</w:t>
      </w:r>
    </w:p>
    <w:p>
      <w:pPr>
        <w:spacing w:after="0" w:line="170" w:lineRule="exact"/>
        <w:rPr>
          <w:sz w:val="20"/>
          <w:szCs w:val="20"/>
          <w:color w:val="auto"/>
        </w:rPr>
      </w:pPr>
    </w:p>
    <w:p>
      <w:pPr>
        <w:jc w:val="both"/>
        <w:ind w:firstLine="656"/>
        <w:spacing w:after="0" w:line="259" w:lineRule="auto"/>
        <w:tabs>
          <w:tab w:leader="none" w:pos="90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It shall first be used to pay off the overdue expenses. If the principal and interest are overdue for less than 90 days, the balance after offsetting the expenses shall be used to offset the due and unpaid interest, penalty interest and compound interest, and then used to offset the due and unpaid principal;If the principal or interest is overdue for more than 90 days, the balance after offsetting the expenses shall be used to offset the due and unpaid principal first, and then to offset the due and unpaid interest, penalty interest and compound interest;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2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borrower has several debts (including the borrower&amp;apos;s debts to the Lender under other contracts), and the lender has the right to determine the repayment and offset order of each debt of the borrower at its own discretion, as long as the offset order does not violate the mandatory provisions of applicable laws, regulations, rules and relevant regulatory requirements of the lender. The lender shall notify the borrower of the result of debt repayment. Unless otherwise agreed by both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8" w:name="page309"/>
    <w:bookmarkEnd w:id="308"/>
    <w:p>
      <w:pPr>
        <w:ind w:left="660"/>
        <w:spacing w:after="0"/>
        <w:rPr>
          <w:sz w:val="20"/>
          <w:szCs w:val="20"/>
          <w:color w:val="auto"/>
        </w:rPr>
      </w:pPr>
      <w:r>
        <w:rPr>
          <w:rFonts w:ascii="Arial" w:cs="Arial" w:eastAsia="Arial" w:hAnsi="Arial"/>
          <w:sz w:val="18"/>
          <w:szCs w:val="18"/>
          <w:color w:val="auto"/>
        </w:rPr>
        <w:t>Article 6 representations and warranties of the borrower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6.1 The borrower is legally established and exists, has all necessary rights and capabilities, and can perform its obligations under this contract and bear civil liabilities in its own name.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6.2 The signing and performance of this contract is the true expression of intention of the borrower, and has been subject to all necessary consent, approval and authorization, without any legal defects.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6.3 The borrower&amp;apos;s production and operation are legal and compliant, has the ability of sustainable operation, has legal repayment sources, does not involve major environmental and social risks, and has no major bad credit record. The senior management of the borrower has no bad record.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6.4 All documents, statements, materials and information provided by the borrower to the lender in the process of signing and performing this contract are true, accurate, complete and effective, do not conceal any information that may affect its financial status and repayment ability from the lender, and the financial status of the borrower has not changed significantly since the date of the latest financial statement report.</w:t>
      </w:r>
    </w:p>
    <w:p>
      <w:pPr>
        <w:spacing w:after="0" w:line="165" w:lineRule="exact"/>
        <w:rPr>
          <w:sz w:val="20"/>
          <w:szCs w:val="20"/>
          <w:color w:val="auto"/>
        </w:rPr>
      </w:pPr>
    </w:p>
    <w:p>
      <w:pPr>
        <w:jc w:val="both"/>
        <w:ind w:firstLine="656"/>
        <w:spacing w:after="0" w:line="263" w:lineRule="auto"/>
        <w:tabs>
          <w:tab w:leader="none" w:pos="106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6.5 neither the borrower nor its affiliates are enterprises or individuals in the sanctions list of the United Nations, the European Union or the United States and the list of risks related to terrorism and anti money laundering issued by Chinese government departments or competent authorities; It is not located in countries and regions sanctioned by the United Nations, the European Union or the United States.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9" w:name="page310"/>
    <w:bookmarkEnd w:id="309"/>
    <w:p>
      <w:pPr>
        <w:jc w:val="both"/>
        <w:ind w:firstLine="656"/>
        <w:spacing w:after="0" w:line="257" w:lineRule="auto"/>
        <w:tabs>
          <w:tab w:leader="none" w:pos="110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6.6 the borrower guarantees to comply with the national anti money laundering laws, regulations and relevant policies, not to engage in assisting others in money laundering, terrorist financing, tax evasion, evasion of bank debt, cash withdrawal, telecommunications fraud, illegal fund-raising and other illegal activities, and actively cooperate with the lender in customer identification, transaction record preservation, customer identity and transaction background due diligence Large sum and suspicious transaction reports and other anti money laundering work, and provide relevant supporting materials as required by the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7 rights and obligations of the Lender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7.1 The lender has the right to recover the loan principal and interest (including compound interest, penalty interest for overdue and misappropriated loans, etc.) in accordance with the contract, collect the fees payable by the borrower, decide to recover the loan in advance according to the return of the borrower&amp;apos;s funds, and exercise other rights stipulated by law or the contract.</w:t>
      </w:r>
    </w:p>
    <w:p>
      <w:pPr>
        <w:spacing w:after="0" w:line="184" w:lineRule="exact"/>
        <w:rPr>
          <w:sz w:val="20"/>
          <w:szCs w:val="20"/>
          <w:color w:val="auto"/>
        </w:rPr>
      </w:pPr>
    </w:p>
    <w:p>
      <w:pPr>
        <w:jc w:val="both"/>
        <w:ind w:firstLine="656"/>
        <w:spacing w:after="0" w:line="263" w:lineRule="auto"/>
        <w:tabs>
          <w:tab w:leader="none" w:pos="109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7.2 during the performance of this contract, the lender will only conduct formal review on the materials provided by the borrower. If the lender fails to complete the entrusted payment in time due to the untrue, inaccurate or incomplete materials provided by the borrower or the borrower&amp;apos;s payment in violation of the contract, the lender shall not be liable.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5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7.3 the lender shall issue loans and handle payment in accordance with the contract. If the lender fails to issue the loan or handle the payment on time due to any of the following reasons, the lender shall not be liable, but will timely notify the borrower: the loan account designated by the borrower is frozen, the account of the payment object is frozen, force majeure, communication or network failure, Lender system failure, etc. Unless otherwise agreed in the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ind w:left="660"/>
        <w:spacing w:after="0"/>
        <w:rPr>
          <w:sz w:val="20"/>
          <w:szCs w:val="20"/>
          <w:color w:val="auto"/>
        </w:rPr>
      </w:pPr>
      <w:r>
        <w:rPr>
          <w:rFonts w:ascii="Arial" w:cs="Arial" w:eastAsia="Arial" w:hAnsi="Arial"/>
          <w:sz w:val="18"/>
          <w:szCs w:val="18"/>
          <w:color w:val="auto"/>
        </w:rPr>
        <w:t>Article 8 obligations of the borrower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8.1 The borrower shall repay the loan principal under this contract and pay interest according to the time, amount, currency and interest rate recorded in this contract and the corresponding quota use application.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 return account designated by the borrower is used to collect the corresponding sales revenue or planned repayment funds. If the corresponding sales revenue is settled in non cash, the borrower shall ensure that the funds are transferred to the fund return account in time after receiving the funds. The borrower shall provide the capital in and out of the capital return account as required by the lender.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8.2 The borrower shall use the loan according to the purpose agreed in the contract and the purpose determined in the corresponding application for the use of the loan, shall not misappropriate the loan for other purposes, and shall not use the loan for fixed asset investment, equity investment and fields and purposes prohibited by the state.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borrower shall use the loan funds in the agreed manner, and shall not evade the entrusted payment of the lender by breaking up the whole into parts; If the borrower pays independently, the borrower shall use the loan within a reasonable time according to the requirements of the lender&amp;apos;s regulatory authority, and the payment of loan funds shall comply with the provisions of this contract.</w:t>
      </w:r>
    </w:p>
    <w:p>
      <w:pPr>
        <w:spacing w:after="0" w:line="184" w:lineRule="exact"/>
        <w:rPr>
          <w:sz w:val="20"/>
          <w:szCs w:val="20"/>
          <w:color w:val="auto"/>
        </w:rPr>
      </w:pPr>
    </w:p>
    <w:p>
      <w:pPr>
        <w:jc w:val="both"/>
        <w:ind w:firstLine="656"/>
        <w:spacing w:after="0" w:line="263" w:lineRule="auto"/>
        <w:tabs>
          <w:tab w:leader="none" w:pos="10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8.3 the borrower shall bear the settlement expenses (if any) for the payment of loan funds (including entrusted payment by the lender and independent payment by the borrower). The specific charges shall be implemented in accordance with laws, regulations, rules, regulatory provisions and the then effective service charge list of Bank of Communications published by the lender.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lending account is a special loan issuing account. When the loan funds are paid (including the entrusted payment of the lender and the independent payment of the borrower), if the collection account does not belong to the account opened in the Bank of communications, the fund payment may be handled through the payment system of the people&amp;apos;s Bank of China or the local exchange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1" w:name="page312"/>
    <w:bookmarkEnd w:id="311"/>
    <w:p>
      <w:pPr>
        <w:jc w:val="both"/>
        <w:ind w:right="20" w:firstLine="648"/>
        <w:spacing w:after="0" w:line="263" w:lineRule="auto"/>
        <w:rPr>
          <w:sz w:val="20"/>
          <w:szCs w:val="20"/>
          <w:color w:val="auto"/>
        </w:rPr>
      </w:pPr>
      <w:r>
        <w:rPr>
          <w:rFonts w:ascii="Arial" w:cs="Arial" w:eastAsia="Arial" w:hAnsi="Arial"/>
          <w:sz w:val="18"/>
          <w:szCs w:val="18"/>
          <w:color w:val="auto"/>
        </w:rPr>
        <w:t>If the lending account is not a special loan issuing account, when the loan funds are paid (including the entrusted payment of the lender and the independent payment of the borrower), if the collection account is an account of another bank in another place, the fund payment shall be handled through the payment system of the people&amp;apos;s Bank of China.</w:t>
      </w:r>
    </w:p>
    <w:p>
      <w:pPr>
        <w:spacing w:after="0" w:line="184" w:lineRule="exact"/>
        <w:rPr>
          <w:sz w:val="20"/>
          <w:szCs w:val="20"/>
          <w:color w:val="auto"/>
        </w:rPr>
      </w:pPr>
    </w:p>
    <w:p>
      <w:pPr>
        <w:jc w:val="both"/>
        <w:ind w:firstLine="656"/>
        <w:spacing w:after="0" w:line="259" w:lineRule="auto"/>
        <w:tabs>
          <w:tab w:leader="none" w:pos="10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8.4 the borrower shall cooperate with the lender in the management of loan payment and the supervision and inspection of loan use and the borrower&amp;apos;s operation, and timely provide the financial statements, loan fund use records and materials, transaction information of related parties and related parties, environmental and social risk reports, other materials and information required by the lender for post loan risk management,And ensure that the documents, materials and information provided are true, complete and accurate.</w:t>
      </w:r>
    </w:p>
    <w:p>
      <w:pPr>
        <w:spacing w:after="0" w:line="186" w:lineRule="exact"/>
        <w:rPr>
          <w:rFonts w:ascii="Arial" w:cs="Arial" w:eastAsia="Arial" w:hAnsi="Arial"/>
          <w:sz w:val="18"/>
          <w:szCs w:val="18"/>
          <w:color w:val="auto"/>
        </w:rPr>
      </w:pPr>
    </w:p>
    <w:p>
      <w:pPr>
        <w:ind w:firstLine="656"/>
        <w:spacing w:after="0" w:line="308" w:lineRule="auto"/>
        <w:tabs>
          <w:tab w:leader="none" w:pos="1052" w:val="left"/>
        </w:tabs>
        <w:numPr>
          <w:ilvl w:val="0"/>
          <w:numId w:val="304"/>
        </w:numPr>
        <w:rPr>
          <w:rFonts w:ascii="Arial" w:cs="Arial" w:eastAsia="Arial" w:hAnsi="Arial"/>
          <w:sz w:val="17"/>
          <w:szCs w:val="17"/>
          <w:color w:val="auto"/>
        </w:rPr>
      </w:pPr>
      <w:r>
        <w:rPr>
          <w:rFonts w:ascii="Arial" w:cs="Arial" w:eastAsia="Arial" w:hAnsi="Arial"/>
          <w:sz w:val="17"/>
          <w:szCs w:val="17"/>
          <w:color w:val="auto"/>
        </w:rPr>
        <w:t>8.5 the borrower shall notify the lender in writing at least 30 days in advance of any of the following matters, and shall not take action before paying off all loan principal and interest under the contract or providing repayment scheme and guarantee approved by the lender:</w:t>
      </w:r>
    </w:p>
    <w:p>
      <w:pPr>
        <w:spacing w:after="0" w:line="146" w:lineRule="exact"/>
        <w:rPr>
          <w:sz w:val="20"/>
          <w:szCs w:val="20"/>
          <w:color w:val="auto"/>
        </w:rPr>
      </w:pPr>
    </w:p>
    <w:p>
      <w:pPr>
        <w:ind w:left="920" w:hanging="264"/>
        <w:spacing w:after="0"/>
        <w:tabs>
          <w:tab w:leader="none" w:pos="9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Sell, gift, lease, lend, transfer, mortgage, pledge or otherwise dispose of all or most of the assets or important assets;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Major changes have taken place in the business system or property right organization form, including but not limited to the implementation of contracting, leasing, joint venture, corporate transformation, joint-stock cooperative transformation, enterprise sale, merger (merger), joint venture (cooperation), division, establishment of subsidiaries, equity transfer, property right transfer, capital reduction, etc.</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Foreign investment or increased debt financing exceeds the agreed limit.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ind w:left="660"/>
        <w:spacing w:after="0"/>
        <w:rPr>
          <w:sz w:val="20"/>
          <w:szCs w:val="20"/>
          <w:color w:val="auto"/>
        </w:rPr>
      </w:pPr>
      <w:r>
        <w:rPr>
          <w:rFonts w:ascii="Arial" w:cs="Arial" w:eastAsia="Arial" w:hAnsi="Arial"/>
          <w:sz w:val="16"/>
          <w:szCs w:val="16"/>
          <w:color w:val="auto"/>
        </w:rPr>
        <w:t>▲▲ 8.6 the borrower shall notify the lender in writing within 7 days from the date of occurrence or possible occurrence of the following events:</w:t>
      </w:r>
    </w:p>
    <w:p>
      <w:pPr>
        <w:spacing w:after="0" w:line="248" w:lineRule="exact"/>
        <w:rPr>
          <w:sz w:val="20"/>
          <w:szCs w:val="20"/>
          <w:color w:val="auto"/>
        </w:rPr>
      </w:pPr>
    </w:p>
    <w:p>
      <w:pPr>
        <w:ind w:firstLine="656"/>
        <w:spacing w:after="0" w:line="342" w:lineRule="auto"/>
        <w:tabs>
          <w:tab w:leader="none" w:pos="94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borrower or its affiliates modify the articles of association, change the business registration items such as enterprise name, legal representative (person in charge), domicile, mailing address or business scope, or make decisions that have a significant impact on finance and personnel;</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its affiliates or guarantors intend to apply for bankruptcy or may or has been applied for bankruptcy by creditors;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3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or its affiliates are involved in major litigation, arbitration and administrative measures, or property preservation or other coercive measures are taken for the main assets or the collateral under the contract, or the safety and integrity of the main assets or the collateral under the contract are or may be affected, or the value is reduced or may be reduced;</w:t>
      </w:r>
    </w:p>
    <w:p>
      <w:pPr>
        <w:spacing w:after="0" w:line="183" w:lineRule="exact"/>
        <w:rPr>
          <w:rFonts w:ascii="Arial" w:cs="Arial" w:eastAsia="Arial" w:hAnsi="Arial"/>
          <w:sz w:val="18"/>
          <w:szCs w:val="18"/>
          <w:color w:val="auto"/>
        </w:rPr>
      </w:pPr>
    </w:p>
    <w:p>
      <w:pPr>
        <w:ind w:firstLine="656"/>
        <w:spacing w:after="0" w:line="277" w:lineRule="auto"/>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or its affiliates provide guarantee for the third party, which has a significant adverse impact on its economic status, financial status or ability to perform its obligations under the contract;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or its affiliates sign contracts that have a significant impact on its operation and financial status;</w:t>
      </w:r>
    </w:p>
    <w:p>
      <w:pPr>
        <w:spacing w:after="0" w:line="225" w:lineRule="exact"/>
        <w:rPr>
          <w:rFonts w:ascii="Arial" w:cs="Arial" w:eastAsia="Arial" w:hAnsi="Arial"/>
          <w:sz w:val="18"/>
          <w:szCs w:val="18"/>
          <w:color w:val="auto"/>
        </w:rPr>
      </w:pPr>
    </w:p>
    <w:p>
      <w:pPr>
        <w:ind w:right="20" w:firstLine="656"/>
        <w:spacing w:after="0" w:line="277" w:lineRule="auto"/>
        <w:tabs>
          <w:tab w:leader="none" w:pos="91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pays off the undue debts in advance or gives priority to other due debts, adds mortgage and pledge for other existing debts, or makes any arrangement with similar effect or signs relevant documents;</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its affiliates or guarantors stop production, close down, dissolve, close down for rectification, are revoked or their business licenses are revoked;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disappearance of the borrower or its affiliates, the main individual investors of the borrower or its affiliates, the legal representative (person in charge), directors or key management personnel of the borrower or its affiliates, involving violations of laws and regulations or violation of applicable exchange rules or abnormal changes;</w:t>
      </w:r>
    </w:p>
    <w:p>
      <w:pPr>
        <w:spacing w:after="0" w:line="183" w:lineRule="exact"/>
        <w:rPr>
          <w:rFonts w:ascii="Arial" w:cs="Arial" w:eastAsia="Arial" w:hAnsi="Arial"/>
          <w:sz w:val="18"/>
          <w:szCs w:val="18"/>
          <w:color w:val="auto"/>
        </w:rPr>
      </w:pPr>
    </w:p>
    <w:p>
      <w:pPr>
        <w:ind w:right="20" w:firstLine="656"/>
        <w:spacing w:after="0" w:line="277" w:lineRule="auto"/>
        <w:tabs>
          <w:tab w:leader="none" w:pos="92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Serious difficulties in the operation of the borrower or its affiliates, or deterioration of its financial condition, or other events that have a negative impact on the operation, financial condition, solvency or economic condition of the borrower or its affiliates;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3" w:name="page314"/>
    <w:bookmarkEnd w:id="313"/>
    <w:p>
      <w:pPr>
        <w:ind w:left="1000" w:hanging="344"/>
        <w:spacing w:after="0"/>
        <w:tabs>
          <w:tab w:leader="none" w:pos="10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Related party transactions occur, and the transaction amount reaches or exceeds 10% of the latest audited net assets;</w:t>
      </w:r>
    </w:p>
    <w:p>
      <w:pPr>
        <w:spacing w:after="0" w:line="225" w:lineRule="exact"/>
        <w:rPr>
          <w:rFonts w:ascii="Arial" w:cs="Arial" w:eastAsia="Arial" w:hAnsi="Arial"/>
          <w:sz w:val="18"/>
          <w:szCs w:val="18"/>
          <w:color w:val="auto"/>
        </w:rPr>
      </w:pPr>
    </w:p>
    <w:p>
      <w:pPr>
        <w:ind w:firstLine="656"/>
        <w:spacing w:after="0" w:line="277" w:lineRule="auto"/>
        <w:tabs>
          <w:tab w:leader="none" w:pos="101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Before paying off all debts under this contract, the borrower becomes or may become the shareholder of the guarantor or the “actual controller” as defined in the company law;</w:t>
      </w:r>
    </w:p>
    <w:p>
      <w:pPr>
        <w:spacing w:after="0" w:line="197" w:lineRule="exact"/>
        <w:rPr>
          <w:rFonts w:ascii="Arial" w:cs="Arial" w:eastAsia="Arial" w:hAnsi="Arial"/>
          <w:sz w:val="18"/>
          <w:szCs w:val="18"/>
          <w:color w:val="auto"/>
        </w:rPr>
      </w:pPr>
    </w:p>
    <w:p>
      <w:pPr>
        <w:ind w:right="20" w:firstLine="656"/>
        <w:spacing w:after="0" w:line="277" w:lineRule="auto"/>
        <w:tabs>
          <w:tab w:leader="none" w:pos="10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 or its affiliates cause liability accidents or are exposed by the media due to violation of laws and regulations, regulatory provisions, national policies or industrial standards;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Safety or environmental protection accidents of the borrower or its affiliates;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Changes in the control or controlled relationship between the borrower&amp;apos;s related parties and the borrower;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Significant equity changes of the borrower or related parties;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audit opinion of the borrower&amp;apos;s external auditor on its financial statements is not a standard unqualified opinion;</w:t>
      </w:r>
    </w:p>
    <w:p>
      <w:pPr>
        <w:spacing w:after="0" w:line="225" w:lineRule="exact"/>
        <w:rPr>
          <w:rFonts w:ascii="Arial" w:cs="Arial" w:eastAsia="Arial" w:hAnsi="Arial"/>
          <w:sz w:val="18"/>
          <w:szCs w:val="18"/>
          <w:color w:val="auto"/>
        </w:rPr>
      </w:pPr>
    </w:p>
    <w:p>
      <w:pPr>
        <w:ind w:firstLine="656"/>
        <w:spacing w:after="0" w:line="277" w:lineRule="auto"/>
        <w:tabs>
          <w:tab w:leader="none" w:pos="99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other similar measures by the competent authorities for violating laws, regulations and / or regulatory requirements;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9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borrower or its affiliates are included in the sanctions list of the United Nations, the European Union or the United States, as well as the list of risks related to terrorism and anti money laundering issued by Chinese government departments or competent authorities; Or its country and region are included in the list of sanctions countries and regions such as the United Nations, the European Union or the United States;</w:t>
      </w:r>
    </w:p>
    <w:p>
      <w:pPr>
        <w:spacing w:after="0" w:line="165" w:lineRule="exact"/>
        <w:rPr>
          <w:rFonts w:ascii="Arial" w:cs="Arial" w:eastAsia="Arial" w:hAnsi="Arial"/>
          <w:sz w:val="17"/>
          <w:szCs w:val="17"/>
          <w:color w:val="auto"/>
        </w:rPr>
      </w:pPr>
    </w:p>
    <w:p>
      <w:pPr>
        <w:ind w:left="1000" w:hanging="344"/>
        <w:spacing w:after="0"/>
        <w:tabs>
          <w:tab w:leader="none" w:pos="10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Other major adverse events affecting the solvency of the borrower or its affiliates occur.</w:t>
      </w:r>
    </w:p>
    <w:p>
      <w:pPr>
        <w:spacing w:after="0" w:line="225" w:lineRule="exact"/>
        <w:rPr>
          <w:sz w:val="20"/>
          <w:szCs w:val="20"/>
          <w:color w:val="auto"/>
        </w:rPr>
      </w:pPr>
    </w:p>
    <w:p>
      <w:pPr>
        <w:ind w:firstLine="656"/>
        <w:spacing w:after="0" w:line="277" w:lineRule="auto"/>
        <w:tabs>
          <w:tab w:leader="none" w:pos="107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8.7 when the guarantee under this contract changes against the creditor&amp;apos;s rights of the lender, the borrower shall timely provide other guarantees approved by the lender as required by the lender.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“change” mentioned in this paragraph includes but is not limited to: the guarantor merges, splits, stops production, goes out of business, dissolves, goes out of business for rectification, is revoked, the business license is revoked, applies for or is applied for bankruptcy; The operation or financial status of the guarantor has changed significantly; The guarantor is involved in major litigation, arbitration, administrative measures, or property preservation or other coercive measures have been taken for its main assets; The security and integrity of the collateral is or may be affected; The value of the collateral decreases or may decrease, or compulsory measures such as seizure and property preservation are taken; The guarantor or its legal representative (principal) or key management personnel are involved in violation of laws and regulations or the applicable exchange rules; If the guarantor is an individual, the guarantor is missing or dead (declared dead);The guarantor is in breach of contract under the guarantee contract; Disputes between the guarantor and the borrower; The guarantor requests to terminate the guarantee contract; The guarantee contract is not effective, invalid or revoked; The security interest is not established or invalid; Or other events affecting the safety of the creditor&amp;apos;s rights of the lender.</w:t>
      </w:r>
    </w:p>
    <w:p>
      <w:pPr>
        <w:spacing w:after="0" w:line="166" w:lineRule="exact"/>
        <w:rPr>
          <w:sz w:val="20"/>
          <w:szCs w:val="20"/>
          <w:color w:val="auto"/>
        </w:rPr>
      </w:pPr>
    </w:p>
    <w:p>
      <w:pPr>
        <w:jc w:val="both"/>
        <w:ind w:firstLine="656"/>
        <w:spacing w:after="0" w:line="286" w:lineRule="auto"/>
        <w:tabs>
          <w:tab w:leader="none" w:pos="109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8.8 the borrower promises that from the date of signing this contract to the completion of all loan principal, interest and related expenses under this contract, the borrower&amp;apos;s financial indicators, external agency rating and production and operation qualification / license always comply with the contract. If the production and operation qualification / license needs annual review, it shall pass the annual review on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jc w:val="both"/>
        <w:ind w:firstLine="648"/>
        <w:spacing w:after="0" w:line="257" w:lineRule="auto"/>
        <w:rPr>
          <w:sz w:val="20"/>
          <w:szCs w:val="20"/>
          <w:color w:val="auto"/>
        </w:rPr>
      </w:pPr>
      <w:r>
        <w:rPr>
          <w:rFonts w:ascii="Arial" w:cs="Arial" w:eastAsia="Arial" w:hAnsi="Arial"/>
          <w:sz w:val="18"/>
          <w:szCs w:val="18"/>
          <w:color w:val="auto"/>
        </w:rPr>
        <w:t>8.9 The borrower guarantees that the borrower, the borrower&amp;apos;s staff and agents will not provide, give, demand or receive any form of material benefits (including but not limited to cash, physical cards, tourism, etc.) or other non-material benefits to the lender or the lender&amp;apos;s staff in any form;Not use the funds or services provided by the lender directly or indirectly in any form for activities related to corruption or bribery; If the borrower is aware of any violation of this article, it shall timely, truthfully, completely and accurately provide clues and relevant information to the lender, and cooperate with relevant matters as required by the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9 adjustment of credit limit, early maturity of loan and risk repricing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 Any of the following events shall be deemed as the “early expiration event” of the contract:</w:t>
      </w:r>
    </w:p>
    <w:p>
      <w:pPr>
        <w:spacing w:after="0" w:line="225" w:lineRule="exact"/>
        <w:rPr>
          <w:sz w:val="20"/>
          <w:szCs w:val="20"/>
          <w:color w:val="auto"/>
        </w:rPr>
      </w:pPr>
    </w:p>
    <w:p>
      <w:pPr>
        <w:ind w:left="920" w:hanging="264"/>
        <w:spacing w:after="0"/>
        <w:tabs>
          <w:tab w:leader="none" w:pos="9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borrower fails to repay the loan principal or pay interest as agreed in any application for quota use under this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representations and warranties made by the borrower under this contract are untrue;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Any event listed in article 8.6 to be notified actually occurs, affecting or possibly affecting the safety of the creditor&amp;apos;s rights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firstLine="656"/>
        <w:spacing w:after="0" w:line="277" w:lineRule="auto"/>
        <w:tabs>
          <w:tab w:leader="none" w:pos="90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Due to changes in laws, regulations and regulatory policies, the lender&amp;apos;s granting of loans in accordance with the contract constitutes or may constitute violation of laws or regulations;</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When performing other contracts with the lender or contracts with a third party, the borrower may have breached the contract or the debt may have been declared to be due ahead of schedule;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borrower violates other provisions of this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 In case of any “early maturity event”, the lender has the right to take one, more or all of the following measures:</w:t>
      </w:r>
    </w:p>
    <w:p>
      <w:pPr>
        <w:spacing w:after="0" w:line="225" w:lineRule="exact"/>
        <w:rPr>
          <w:sz w:val="20"/>
          <w:szCs w:val="20"/>
          <w:color w:val="auto"/>
        </w:rPr>
      </w:pPr>
    </w:p>
    <w:p>
      <w:pPr>
        <w:ind w:left="920" w:hanging="264"/>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Reduce, suspend or cancel the quota under the contract;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Stop issuing loans that have not been withdrawn by the borrower;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Stop the payment of the loan withdrawn but not used by the borrower;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Require the borrower to negotiate with the lender on supplementary loan issuance and payment conditions within a limited time limit;</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Require the borrower to change the payment method as required by the lender;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Implement the risk repricing of the loan in accordance with Article 9.3;</w:t>
      </w:r>
    </w:p>
    <w:p>
      <w:pPr>
        <w:spacing w:after="0" w:line="225" w:lineRule="exact"/>
        <w:rPr>
          <w:rFonts w:ascii="Arial" w:cs="Arial" w:eastAsia="Arial" w:hAnsi="Arial"/>
          <w:sz w:val="18"/>
          <w:szCs w:val="18"/>
          <w:color w:val="auto"/>
        </w:rPr>
      </w:pPr>
    </w:p>
    <w:p>
      <w:pPr>
        <w:ind w:firstLine="656"/>
        <w:spacing w:after="0" w:line="277" w:lineRule="auto"/>
        <w:tabs>
          <w:tab w:leader="none" w:pos="92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Unilaterally announce that all the loan principal issued under the contract will expire in advance, and require the borrower to immediately repay all the loan principal due and settle the interest.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right="20" w:firstLine="648"/>
        <w:spacing w:after="0" w:line="263" w:lineRule="auto"/>
        <w:rPr>
          <w:sz w:val="20"/>
          <w:szCs w:val="20"/>
          <w:color w:val="auto"/>
        </w:rPr>
      </w:pPr>
      <w:r>
        <w:rPr>
          <w:rFonts w:ascii="Arial" w:cs="Arial" w:eastAsia="Arial" w:hAnsi="Arial"/>
          <w:sz w:val="18"/>
          <w:szCs w:val="18"/>
          <w:color w:val="auto"/>
        </w:rPr>
        <w:t>9.3 According to the production and operation of the borrower at the time of signing this contract, both parties have determined the interest rate agreed in this contract and its adjustment after consensus. The borrower agrees that in case of any “early maturity event”, the lender has the right to reprice the risk of the loan in accordance with this article.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9.3.1 Risk repricing includes negotiated repricing and direct increase of loan interest rate. The risk repricing method adopted in this contract shall be agreed by both parties in Article 21.</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9.3.2 “Negotiated repricing” means that the lender has the right to require the borrower to negotiate with the lender to increase the loan interest rate within a limited time limit, and both parties determine the “repricing date” and relevant interest rate in the form of supplementary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9.3.3 “Direct increase of loan interest rate” means that the lender has the right to directly increase the loan interest rate in accordance with this article and Article 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9.3.3.1 From the “repricing date” notified by the lender to the borrower in writing, the increased loan interest rate shall be implemented for each loan outstanding by the borrower as of the “repricing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9.3.3.2 If the loan currency is RMB, the increased loan interest rate of each loan shall be determined according to the plus (minus) point value agreed in Article 21 based on the applicable LPR value on the “repricing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“repricing date” is taken as t date, and the applicable LPR value on t date is the latest published loan market quotation interest rate (LPR) value before 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9.3.3.3 If the loan currency is foreign currency, the increased loan interest rate shall be determined in accordance with Article 21.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9.3.4 After the lender performs risk repricing as agreed above, the new interest rate shall be implemented from the “repricing date”. On the basis of this interest rate, it is still subject to floating adjustment as agreed in Article 3 of the contract. If both parties agree to change relevant agreements through consultation, the changed agreements shall prevail. If the loan is overdue (including the borrower&amp;apos;s failure to repay on time or the lender&amp;apos;s declaration of early maturity) or misappropriated, the penalty interest rate for overdue and misappropriation shall be determined on the basis of the new interest rate (including the interest rate after floating adjustment as agreed in this contract), and the interest rate for calculating compound interest shall be adjusted accordingly.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9.3.5 The implementation of “risk repricing” shall not be deemed or interpreted as the lender waiving other rights stipulated by laws and regulations and agreed in this contract. The lender has the right to take other creditor&amp;apos;s rights protection measures in accordance with laws, regulations and the contract, including but not limited to the measures agreed in article 9.2.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10 breach of contract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10.1 If the borrower fails to repay the loan principal in full and on time, pay interest or use the loan according to the purpose agreed in this contract, the lender shall calculate and charge interest according to the penalty interest rate of overdue loan or the penalty interest rate of misappropriated loan, and charge compound interest on the unpaid interest payable. If the penalty interest rate is adjusted according to the contract, the interest rate for calculating compound interest shall be adjusted accordingly.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10.2 If the borrower fails to repay the loan principal and interest in full and on time, it shall bear the urging fees, legal fees (or arbitration fees), preservation fees, announcement fees, execution fees, lawyer fees, travel expenses and other expenses paid by the lender to realize the creditor&amp;apos;s rights.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p>
      <w:pPr>
        <w:ind w:left="660"/>
        <w:spacing w:after="0"/>
        <w:rPr>
          <w:sz w:val="20"/>
          <w:szCs w:val="20"/>
          <w:color w:val="auto"/>
        </w:rPr>
      </w:pPr>
      <w:r>
        <w:rPr>
          <w:rFonts w:ascii="Arial" w:cs="Arial" w:eastAsia="Arial" w:hAnsi="Arial"/>
          <w:sz w:val="18"/>
          <w:szCs w:val="18"/>
          <w:color w:val="auto"/>
        </w:rPr>
        <w:t>▲▲ Article 11 deduction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11.1 When the borrower authorizes the due loan principal, interest, default interest, compound interest or other expenses, the lender has the right to deduct the funds in any account opened by the borrower in all branches of Bank of communications for repayment.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11.2 After deduction, the lender shall notify the borrower of the account number, contract number, application for use of line number, deduction amount and remaining debt amount involved in the deduction.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11.3 If the deducted income is insufficient to pay off all the debts of the borrower, the debt paid off shall be determined according to the contract.</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11.4 If the currency of the deducted income is inconsistent with that of the debt to be offset, it shall be converted into the amount of the debt to be offset at the exchange rate published by Bank of Communications Co., Ltd. at the time of deduction. If it is necessary to go through the procedures of settlement and sale of foreign exchange or foreign exchange conversion, the borrower is obliged to assist the lender in handling the procedures as required by the lender, and the exchange rate risk shall be borne by the borrower.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12 notice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 The contact information (including mailing address, telephone number, fax number, etc.) filled in by the borrower in this contract is true and valid. In case of any change in contact information, the borrower shall immediately send / send the change information in writing to the mailing address filled in by the lender in this contract. Such information change shall take effect after the lender receives the change notice.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12.2 Unless otherwise expressly agreed in this contract, the lender has the right to notify the borrower in any of the following ways. The lender shall have the right to choose the appropriate method of notice, and shall not be liable for transmission errors, omissions or delays in postal, fax, telephone or any other communication system. If the lender chooses multiple notification methods at the same time, the one that reaches the borrower faster shall prevail. If the lender sends more than one notice to the borrower on the same matter and the contents of the notice are different, unless otherwise specified in the notice, the notice sent later shall prevail.</w:t>
      </w:r>
    </w:p>
    <w:p>
      <w:pPr>
        <w:spacing w:after="0" w:line="188" w:lineRule="exact"/>
        <w:rPr>
          <w:sz w:val="20"/>
          <w:szCs w:val="20"/>
          <w:color w:val="auto"/>
        </w:rPr>
      </w:pPr>
    </w:p>
    <w:p>
      <w:pPr>
        <w:ind w:firstLine="656"/>
        <w:spacing w:after="0" w:line="277" w:lineRule="auto"/>
        <w:tabs>
          <w:tab w:leader="none" w:pos="90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For announcement, the date on which the lender issues an announcement on its website, online banking, telephone banking or business outlets shall be deemed as the date of service;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case of personal service, the date of receipt by the borrower shall be deemed as the date of service;</w:t>
      </w:r>
    </w:p>
    <w:p>
      <w:pPr>
        <w:spacing w:after="0" w:line="225" w:lineRule="exact"/>
        <w:rPr>
          <w:rFonts w:ascii="Arial" w:cs="Arial" w:eastAsia="Arial" w:hAnsi="Arial"/>
          <w:sz w:val="18"/>
          <w:szCs w:val="18"/>
          <w:color w:val="auto"/>
        </w:rPr>
      </w:pPr>
    </w:p>
    <w:p>
      <w:pPr>
        <w:ind w:right="20" w:firstLine="656"/>
        <w:spacing w:after="0" w:line="277" w:lineRule="auto"/>
        <w:tabs>
          <w:tab w:leader="none" w:pos="91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Mail (including express mail, ordinary mail and registered mail) shall be delivered to the borrower&amp;apos;s latest known mailing address, and the 3rd (same city) / 5th (different place) after the date of mailing shall be deemed as the date of delivery;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When fax, mobile phone short message or other electronic communication means are sent to the borrower&amp;apos;s fax number, mobile phone number or e-mail address designated by the borrower, the date of sending shall be deemed as the date of service. The aforementioned delivery means that relevant information enters the server terminal of the service provider without taking the actual display of relevant information in the client terminal as the standard.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7" w:name="page318"/>
    <w:bookmarkEnd w:id="317"/>
    <w:p>
      <w:pPr>
        <w:jc w:val="both"/>
        <w:ind w:firstLine="648"/>
        <w:spacing w:after="0" w:line="255" w:lineRule="auto"/>
        <w:rPr>
          <w:sz w:val="20"/>
          <w:szCs w:val="20"/>
          <w:color w:val="auto"/>
        </w:rPr>
      </w:pPr>
      <w:r>
        <w:rPr>
          <w:rFonts w:ascii="Arial" w:cs="Arial" w:eastAsia="Arial" w:hAnsi="Arial"/>
          <w:sz w:val="18"/>
          <w:szCs w:val="18"/>
          <w:color w:val="auto"/>
        </w:rPr>
        <w:t>12.3 The borrower agrees that unless the lender receives the borrower&amp;apos;s written notice on the change of mailing address, the mailing address filled in by the borrower in this contract is the address for the court to serve judicial documents and other written documents on the borrower. The scope of application of the above service address includes but is not limited to the first instance, second instance, retrial and execution procedures of civil proceedings. If the borrower responds to the lawsuit and directly submits the confirmation of service address to the court, and the confirmation address is inconsistent with the latest known mailing address of the lender, the court has the right to serve according to the address on the confirmation of service address.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process of dispute resolution of this contract, the court may serve the judgment, ruling and mediation on the borrower in any of the following ways:</w:t>
      </w:r>
    </w:p>
    <w:p>
      <w:pPr>
        <w:spacing w:after="0" w:line="170" w:lineRule="exact"/>
        <w:rPr>
          <w:sz w:val="20"/>
          <w:szCs w:val="20"/>
          <w:color w:val="auto"/>
        </w:rPr>
      </w:pPr>
    </w:p>
    <w:p>
      <w:pPr>
        <w:ind w:firstLine="656"/>
        <w:spacing w:after="0" w:line="277" w:lineRule="auto"/>
        <w:tabs>
          <w:tab w:leader="none" w:pos="90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For postal service (including express mail, ordinary mail and registered mail), the date of receipt signed by the borrower on the service return certificate shall be the date of service;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case of personal service, the date on which the borrower signs the service receipt shall be deemed as the date of service.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court uses the method of postal service (including express mail, ordinary mail and registered mail), if the borrower fails to sign on the service return certificate, or the communication address filled in by the borrower is inaccurate or the communication address is actually changed, but the lender does not receive the borrower&amp;apos;s written notice on changing the communication address, resulting in the return of the judgment, ruling and mediation, The date on which the document is returned shall be deemed as the date of service.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court adopts the method of personal service, if the borrower fails to sign on the service receipt, the date when the sender records the situation on the service receipt on the spot shall be the date of service.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judgment, ruling and mediation, the court has the right to give any notice to the borrower by any means of communication agreed in article 12.2. The court shall have the right to choose the appropriate means of communication and shall not be liable for transmission errors, omissions or delays in postal, fax, telephone, telex or any other communication system. If the court chooses multiple means of communication at the same time, the one that reaches the borrower faster shall prevail.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12.4 This clause is an independent dispute resolution clause in the contract. If the contract is invalid, revoked or terminated, the validity of this clause shall not be affected.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13 information disclosure and confidentiality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13.1 For the unpublished information and materials of the borrower obtained and known during the signing and performance of this contract, the lender shall not use the relevant information and materials in violation of laws, regulations and regulatory requirements, and shall bear the responsibility of confidentiality according to law, and shall not disclose such information and materials to a third party, except under the following circumstances:</w:t>
      </w:r>
    </w:p>
    <w:p>
      <w:pPr>
        <w:spacing w:after="0" w:line="149" w:lineRule="exact"/>
        <w:rPr>
          <w:sz w:val="20"/>
          <w:szCs w:val="20"/>
          <w:color w:val="auto"/>
        </w:rPr>
      </w:pPr>
    </w:p>
    <w:p>
      <w:pPr>
        <w:ind w:left="920" w:hanging="264"/>
        <w:spacing w:after="0"/>
        <w:tabs>
          <w:tab w:leader="none" w:pos="9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Disclosure required by applicable laws and regulations;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disclosure according to law;</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When the borrower fails to repay the loan principal and / or pay interest in full and on time, the lender needs to disclose to the lender&amp;apos;s external professional consultant and allow the lender&amp;apos;s external professional consultant to use it on a confidential basis in order to realize the creditor&amp;apos;s rights under this contract;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borrower agrees or authorizes the lender to make disclosure.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jc w:val="both"/>
        <w:ind w:firstLine="648"/>
        <w:spacing w:after="0" w:line="277" w:lineRule="auto"/>
        <w:rPr>
          <w:sz w:val="20"/>
          <w:szCs w:val="20"/>
          <w:color w:val="auto"/>
        </w:rPr>
      </w:pPr>
      <w:r>
        <w:rPr>
          <w:rFonts w:ascii="Arial" w:cs="Arial" w:eastAsia="Arial" w:hAnsi="Arial"/>
          <w:sz w:val="18"/>
          <w:szCs w:val="18"/>
          <w:color w:val="auto"/>
        </w:rPr>
        <w:t>13.2 The borrower confirms that it has signed the letter of authorization for credit information inquiry and provision. The lender shall inquire, use and save the borrower&amp;apos;s credit information within the scope specified in the power of attorney.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13.3 In addition to the circumstances specified in articles 13.1 and 13.2 of the contract, the Borrower further agrees that bank of Communications Co., Ltd. can use or disclose the borrower&amp;apos;s information and materials, including but not limited to the borrower&amp;apos;s basic information, credit transaction information, bad information and other relevant information and materials, and is willing to bear all consequences arising therefrom:</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 services to outsourcing institutions, third-party service providers, other financial institutions and other institutions or individuals deemed necessary by the lender for the following purposes, including but not limited to other branches of Bank of communications, or subsidiaries wholly or partially owned by Bank of communications, Disclose and allow them to use such information and materials on a confidential basis: j to carry out bank credit business or related to bank credit business, such as promoting the credit business of Bank of Communications Co., Ltd., collecting the borrower&amp;apos;s arrears, transferring the creditor&amp;apos;s rights of bank credit business, etc; k Provide or may provide new products or services or further services for the lender to the borrower.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applicability of this article 13.3 shall be subject to the agreement of both parties in Article 24 of the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14 application of law and dispute resolution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contract shall be governed by the laws of the people&amp;apos;s Republic of China (excluding the laws of Hong Kong, Macao and Taiwan for the purpose of this contract).Unless otherwise agreed in this contract, the disputes under this contract shall be brought to the court with jurisdiction in the place where the lender is located. During the dispute period, each party shall continue to perform the terms not involved in the dispute.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15 effectiveness and composition of the contract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15.1 This contract shall come into force after being signed (or sealed) by the legal representative (principal) or authorized representative of the borrower and affixed with the official seal, and signed (or sealed) by the principal or authorized representative of the lender and affixed with the special seal for contract.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15.2 The application for quota use signed when using the quota under the contract and other relevant documents and materials are an integral part of the contract.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15.3 The application for quota use is a supplement to this contract. Unless otherwise agreed in the application for use of credit line, the rights, obligations and related matters between the borrower and the lender shall still be implemented in accordance with the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16 specific contents of quota</w:t>
      </w:r>
    </w:p>
    <w:p>
      <w:pPr>
        <w:spacing w:after="0" w:line="192"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16.1 Currency of quota: RMB; Amount in words: twelve million yuan only;It can be used for R RMB </w:t>
      </w:r>
      <w:r>
        <w:rPr>
          <w:rFonts w:ascii="MS PGothic" w:cs="MS PGothic" w:eastAsia="MS PGothic" w:hAnsi="MS PGothic"/>
          <w:sz w:val="16"/>
          <w:szCs w:val="16"/>
          <w:color w:val="auto"/>
        </w:rPr>
        <w:t>☐</w:t>
      </w:r>
      <w:r>
        <w:rPr>
          <w:rFonts w:ascii="Arial" w:cs="Arial" w:eastAsia="Arial" w:hAnsi="Arial"/>
          <w:sz w:val="16"/>
          <w:szCs w:val="16"/>
          <w:color w:val="auto"/>
        </w:rPr>
        <w:t xml:space="preserve"> / (foreign currency);The quota belongs to</w:t>
      </w:r>
    </w:p>
    <w:p>
      <w:pPr>
        <w:spacing w:after="0" w:line="74" w:lineRule="exact"/>
        <w:rPr>
          <w:sz w:val="20"/>
          <w:szCs w:val="20"/>
          <w:color w:val="auto"/>
        </w:rPr>
      </w:pPr>
    </w:p>
    <w:p>
      <w:pPr>
        <w:ind w:left="660" w:right="3880" w:hanging="652"/>
        <w:spacing w:after="0" w:line="327" w:lineRule="exact"/>
        <w:tabs>
          <w:tab w:leader="none" w:pos="219" w:val="left"/>
        </w:tabs>
        <w:numPr>
          <w:ilvl w:val="0"/>
          <w:numId w:val="316"/>
        </w:numPr>
        <w:rPr>
          <w:rFonts w:ascii="MS PGothic" w:cs="MS PGothic" w:eastAsia="MS PGothic" w:hAnsi="MS PGothic"/>
          <w:sz w:val="18"/>
          <w:szCs w:val="18"/>
          <w:color w:val="auto"/>
        </w:rPr>
      </w:pPr>
      <w:r>
        <w:rPr>
          <w:rFonts w:ascii="Arial" w:cs="Arial" w:eastAsia="Arial" w:hAnsi="Arial"/>
          <w:sz w:val="18"/>
          <w:szCs w:val="18"/>
          <w:color w:val="auto"/>
        </w:rPr>
        <w:t xml:space="preserve">revolving quota </w:t>
      </w:r>
      <w:r>
        <w:rPr>
          <w:rFonts w:ascii="MS PGothic" w:cs="MS PGothic" w:eastAsia="MS PGothic" w:hAnsi="MS PGothic"/>
          <w:sz w:val="18"/>
          <w:szCs w:val="18"/>
          <w:color w:val="auto"/>
        </w:rPr>
        <w:t>☐</w:t>
      </w:r>
      <w:r>
        <w:rPr>
          <w:rFonts w:ascii="Arial" w:cs="Arial" w:eastAsia="Arial" w:hAnsi="Arial"/>
          <w:sz w:val="18"/>
          <w:szCs w:val="18"/>
          <w:color w:val="auto"/>
        </w:rPr>
        <w:t xml:space="preserve"> one-time quota (can be used multiple times) R one-time quota (only used once). 16.2 Purpose of quota: operating turnover.</w:t>
      </w:r>
    </w:p>
    <w:p>
      <w:pPr>
        <w:spacing w:after="0" w:line="202"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16.3 The credit term is from January 29, 2021 to January 29,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17 interest rate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the loan currency is foreign currency, the relevant agreements on the determination of interest rate, the adjustment of interest rate and the penalty interest rate of overdue and misappropriated loans are as follows:</w:t>
      </w:r>
    </w:p>
    <w:p>
      <w:pPr>
        <w:spacing w:after="0" w:line="170"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741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ind w:left="660"/>
        <w:spacing w:after="0"/>
        <w:rPr>
          <w:sz w:val="20"/>
          <w:szCs w:val="20"/>
          <w:color w:val="auto"/>
        </w:rPr>
      </w:pPr>
      <w:r>
        <w:rPr>
          <w:rFonts w:ascii="Arial" w:cs="Arial" w:eastAsia="Arial" w:hAnsi="Arial"/>
          <w:sz w:val="18"/>
          <w:szCs w:val="18"/>
          <w:color w:val="auto"/>
        </w:rPr>
        <w:t>Article 18 Account Agreement</w:t>
      </w:r>
    </w:p>
    <w:p>
      <w:pPr>
        <w:spacing w:after="0" w:line="191"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22"/>
          <w:szCs w:val="22"/>
          <w:color w:val="auto"/>
        </w:rPr>
        <w:t xml:space="preserve">18.1 The borrower designates the following account as the lending account, which </w:t>
      </w:r>
      <w:r>
        <w:rPr>
          <w:rFonts w:ascii="MS PGothic" w:cs="MS PGothic" w:eastAsia="MS PGothic" w:hAnsi="MS PGothic"/>
          <w:sz w:val="22"/>
          <w:szCs w:val="22"/>
          <w:color w:val="auto"/>
        </w:rPr>
        <w:t>☐</w:t>
      </w:r>
      <w:r>
        <w:rPr>
          <w:rFonts w:ascii="Arial" w:cs="Arial" w:eastAsia="Arial" w:hAnsi="Arial"/>
          <w:sz w:val="22"/>
          <w:szCs w:val="22"/>
          <w:color w:val="auto"/>
        </w:rPr>
        <w:t xml:space="preserve"> is R not the special loan issuing account opened by the borrower at the lender. If both parties agree otherwise in the corresponding quota use application, the agreement in the quota use application shall prevail.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310066865018010213932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deposit: Bank of Communications Shanghai Zhangjiang sub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18.2 Designated by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repayment account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310066865018010213932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deposit: Bank of Communications Shanghai Zhangjiang sub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The fund withdrawal account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310066865018010213932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deposit: Bank of Communications Shanghai Zhangjiang sub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19 specific agreements on loan issuance, payment and repayment</w:t>
      </w:r>
    </w:p>
    <w:p>
      <w:pPr>
        <w:spacing w:after="0" w:line="191" w:lineRule="exact"/>
        <w:rPr>
          <w:sz w:val="20"/>
          <w:szCs w:val="20"/>
          <w:color w:val="auto"/>
        </w:rPr>
      </w:pPr>
    </w:p>
    <w:p>
      <w:pPr>
        <w:ind w:firstLine="648"/>
        <w:spacing w:after="0" w:line="279" w:lineRule="exact"/>
        <w:rPr>
          <w:sz w:val="20"/>
          <w:szCs w:val="20"/>
          <w:color w:val="auto"/>
        </w:rPr>
      </w:pPr>
      <w:r>
        <w:rPr>
          <w:rFonts w:ascii="Arial" w:cs="Arial" w:eastAsia="Arial" w:hAnsi="Arial"/>
          <w:sz w:val="22"/>
          <w:szCs w:val="22"/>
          <w:color w:val="auto"/>
        </w:rPr>
        <w:t xml:space="preserve">19.1 The term of each loan drawn under this contract shall not be longer than 12 R months </w:t>
      </w:r>
      <w:r>
        <w:rPr>
          <w:rFonts w:ascii="MS PGothic" w:cs="MS PGothic" w:eastAsia="MS PGothic" w:hAnsi="MS PGothic"/>
          <w:sz w:val="22"/>
          <w:szCs w:val="22"/>
          <w:color w:val="auto"/>
        </w:rPr>
        <w:t>☐</w:t>
      </w:r>
      <w:r>
        <w:rPr>
          <w:rFonts w:ascii="Arial" w:cs="Arial" w:eastAsia="Arial" w:hAnsi="Arial"/>
          <w:sz w:val="22"/>
          <w:szCs w:val="22"/>
          <w:color w:val="auto"/>
        </w:rPr>
        <w:t xml:space="preserve"> days, and the maturity date of all loans shall not be later than July 29, 2022.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19.2 The limit of independent payment under this contract is RMB ten thousand yuan.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19.3 If one of the following conditions is met, the entrusted payment method of the lender shall be adopted:</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741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1374140" cy="8890"/>
                    </a:xfrm>
                    <a:prstGeom prst="rect">
                      <a:avLst/>
                    </a:prstGeom>
                    <a:noFill/>
                  </pic:spPr>
                </pic:pic>
              </a:graphicData>
            </a:graphic>
          </wp:anchor>
        </w:drawing>
      </w:r>
    </w:p>
    <w:p>
      <w:pPr>
        <w:spacing w:after="0" w:line="20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4027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19.4 If the borrower pays independently, the borrower shall summarize and report the payment of loan funds to the lender within 15 days after the loan is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20 financial restrictions, external agency rating and production and operation qualification / license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 The external investment limit of the borrower is RMB 90 million; Increase the debt financing limit to RMB 90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ind w:left="660"/>
        <w:spacing w:after="0"/>
        <w:rPr>
          <w:sz w:val="20"/>
          <w:szCs w:val="20"/>
          <w:color w:val="auto"/>
        </w:rPr>
      </w:pPr>
      <w:r>
        <w:rPr>
          <w:rFonts w:ascii="Arial" w:cs="Arial" w:eastAsia="Arial" w:hAnsi="Arial"/>
          <w:sz w:val="18"/>
          <w:szCs w:val="18"/>
          <w:color w:val="auto"/>
        </w:rPr>
        <w:t>20.2 Contractual agreement on the borrower&amp;apos;s financial indicators:</w:t>
      </w:r>
    </w:p>
    <w:p>
      <w:pPr>
        <w:spacing w:after="0" w:line="225" w:lineRule="exact"/>
        <w:rPr>
          <w:sz w:val="20"/>
          <w:szCs w:val="20"/>
          <w:color w:val="auto"/>
        </w:rPr>
      </w:pPr>
    </w:p>
    <w:p>
      <w:pPr>
        <w:ind w:left="920" w:hanging="264"/>
        <w:spacing w:after="0"/>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20.3 Specific agreement on rating of external agencies:</w:t>
      </w:r>
    </w:p>
    <w:p>
      <w:pPr>
        <w:spacing w:after="0" w:line="225" w:lineRule="exact"/>
        <w:rPr>
          <w:sz w:val="20"/>
          <w:szCs w:val="20"/>
          <w:color w:val="auto"/>
        </w:rPr>
      </w:pPr>
    </w:p>
    <w:p>
      <w:pPr>
        <w:ind w:left="920" w:hanging="26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20.4 Specific agreement on the borrower&amp;apos;s production and operation qualification / license:</w:t>
      </w:r>
    </w:p>
    <w:p>
      <w:pPr>
        <w:spacing w:after="0" w:line="225" w:lineRule="exact"/>
        <w:rPr>
          <w:sz w:val="20"/>
          <w:szCs w:val="20"/>
          <w:color w:val="auto"/>
        </w:rPr>
      </w:pPr>
    </w:p>
    <w:p>
      <w:pPr>
        <w:ind w:left="920" w:hanging="264"/>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Article 21 specific agreement on risk repricing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 The contract adopts the following (1) risk repricing method: (1) negotiated repricing (2) Directly raise the loan interest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 Adopting the method of “directly increasing loan interest rate”:</w:t>
      </w:r>
    </w:p>
    <w:p>
      <w:pPr>
        <w:spacing w:after="0" w:line="19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21.2.1 If the loan currency is RMB, the increased interest rate plus (minus) points are: </w:t>
      </w:r>
      <w:r>
        <w:rPr>
          <w:rFonts w:ascii="MS PGothic" w:cs="MS PGothic" w:eastAsia="MS PGothic" w:hAnsi="MS PGothic"/>
          <w:sz w:val="18"/>
          <w:szCs w:val="18"/>
          <w:color w:val="auto"/>
        </w:rPr>
        <w:t>☐</w:t>
      </w:r>
      <w:r>
        <w:rPr>
          <w:rFonts w:ascii="Arial" w:cs="Arial" w:eastAsia="Arial" w:hAnsi="Arial"/>
          <w:sz w:val="18"/>
          <w:szCs w:val="18"/>
          <w:color w:val="auto"/>
        </w:rPr>
        <w:t xml:space="preserve"> no plus or minus points </w:t>
      </w:r>
      <w:r>
        <w:rPr>
          <w:rFonts w:ascii="MS PGothic" w:cs="MS PGothic" w:eastAsia="MS PGothic" w:hAnsi="MS PGothic"/>
          <w:sz w:val="18"/>
          <w:szCs w:val="18"/>
          <w:color w:val="auto"/>
        </w:rPr>
        <w:t>☐</w:t>
      </w:r>
      <w:r>
        <w:rPr>
          <w:rFonts w:ascii="Arial" w:cs="Arial" w:eastAsia="Arial" w:hAnsi="Arial"/>
          <w:sz w:val="18"/>
          <w:szCs w:val="18"/>
          <w:color w:val="auto"/>
        </w:rPr>
        <w:t xml:space="preserve"> plus / percentage points</w:t>
      </w:r>
      <w:r>
        <w:rPr>
          <w:rFonts w:ascii="MS PGothic" w:cs="MS PGothic" w:eastAsia="MS PGothic" w:hAnsi="MS PGothic"/>
          <w:sz w:val="18"/>
          <w:szCs w:val="18"/>
          <w:color w:val="auto"/>
        </w:rPr>
        <w:t>☐</w:t>
      </w:r>
      <w:r>
        <w:rPr>
          <w:rFonts w:ascii="Arial" w:cs="Arial" w:eastAsia="Arial" w:hAnsi="Arial"/>
          <w:sz w:val="18"/>
          <w:szCs w:val="18"/>
          <w:color w:val="auto"/>
        </w:rPr>
        <w:t xml:space="preserve"> minus / percentage points. If there is another agreement on a loan, the increase (decrease) point of the interest rate after the increase of the loan shall be subject to the records in the application for the use of the applicable quota.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21.2.2 If the loan currency is foreign currency, the increased loan interest rate is: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4318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43180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22 contact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contact information of the borrower for receiving the notice agreed in Article 12 includes: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postal address: </w:t>
      </w:r>
      <w:r>
        <w:rPr>
          <w:rFonts w:ascii="Arial" w:cs="Arial" w:eastAsia="Arial" w:hAnsi="Arial"/>
          <w:sz w:val="18"/>
          <w:szCs w:val="18"/>
          <w:u w:val="single" w:color="auto"/>
          <w:color w:val="auto"/>
        </w:rPr>
        <w:t>1st floor, building 18, No. 498, GuoShouJing Road, Pudong New Area, Shanghai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Yang Xiaofeng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Postal Code: 201203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Mobile number: 13701602419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ind w:left="660"/>
        <w:spacing w:after="0"/>
        <w:rPr>
          <w:sz w:val="20"/>
          <w:szCs w:val="20"/>
          <w:color w:val="auto"/>
        </w:rPr>
      </w:pPr>
      <w:r>
        <w:rPr>
          <w:rFonts w:ascii="Arial" w:cs="Arial" w:eastAsia="Arial" w:hAnsi="Arial"/>
          <w:sz w:val="18"/>
          <w:szCs w:val="18"/>
          <w:color w:val="auto"/>
        </w:rPr>
        <w:t>Article 23 number of copies of the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contract is made in triplicate, with each party and the guarantor (if any) holding one copy.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24 other agreed matters</w:t>
      </w:r>
    </w:p>
    <w:p>
      <w:pPr>
        <w:spacing w:after="0" w:line="19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24.1 Both parties agree that this contract R applicable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 to Article 13.3.</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24.2 the payment method of the loan under this contract shall be subject to the application for use of credit line signed by the lender.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455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741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4556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Borrower: ChinaLink Professional Services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(person in charge): Yang Xiaofeng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address: </w:t>
      </w:r>
      <w:r>
        <w:rPr>
          <w:rFonts w:ascii="Arial" w:cs="Arial" w:eastAsia="Arial" w:hAnsi="Arial"/>
          <w:sz w:val="18"/>
          <w:szCs w:val="18"/>
          <w:u w:val="single" w:color="auto"/>
          <w:color w:val="auto"/>
        </w:rPr>
        <w:t>Room 26C01, No. 828-838, Zhangyang Road, China (Shanghai) pilot Free Trade Zone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Lender: Bank of Communications Co., Ltd. Shanghai new branch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 in charge: Chen 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No. 230, Xinjinqiao Road,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0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300" w:lineRule="exact"/>
        <w:rPr>
          <w:sz w:val="20"/>
          <w:szCs w:val="20"/>
          <w:color w:val="auto"/>
        </w:rPr>
      </w:pPr>
    </w:p>
    <w:p>
      <w:pPr>
        <w:jc w:val="both"/>
        <w:ind w:left="120" w:right="120" w:firstLine="648"/>
        <w:spacing w:after="0" w:line="300" w:lineRule="auto"/>
        <w:rPr>
          <w:sz w:val="20"/>
          <w:szCs w:val="20"/>
          <w:color w:val="auto"/>
        </w:rPr>
      </w:pPr>
      <w:r>
        <w:rPr>
          <w:rFonts w:ascii="Arial" w:cs="Arial" w:eastAsia="Arial" w:hAnsi="Arial"/>
          <w:sz w:val="19"/>
          <w:szCs w:val="19"/>
          <w:b w:val="1"/>
          <w:bCs w:val="1"/>
          <w:color w:val="auto"/>
        </w:rPr>
        <w:t>The borrower has read all the terms of the contract, and the lender has made a detailed description at the request of the borrower. When signing the contract, the borrower has no doubt and objection to all the contents, and understands the terms of the contract, especially with</w:t>
      </w:r>
      <w:r>
        <w:rPr>
          <w:rFonts w:ascii="Arial" w:cs="Arial" w:eastAsia="Arial" w:hAnsi="Arial"/>
          <w:sz w:val="19"/>
          <w:szCs w:val="19"/>
          <w:color w:val="auto"/>
        </w:rPr>
        <w:t>▲▲ meaning of marked terms and its legal consequences.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2"/>
              </w:rPr>
              <w:t>(this page is the signature page of working capital loan contract, and there is no text below)</w:t>
            </w:r>
          </w:p>
        </w:tc>
        <w:tc>
          <w:tcPr>
            <w:tcW w:w="384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440" w:type="dxa"/>
            <w:vAlign w:val="bottom"/>
          </w:tcPr>
          <w:p>
            <w:pPr>
              <w:ind w:left="1800"/>
              <w:spacing w:after="0"/>
              <w:rPr>
                <w:sz w:val="20"/>
                <w:szCs w:val="20"/>
                <w:color w:val="auto"/>
              </w:rPr>
            </w:pPr>
            <w:r>
              <w:rPr>
                <w:rFonts w:ascii="Arial" w:cs="Arial" w:eastAsia="Arial" w:hAnsi="Arial"/>
                <w:sz w:val="18"/>
                <w:szCs w:val="18"/>
                <w:color w:val="auto"/>
              </w:rPr>
              <w:t>lender</w:t>
            </w:r>
          </w:p>
        </w:tc>
        <w:tc>
          <w:tcPr>
            <w:tcW w:w="3840" w:type="dxa"/>
            <w:vAlign w:val="bottom"/>
          </w:tcPr>
          <w:p>
            <w:pPr>
              <w:spacing w:after="0"/>
              <w:rPr>
                <w:sz w:val="24"/>
                <w:szCs w:val="24"/>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(official seal)</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(special seal for contract)</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Legal representative (principal) Or authorized representative</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principal or authorized representative</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(signature or seal)</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(signature or seal)</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Signature Date:</w:t>
            </w:r>
          </w:p>
        </w:tc>
        <w:tc>
          <w:tcPr>
            <w:tcW w:w="6280" w:type="dxa"/>
            <w:vAlign w:val="bottom"/>
            <w:gridSpan w:val="2"/>
          </w:tcPr>
          <w:p>
            <w:pPr>
              <w:ind w:left="1800"/>
              <w:spacing w:after="0"/>
              <w:rPr>
                <w:sz w:val="20"/>
                <w:szCs w:val="20"/>
                <w:color w:val="auto"/>
              </w:rPr>
            </w:pPr>
            <w:r>
              <w:rPr>
                <w:rFonts w:ascii="Arial" w:cs="Arial" w:eastAsia="Arial" w:hAnsi="Arial"/>
                <w:sz w:val="18"/>
                <w:szCs w:val="18"/>
                <w:color w:val="auto"/>
              </w:rPr>
              <w:t>Signature Date:</w:t>
            </w:r>
          </w:p>
        </w:tc>
      </w:tr>
      <w:tr>
        <w:trPr>
          <w:trHeight w:val="432"/>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4420" w:type="dxa"/>
            <w:vAlign w:val="bottom"/>
          </w:tcPr>
          <w:p>
            <w:pPr>
              <w:jc w:val="right"/>
              <w:ind w:right="4050"/>
              <w:spacing w:after="0"/>
              <w:rPr>
                <w:sz w:val="20"/>
                <w:szCs w:val="20"/>
                <w:color w:val="auto"/>
              </w:rPr>
            </w:pPr>
            <w:r>
              <w:rPr>
                <w:rFonts w:ascii="Arial" w:cs="Arial" w:eastAsia="Arial" w:hAnsi="Arial"/>
                <w:sz w:val="18"/>
                <w:szCs w:val="18"/>
                <w:color w:val="auto"/>
              </w:rPr>
              <w:t>/</w:t>
            </w:r>
          </w:p>
        </w:tc>
        <w:tc>
          <w:tcPr>
            <w:tcW w:w="2440" w:type="dxa"/>
            <w:vAlign w:val="bottom"/>
          </w:tcPr>
          <w:p>
            <w:pPr>
              <w:ind w:left="2200"/>
              <w:spacing w:after="0"/>
              <w:rPr>
                <w:sz w:val="20"/>
                <w:szCs w:val="20"/>
                <w:color w:val="auto"/>
              </w:rPr>
            </w:pPr>
            <w:r>
              <w:rPr>
                <w:rFonts w:ascii="Arial" w:cs="Arial" w:eastAsia="Arial" w:hAnsi="Arial"/>
                <w:sz w:val="18"/>
                <w:szCs w:val="18"/>
                <w:color w:val="auto"/>
              </w:rPr>
              <w:t>/</w:t>
            </w:r>
          </w:p>
        </w:tc>
        <w:tc>
          <w:tcPr>
            <w:tcW w:w="3840" w:type="dxa"/>
            <w:vAlign w:val="bottom"/>
          </w:tcPr>
          <w:p>
            <w:pPr>
              <w:jc w:val="right"/>
              <w:ind w:right="3530"/>
              <w:spacing w:after="0"/>
              <w:rPr>
                <w:sz w:val="20"/>
                <w:szCs w:val="20"/>
                <w:color w:val="auto"/>
              </w:rPr>
            </w:pPr>
            <w:r>
              <w:rPr>
                <w:rFonts w:ascii="Arial" w:cs="Arial" w:eastAsia="Arial" w:hAnsi="Arial"/>
                <w:sz w:val="18"/>
                <w:szCs w:val="18"/>
                <w:color w:val="auto"/>
              </w:rPr>
              <w:t>/</w:t>
            </w:r>
          </w:p>
        </w:tc>
      </w:tr>
      <w:tr>
        <w:trPr>
          <w:trHeight w:val="655"/>
        </w:trPr>
        <w:tc>
          <w:tcPr>
            <w:tcW w:w="5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25</w:t>
            </w: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Raymond Ming Hui Lin, certify that:</w:t>
      </w:r>
    </w:p>
    <w:p>
      <w:pPr>
        <w:spacing w:after="0" w:line="225" w:lineRule="exact"/>
        <w:rPr>
          <w:sz w:val="20"/>
          <w:szCs w:val="20"/>
          <w:color w:val="auto"/>
        </w:rPr>
      </w:pPr>
    </w:p>
    <w:p>
      <w:pPr>
        <w:ind w:left="340" w:hanging="332"/>
        <w:spacing w:after="0"/>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335"/>
        <w:spacing w:after="0" w:line="342" w:lineRule="auto"/>
        <w:tabs>
          <w:tab w:leader="none" w:pos="68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left="340" w:right="20" w:hanging="332"/>
        <w:spacing w:after="0" w:line="308" w:lineRule="auto"/>
        <w:tabs>
          <w:tab w:leader="none" w:pos="34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October 15, 2021</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23495</wp:posOffset>
            </wp:positionV>
            <wp:extent cx="257175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22"/>
          <w:szCs w:val="22"/>
          <w:b w:val="1"/>
          <w:bCs w:val="1"/>
          <w:color w:val="auto"/>
        </w:rPr>
        <w:t>Exhibit 12.2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Rui Yang, certify that:</w:t>
      </w:r>
    </w:p>
    <w:p>
      <w:pPr>
        <w:spacing w:after="0" w:line="225" w:lineRule="exact"/>
        <w:rPr>
          <w:sz w:val="20"/>
          <w:szCs w:val="20"/>
          <w:color w:val="auto"/>
        </w:rPr>
      </w:pPr>
    </w:p>
    <w:p>
      <w:pPr>
        <w:ind w:left="340" w:hanging="332"/>
        <w:spacing w:after="0"/>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335"/>
        <w:spacing w:after="0" w:line="342" w:lineRule="auto"/>
        <w:tabs>
          <w:tab w:leader="none" w:pos="6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left="340" w:right="20" w:hanging="332"/>
        <w:spacing w:after="0" w:line="308" w:lineRule="auto"/>
        <w:tabs>
          <w:tab w:leader="none" w:pos="34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October 15, 2021</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Rui Yang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11"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22"/>
          <w:szCs w:val="22"/>
          <w:b w:val="1"/>
          <w:bCs w:val="1"/>
          <w:color w:val="auto"/>
        </w:rPr>
        <w:t>Exhibit 13.1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2021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5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October 15, 2021</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October 15, 2021</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Rui Yang</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11"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22"/>
          <w:szCs w:val="22"/>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Name of the Entity</w:t>
            </w:r>
          </w:p>
        </w:tc>
        <w:tc>
          <w:tcPr>
            <w:tcW w:w="4260" w:type="dxa"/>
            <w:vAlign w:val="bottom"/>
          </w:tcPr>
          <w:p>
            <w:pPr>
              <w:spacing w:after="0"/>
              <w:rPr>
                <w:sz w:val="20"/>
                <w:szCs w:val="20"/>
                <w:color w:val="auto"/>
              </w:rPr>
            </w:pPr>
            <w:r>
              <w:rPr>
                <w:rFonts w:ascii="Arial" w:cs="Arial" w:eastAsia="Arial" w:hAnsi="Arial"/>
                <w:sz w:val="18"/>
                <w:szCs w:val="18"/>
                <w:b w:val="1"/>
                <w:bCs w:val="1"/>
                <w:color w:val="auto"/>
              </w:rPr>
              <w:t>Jurisdiction</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Qinheng Co., Limited</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Qiner Co., Limited</w:t>
            </w:r>
          </w:p>
        </w:tc>
        <w:tc>
          <w:tcPr>
            <w:tcW w:w="42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ChinaLink Professional Services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Dalian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CLPS Ruicheng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Beijing Hengtong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JAJI (Shanghai)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JAJI (Shanghai) Human Resource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CLPS-Ridik Technology (Australia) Pty. Ltd.</w:t>
            </w:r>
          </w:p>
        </w:tc>
        <w:tc>
          <w:tcPr>
            <w:tcW w:w="42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Technology (Singapore) Pte.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CLPS Technology (HK) Co., Ltd.</w:t>
            </w:r>
          </w:p>
        </w:tc>
        <w:tc>
          <w:tcPr>
            <w:tcW w:w="42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Shenzhen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Tianjin Huanyu Qinshang Network Technology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Guangzhou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CLPS Technology (US) Ltd.</w:t>
            </w:r>
          </w:p>
        </w:tc>
        <w:tc>
          <w:tcPr>
            <w:tcW w:w="4260" w:type="dxa"/>
            <w:vAlign w:val="bottom"/>
          </w:tcPr>
          <w:p>
            <w:pPr>
              <w:spacing w:after="0"/>
              <w:rPr>
                <w:sz w:val="20"/>
                <w:szCs w:val="20"/>
                <w:color w:val="auto"/>
              </w:rPr>
            </w:pPr>
            <w:r>
              <w:rPr>
                <w:rFonts w:ascii="Arial" w:cs="Arial" w:eastAsia="Arial" w:hAnsi="Arial"/>
                <w:sz w:val="18"/>
                <w:szCs w:val="18"/>
                <w:color w:val="auto"/>
              </w:rPr>
              <w:t>Delware</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Technology (California) Inc.</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CLPS Hangzhou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Ridik Pte.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Ridik Consulting Private Limited</w:t>
            </w:r>
          </w:p>
        </w:tc>
        <w:tc>
          <w:tcPr>
            <w:tcW w:w="426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Ridik Sdn. Bhd.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Ridik Software Solutions Pte. Ltd.</w:t>
            </w:r>
          </w:p>
        </w:tc>
        <w:tc>
          <w:tcPr>
            <w:tcW w:w="42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Technology Japan</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Qinson Credit Card Services Limited</w:t>
            </w:r>
          </w:p>
        </w:tc>
        <w:tc>
          <w:tcPr>
            <w:tcW w:w="42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Hainan Qincheng Software Technology Co.Ltd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CLPS Xian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Chenqin Information Technology Services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CareerWin Executive Search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Bozhuo Education Technology Co.,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Growth Ring Ltd.</w:t>
            </w:r>
          </w:p>
        </w:tc>
        <w:tc>
          <w:tcPr>
            <w:tcW w:w="4260" w:type="dxa"/>
            <w:vAlign w:val="bottom"/>
          </w:tcPr>
          <w:p>
            <w:pPr>
              <w:spacing w:after="0"/>
              <w:rPr>
                <w:sz w:val="20"/>
                <w:szCs w:val="20"/>
                <w:color w:val="auto"/>
              </w:rPr>
            </w:pPr>
            <w:r>
              <w:rPr>
                <w:rFonts w:ascii="Arial" w:cs="Arial" w:eastAsia="Arial" w:hAnsi="Arial"/>
                <w:sz w:val="18"/>
                <w:szCs w:val="18"/>
                <w:color w:val="auto"/>
              </w:rPr>
              <w:t>BVI</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Arabian Jasmine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BVI</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Noni (SINGAPORE) PTE. LTD.</w:t>
            </w:r>
          </w:p>
        </w:tc>
        <w:tc>
          <w:tcPr>
            <w:tcW w:w="42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CLPS-Beefinance Holding Limited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BVI</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LinkCrypto Finance Technology Limited</w:t>
            </w:r>
          </w:p>
        </w:tc>
        <w:tc>
          <w:tcPr>
            <w:tcW w:w="42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Qinson Ltd.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BVI</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LQE Ltd.</w:t>
            </w:r>
          </w:p>
        </w:tc>
        <w:tc>
          <w:tcPr>
            <w:tcW w:w="4260" w:type="dxa"/>
            <w:vAlign w:val="bottom"/>
          </w:tcPr>
          <w:p>
            <w:pPr>
              <w:spacing w:after="0"/>
              <w:rPr>
                <w:sz w:val="20"/>
                <w:szCs w:val="20"/>
                <w:color w:val="auto"/>
              </w:rPr>
            </w:pPr>
            <w:r>
              <w:rPr>
                <w:rFonts w:ascii="Arial" w:cs="Arial" w:eastAsia="Arial" w:hAnsi="Arial"/>
                <w:sz w:val="18"/>
                <w:szCs w:val="18"/>
                <w:color w:val="auto"/>
              </w:rPr>
              <w:t>BVI</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Technology (Philippines) Corp</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MSCT Investment Holdings Limited</w:t>
            </w:r>
          </w:p>
        </w:tc>
        <w:tc>
          <w:tcPr>
            <w:tcW w:w="4260" w:type="dxa"/>
            <w:vAlign w:val="bottom"/>
          </w:tcPr>
          <w:p>
            <w:pPr>
              <w:spacing w:after="0"/>
              <w:rPr>
                <w:sz w:val="20"/>
                <w:szCs w:val="20"/>
                <w:color w:val="auto"/>
              </w:rPr>
            </w:pPr>
            <w:r>
              <w:rPr>
                <w:rFonts w:ascii="Arial" w:cs="Arial" w:eastAsia="Arial" w:hAnsi="Arial"/>
                <w:sz w:val="18"/>
                <w:szCs w:val="18"/>
                <w:color w:val="auto"/>
              </w:rPr>
              <w:t>BVI</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MNYC HOLDINGS (HK) LIMITED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Haikou Huaqin Minshang Software Development Co., Ltd</w:t>
            </w:r>
          </w:p>
        </w:tc>
        <w:tc>
          <w:tcPr>
            <w:tcW w:w="4260" w:type="dxa"/>
            <w:vAlign w:val="bottom"/>
          </w:tcPr>
          <w:p>
            <w:pPr>
              <w:spacing w:after="0"/>
              <w:rPr>
                <w:sz w:val="20"/>
                <w:szCs w:val="20"/>
                <w:color w:val="auto"/>
              </w:rPr>
            </w:pPr>
            <w:r>
              <w:rPr>
                <w:rFonts w:ascii="Arial" w:cs="Arial" w:eastAsia="Arial" w:hAnsi="Arial"/>
                <w:sz w:val="18"/>
                <w:szCs w:val="18"/>
                <w:color w:val="auto"/>
              </w:rPr>
              <w:t>PRC</w:t>
            </w:r>
          </w:p>
        </w:tc>
      </w:tr>
    </w:tbl>
    <w:p>
      <w:pPr>
        <w:sectPr>
          <w:pgSz w:w="11900" w:h="16838" w:orient="portrait"/>
          <w:cols w:equalWidth="0" w:num="1">
            <w:col w:w="11240"/>
          </w:cols>
          <w:pgMar w:left="320" w:top="111"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7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Registration Statement (Form S-8 No. 333-226110) and Amendment No. 1 to Registration Statement (Form S-8 No. 333-226110) pertaining to the 2017 Equity Incentive Plan of CLPS Incorporation,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Registration Statement (Form S-8 No. 333-231103) pertaining to the 2019 Equity Incentive Plan of CLPS Incorporation,</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Registration Statement (Form F-3 No. 333-231812) and Amendment No. 1 to Registration Statement (Form F-3 No. 333-231812) of CLPS Incorporation,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Registration Statement (Form S-8 No. 333-237846) and Amendment No. 1 to Registration Statement (Form S-8 No. 333-237846) pertaining to the 2020 Equity Incentive Plan of CLPS Incorporation,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Registration Statement (Form F-3 No. 333-254910) and Amendment No.1 to the Registration Statement (Form F-3 No. 333-254910) of CLPS Incorporation;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October 15, 2021, with respect to the consolidated financial statements of CLPS Incorporation included in this Annual Report (Form 20-F) of CLPS Incorporation for the year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6CF80F1"/>
    <w:multiLevelType w:val="hybridMultilevel"/>
    <w:lvl w:ilvl="0">
      <w:lvlJc w:val="left"/>
      <w:lvlText w:val="☐"/>
      <w:numFmt w:val="bullet"/>
      <w:start w:val="1"/>
    </w:lvl>
  </w:abstractNum>
  <w:abstractNum w:abstractNumId="1">
    <w:nsid w:val="1C695D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FCFAED9"/>
    <w:multiLevelType w:val="hybridMultilevel"/>
    <w:lvl w:ilvl="0">
      <w:lvlJc w:val="left"/>
      <w:lvlText w:val="●"/>
      <w:numFmt w:val="bullet"/>
      <w:start w:val="1"/>
    </w:lvl>
  </w:abstractNum>
  <w:abstractNum w:abstractNumId="3">
    <w:nsid w:val="F856867"/>
    <w:multiLevelType w:val="hybridMultilevel"/>
    <w:lvl w:ilvl="0">
      <w:lvlJc w:val="left"/>
      <w:lvlText w:val="●"/>
      <w:numFmt w:val="bullet"/>
      <w:start w:val="1"/>
    </w:lvl>
  </w:abstractNum>
  <w:abstractNum w:abstractNumId="4">
    <w:nsid w:val="11B1CC33"/>
    <w:multiLevelType w:val="hybridMultilevel"/>
    <w:lvl w:ilvl="0">
      <w:lvlJc w:val="left"/>
      <w:lvlText w:val="●"/>
      <w:numFmt w:val="bullet"/>
      <w:start w:val="1"/>
    </w:lvl>
  </w:abstractNum>
  <w:abstractNum w:abstractNumId="5">
    <w:nsid w:val="2E22FBB7"/>
    <w:multiLevelType w:val="hybridMultilevel"/>
    <w:lvl w:ilvl="0">
      <w:lvlJc w:val="left"/>
      <w:lvlText w:val="%1."/>
      <w:numFmt w:val="upperLetter"/>
      <w:start w:val="1"/>
    </w:lvl>
  </w:abstractNum>
  <w:abstractNum w:abstractNumId="6">
    <w:nsid w:val="29934699"/>
    <w:multiLevelType w:val="hybridMultilevel"/>
    <w:lvl w:ilvl="0">
      <w:lvlJc w:val="left"/>
      <w:lvlText w:val="(%1)"/>
      <w:numFmt w:val="decimal"/>
      <w:start w:val="1"/>
    </w:lvl>
  </w:abstractNum>
  <w:abstractNum w:abstractNumId="7">
    <w:nsid w:val="77485850"/>
    <w:multiLevelType w:val="hybridMultilevel"/>
    <w:lvl w:ilvl="0">
      <w:lvlJc w:val="left"/>
      <w:lvlText w:val="%1."/>
      <w:numFmt w:val="upperLetter"/>
      <w:start w:val="3"/>
    </w:lvl>
  </w:abstractNum>
  <w:abstractNum w:abstractNumId="8">
    <w:nsid w:val="744939A3"/>
    <w:multiLevelType w:val="hybridMultilevel"/>
    <w:lvl w:ilvl="0">
      <w:lvlJc w:val="left"/>
      <w:lvlText w:val="%1."/>
      <w:numFmt w:val="upperLetter"/>
      <w:start w:val="4"/>
    </w:lvl>
  </w:abstractNum>
  <w:abstractNum w:abstractNumId="9">
    <w:nsid w:val="4FA0D2E3"/>
    <w:multiLevelType w:val="hybridMultilevel"/>
    <w:lvl w:ilvl="0">
      <w:lvlJc w:val="left"/>
      <w:lvlText w:val="●"/>
      <w:numFmt w:val="bullet"/>
      <w:start w:val="1"/>
    </w:lvl>
  </w:abstractNum>
  <w:abstractNum w:abstractNumId="10">
    <w:nsid w:val="6B1D2C14"/>
    <w:multiLevelType w:val="hybridMultilevel"/>
    <w:lvl w:ilvl="0">
      <w:lvlJc w:val="left"/>
      <w:lvlText w:val="●"/>
      <w:numFmt w:val="bullet"/>
      <w:start w:val="1"/>
    </w:lvl>
  </w:abstractNum>
  <w:abstractNum w:abstractNumId="11">
    <w:nsid w:val="68B867D3"/>
    <w:multiLevelType w:val="hybridMultilevel"/>
    <w:lvl w:ilvl="0">
      <w:lvlJc w:val="left"/>
      <w:lvlText w:val="●"/>
      <w:numFmt w:val="bullet"/>
      <w:start w:val="1"/>
    </w:lvl>
  </w:abstractNum>
  <w:abstractNum w:abstractNumId="12">
    <w:nsid w:val="3F7F5DD9"/>
    <w:multiLevelType w:val="hybridMultilevel"/>
    <w:lvl w:ilvl="0">
      <w:lvlJc w:val="left"/>
      <w:lvlText w:val="●"/>
      <w:numFmt w:val="bullet"/>
      <w:start w:val="1"/>
    </w:lvl>
  </w:abstractNum>
  <w:abstractNum w:abstractNumId="13">
    <w:nsid w:val="2AE05A34"/>
    <w:multiLevelType w:val="hybridMultilevel"/>
    <w:lvl w:ilvl="0">
      <w:lvlJc w:val="left"/>
      <w:lvlText w:val="●"/>
      <w:numFmt w:val="bullet"/>
      <w:start w:val="1"/>
    </w:lvl>
  </w:abstractNum>
  <w:abstractNum w:abstractNumId="14">
    <w:nsid w:val="32794FF7"/>
    <w:multiLevelType w:val="hybridMultilevel"/>
    <w:lvl w:ilvl="0">
      <w:lvlJc w:val="left"/>
      <w:lvlText w:val="●"/>
      <w:numFmt w:val="bullet"/>
      <w:start w:val="1"/>
    </w:lvl>
  </w:abstractNum>
  <w:abstractNum w:abstractNumId="15">
    <w:nsid w:val="5454945E"/>
    <w:multiLevelType w:val="hybridMultilevel"/>
    <w:lvl w:ilvl="0">
      <w:lvlJc w:val="left"/>
      <w:lvlText w:val="●"/>
      <w:numFmt w:val="bullet"/>
      <w:start w:val="1"/>
    </w:lvl>
  </w:abstractNum>
  <w:abstractNum w:abstractNumId="16">
    <w:nsid w:val="4DEFDFA0"/>
    <w:multiLevelType w:val="hybridMultilevel"/>
    <w:lvl w:ilvl="0">
      <w:lvlJc w:val="left"/>
      <w:lvlText w:val="●"/>
      <w:numFmt w:val="bullet"/>
      <w:start w:val="1"/>
    </w:lvl>
  </w:abstractNum>
  <w:abstractNum w:abstractNumId="17">
    <w:nsid w:val="2123D5F2"/>
    <w:multiLevelType w:val="hybridMultilevel"/>
    <w:lvl w:ilvl="0">
      <w:lvlJc w:val="left"/>
      <w:lvlText w:val="●"/>
      <w:numFmt w:val="bullet"/>
      <w:start w:val="1"/>
    </w:lvl>
  </w:abstractNum>
  <w:abstractNum w:abstractNumId="18">
    <w:nsid w:val="135B8110"/>
    <w:multiLevelType w:val="hybridMultilevel"/>
    <w:lvl w:ilvl="0">
      <w:lvlJc w:val="left"/>
      <w:lvlText w:val="●"/>
      <w:numFmt w:val="bullet"/>
      <w:start w:val="1"/>
    </w:lvl>
  </w:abstractNum>
  <w:abstractNum w:abstractNumId="19">
    <w:nsid w:val="94927A8"/>
    <w:multiLevelType w:val="hybridMultilevel"/>
    <w:lvl w:ilvl="0">
      <w:lvlJc w:val="left"/>
      <w:lvlText w:val="●"/>
      <w:numFmt w:val="bullet"/>
      <w:start w:val="1"/>
    </w:lvl>
  </w:abstractNum>
  <w:abstractNum w:abstractNumId="20">
    <w:nsid w:val="DCDF8F6"/>
    <w:multiLevelType w:val="hybridMultilevel"/>
    <w:lvl w:ilvl="0">
      <w:lvlJc w:val="left"/>
      <w:lvlText w:val="%1."/>
      <w:numFmt w:val="upperLetter"/>
      <w:start w:val="1"/>
    </w:lvl>
  </w:abstractNum>
  <w:abstractNum w:abstractNumId="21">
    <w:nsid w:val="52D7B105"/>
    <w:multiLevelType w:val="hybridMultilevel"/>
    <w:lvl w:ilvl="0">
      <w:lvlJc w:val="left"/>
      <w:lvlText w:val="●"/>
      <w:numFmt w:val="bullet"/>
      <w:start w:val="1"/>
    </w:lvl>
  </w:abstractNum>
  <w:abstractNum w:abstractNumId="22">
    <w:nsid w:val="2E8A6394"/>
    <w:multiLevelType w:val="hybridMultilevel"/>
    <w:lvl w:ilvl="0">
      <w:lvlJc w:val="left"/>
      <w:lvlText w:val="●"/>
      <w:numFmt w:val="bullet"/>
      <w:start w:val="1"/>
    </w:lvl>
  </w:abstractNum>
  <w:abstractNum w:abstractNumId="23">
    <w:nsid w:val="24E60401"/>
    <w:multiLevelType w:val="hybridMultilevel"/>
    <w:lvl w:ilvl="0">
      <w:lvlJc w:val="left"/>
      <w:lvlText w:val="●"/>
      <w:numFmt w:val="bullet"/>
      <w:start w:val="1"/>
    </w:lvl>
  </w:abstractNum>
  <w:abstractNum w:abstractNumId="24">
    <w:nsid w:val="2A6AD9BE"/>
    <w:multiLevelType w:val="hybridMultilevel"/>
    <w:lvl w:ilvl="0">
      <w:lvlJc w:val="left"/>
      <w:lvlText w:val="%1."/>
      <w:numFmt w:val="upperLetter"/>
      <w:start w:val="2"/>
    </w:lvl>
  </w:abstractNum>
  <w:abstractNum w:abstractNumId="25">
    <w:nsid w:val="BAAC1B4"/>
    <w:multiLevelType w:val="hybridMultilevel"/>
    <w:lvl w:ilvl="0">
      <w:lvlJc w:val="left"/>
      <w:lvlText w:val="●"/>
      <w:numFmt w:val="bullet"/>
      <w:start w:val="1"/>
    </w:lvl>
  </w:abstractNum>
  <w:abstractNum w:abstractNumId="26">
    <w:nsid w:val="36B2ACBC"/>
    <w:multiLevelType w:val="hybridMultilevel"/>
    <w:lvl w:ilvl="0">
      <w:lvlJc w:val="left"/>
      <w:lvlText w:val="●"/>
      <w:numFmt w:val="bullet"/>
      <w:start w:val="1"/>
    </w:lvl>
  </w:abstractNum>
  <w:abstractNum w:abstractNumId="27">
    <w:nsid w:val="779D8544"/>
    <w:multiLevelType w:val="hybridMultilevel"/>
    <w:lvl w:ilvl="0">
      <w:lvlJc w:val="left"/>
      <w:lvlText w:val="●"/>
      <w:numFmt w:val="bullet"/>
      <w:start w:val="1"/>
    </w:lvl>
  </w:abstractNum>
  <w:abstractNum w:abstractNumId="28">
    <w:nsid w:val="4AB26E78"/>
    <w:multiLevelType w:val="hybridMultilevel"/>
    <w:lvl w:ilvl="0">
      <w:lvlJc w:val="left"/>
      <w:lvlText w:val="●"/>
      <w:numFmt w:val="bullet"/>
      <w:start w:val="1"/>
    </w:lvl>
  </w:abstractNum>
  <w:abstractNum w:abstractNumId="29">
    <w:nsid w:val="21FAA2FA"/>
    <w:multiLevelType w:val="hybridMultilevel"/>
    <w:lvl w:ilvl="0">
      <w:lvlJc w:val="left"/>
      <w:lvlText w:val="%1."/>
      <w:numFmt w:val="decimal"/>
      <w:start w:val="2"/>
    </w:lvl>
    <w:lvl w:ilvl="1">
      <w:lvlJc w:val="left"/>
      <w:lvlText w:val="●"/>
      <w:numFmt w:val="bullet"/>
      <w:start w:val="1"/>
    </w:lvl>
  </w:abstractNum>
  <w:abstractNum w:abstractNumId="30">
    <w:nsid w:val="5451CF49"/>
    <w:multiLevelType w:val="hybridMultilevel"/>
    <w:lvl w:ilvl="0">
      <w:lvlJc w:val="left"/>
      <w:lvlText w:val="●"/>
      <w:numFmt w:val="bullet"/>
      <w:start w:val="1"/>
    </w:lvl>
  </w:abstractNum>
  <w:abstractNum w:abstractNumId="31">
    <w:nsid w:val="6181EF69"/>
    <w:multiLevelType w:val="hybridMultilevel"/>
    <w:lvl w:ilvl="0">
      <w:lvlJc w:val="left"/>
      <w:lvlText w:val="●"/>
      <w:numFmt w:val="bullet"/>
      <w:start w:val="1"/>
    </w:lvl>
  </w:abstractNum>
  <w:abstractNum w:abstractNumId="32">
    <w:nsid w:val="3E6400E6"/>
    <w:multiLevelType w:val="hybridMultilevel"/>
    <w:lvl w:ilvl="0">
      <w:lvlJc w:val="left"/>
      <w:lvlText w:val="●"/>
      <w:numFmt w:val="bullet"/>
      <w:start w:val="1"/>
    </w:lvl>
  </w:abstractNum>
  <w:abstractNum w:abstractNumId="33">
    <w:nsid w:val="14217E23"/>
    <w:multiLevelType w:val="hybridMultilevel"/>
    <w:lvl w:ilvl="0">
      <w:lvlJc w:val="left"/>
      <w:lvlText w:val="$"/>
      <w:numFmt w:val="bullet"/>
      <w:start w:val="1"/>
    </w:lvl>
  </w:abstractNum>
  <w:abstractNum w:abstractNumId="34">
    <w:nsid w:val="710757D0"/>
    <w:multiLevelType w:val="hybridMultilevel"/>
    <w:lvl w:ilvl="0">
      <w:lvlJc w:val="left"/>
      <w:lvlText w:val="$"/>
      <w:numFmt w:val="bullet"/>
      <w:start w:val="1"/>
    </w:lvl>
  </w:abstractNum>
  <w:abstractNum w:abstractNumId="35">
    <w:nsid w:val="5015CD1A"/>
    <w:multiLevelType w:val="hybridMultilevel"/>
    <w:lvl w:ilvl="0">
      <w:lvlJc w:val="left"/>
      <w:lvlText w:val="%1."/>
      <w:numFmt w:val="upperLetter"/>
      <w:start w:val="1"/>
    </w:lvl>
  </w:abstractNum>
  <w:abstractNum w:abstractNumId="36">
    <w:nsid w:val="424479DA"/>
    <w:multiLevelType w:val="hybridMultilevel"/>
    <w:lvl w:ilvl="0">
      <w:lvlJc w:val="left"/>
      <w:lvlText w:val="(%1)"/>
      <w:numFmt w:val="decimal"/>
      <w:start w:val="1"/>
    </w:lvl>
  </w:abstractNum>
  <w:abstractNum w:abstractNumId="37">
    <w:nsid w:val="1A9A9E69"/>
    <w:multiLevelType w:val="hybridMultilevel"/>
    <w:lvl w:ilvl="0">
      <w:lvlJc w:val="left"/>
      <w:lvlText w:val="(%1)"/>
      <w:numFmt w:val="decimal"/>
      <w:start w:val="1"/>
    </w:lvl>
  </w:abstractNum>
  <w:abstractNum w:abstractNumId="38">
    <w:nsid w:val="475E256A"/>
    <w:multiLevelType w:val="hybridMultilevel"/>
    <w:lvl w:ilvl="0">
      <w:lvlJc w:val="left"/>
      <w:lvlText w:val="%1."/>
      <w:numFmt w:val="upperLetter"/>
      <w:start w:val="3"/>
    </w:lvl>
  </w:abstractNum>
  <w:abstractNum w:abstractNumId="39">
    <w:nsid w:val="368DB37E"/>
    <w:multiLevelType w:val="hybridMultilevel"/>
    <w:lvl w:ilvl="0">
      <w:lvlJc w:val="left"/>
      <w:lvlText w:val="●"/>
      <w:numFmt w:val="bullet"/>
      <w:start w:val="1"/>
    </w:lvl>
  </w:abstractNum>
  <w:abstractNum w:abstractNumId="40">
    <w:nsid w:val="6A3B714C"/>
    <w:multiLevelType w:val="hybridMultilevel"/>
    <w:lvl w:ilvl="0">
      <w:lvlJc w:val="left"/>
      <w:lvlText w:val="●"/>
      <w:numFmt w:val="bullet"/>
      <w:start w:val="1"/>
    </w:lvl>
  </w:abstractNum>
  <w:abstractNum w:abstractNumId="41">
    <w:nsid w:val="327B517E"/>
    <w:multiLevelType w:val="hybridMultilevel"/>
    <w:lvl w:ilvl="0">
      <w:lvlJc w:val="left"/>
      <w:lvlText w:val="●"/>
      <w:numFmt w:val="bullet"/>
      <w:start w:val="1"/>
    </w:lvl>
  </w:abstractNum>
  <w:abstractNum w:abstractNumId="42">
    <w:nsid w:val="1F461B51"/>
    <w:multiLevelType w:val="hybridMultilevel"/>
    <w:lvl w:ilvl="0">
      <w:lvlJc w:val="left"/>
      <w:lvlText w:val="●"/>
      <w:numFmt w:val="bullet"/>
      <w:start w:val="1"/>
    </w:lvl>
  </w:abstractNum>
  <w:abstractNum w:abstractNumId="43">
    <w:nsid w:val="29BACF25"/>
    <w:multiLevelType w:val="hybridMultilevel"/>
    <w:lvl w:ilvl="0">
      <w:lvlJc w:val="left"/>
      <w:lvlText w:val="%1."/>
      <w:numFmt w:val="upperLetter"/>
      <w:start w:val="4"/>
    </w:lvl>
  </w:abstractNum>
  <w:abstractNum w:abstractNumId="44">
    <w:nsid w:val="5D5BABB3"/>
    <w:multiLevelType w:val="hybridMultilevel"/>
    <w:lvl w:ilvl="0">
      <w:lvlJc w:val="left"/>
      <w:lvlText w:val="%1."/>
      <w:numFmt w:val="upperLetter"/>
      <w:start w:val="5"/>
    </w:lvl>
  </w:abstractNum>
  <w:abstractNum w:abstractNumId="45">
    <w:nsid w:val="51BF6B48"/>
    <w:multiLevelType w:val="hybridMultilevel"/>
    <w:lvl w:ilvl="0">
      <w:lvlJc w:val="left"/>
      <w:lvlText w:val="%1."/>
      <w:numFmt w:val="upperLetter"/>
      <w:start w:val="1"/>
    </w:lvl>
  </w:abstractNum>
  <w:abstractNum w:abstractNumId="46">
    <w:nsid w:val="7E0F6384"/>
    <w:multiLevelType w:val="hybridMultilevel"/>
    <w:lvl w:ilvl="0">
      <w:lvlJc w:val="left"/>
      <w:lvlText w:val="(%1)"/>
      <w:numFmt w:val="decimal"/>
      <w:start w:val="1"/>
    </w:lvl>
  </w:abstractNum>
  <w:abstractNum w:abstractNumId="47">
    <w:nsid w:val="2B4B8B53"/>
    <w:multiLevelType w:val="hybridMultilevel"/>
    <w:lvl w:ilvl="0">
      <w:lvlJc w:val="left"/>
      <w:lvlText w:val="(%1)"/>
      <w:numFmt w:val="decimal"/>
      <w:start w:val="2"/>
    </w:lvl>
  </w:abstractNum>
  <w:abstractNum w:abstractNumId="48">
    <w:nsid w:val="72E3413A"/>
    <w:multiLevelType w:val="hybridMultilevel"/>
    <w:lvl w:ilvl="0">
      <w:lvlJc w:val="left"/>
      <w:lvlText w:val="%1."/>
      <w:numFmt w:val="upperLetter"/>
      <w:start w:val="2"/>
    </w:lvl>
  </w:abstractNum>
  <w:abstractNum w:abstractNumId="49">
    <w:nsid w:val="116AE494"/>
    <w:multiLevelType w:val="hybridMultilevel"/>
    <w:lvl w:ilvl="0">
      <w:lvlJc w:val="left"/>
      <w:lvlText w:val="(%1)"/>
      <w:numFmt w:val="lowerLetter"/>
      <w:start w:val="2"/>
    </w:lvl>
  </w:abstractNum>
  <w:abstractNum w:abstractNumId="50">
    <w:nsid w:val="3494B2FB"/>
    <w:multiLevelType w:val="hybridMultilevel"/>
    <w:lvl w:ilvl="0">
      <w:lvlJc w:val="left"/>
      <w:lvlText w:val="%1)"/>
      <w:numFmt w:val="lowerLetter"/>
      <w:start w:val="1"/>
    </w:lvl>
  </w:abstractNum>
  <w:abstractNum w:abstractNumId="51">
    <w:nsid w:val="B13A31"/>
    <w:multiLevelType w:val="hybridMultilevel"/>
    <w:lvl w:ilvl="0">
      <w:lvlJc w:val="left"/>
      <w:lvlText w:val="%1)"/>
      <w:numFmt w:val="lowerLetter"/>
      <w:start w:val="2"/>
    </w:lvl>
  </w:abstractNum>
  <w:abstractNum w:abstractNumId="52">
    <w:nsid w:val="64429599"/>
    <w:multiLevelType w:val="hybridMultilevel"/>
    <w:lvl w:ilvl="0">
      <w:lvlJc w:val="left"/>
      <w:lvlText w:val="%1)"/>
      <w:numFmt w:val="lowerLetter"/>
      <w:start w:val="3"/>
    </w:lvl>
  </w:abstractNum>
  <w:abstractNum w:abstractNumId="53">
    <w:nsid w:val="631F1690"/>
    <w:multiLevelType w:val="hybridMultilevel"/>
    <w:lvl w:ilvl="0">
      <w:lvlJc w:val="left"/>
      <w:lvlText w:val="%1)"/>
      <w:numFmt w:val="lowerLetter"/>
      <w:start w:val="4"/>
    </w:lvl>
  </w:abstractNum>
  <w:abstractNum w:abstractNumId="54">
    <w:nsid w:val="25973E32"/>
    <w:multiLevelType w:val="hybridMultilevel"/>
    <w:lvl w:ilvl="0">
      <w:lvlJc w:val="left"/>
      <w:lvlText w:val="%1."/>
      <w:numFmt w:val="upperLetter"/>
      <w:start w:val="3"/>
    </w:lvl>
  </w:abstractNum>
  <w:abstractNum w:abstractNumId="55">
    <w:nsid w:val="EAD6F57"/>
    <w:multiLevelType w:val="hybridMultilevel"/>
    <w:lvl w:ilvl="0">
      <w:lvlJc w:val="left"/>
      <w:lvlText w:val="%1."/>
      <w:numFmt w:val="upperLetter"/>
      <w:start w:val="1"/>
    </w:lvl>
  </w:abstractNum>
  <w:abstractNum w:abstractNumId="56">
    <w:nsid w:val="6EC9D844"/>
    <w:multiLevelType w:val="hybridMultilevel"/>
    <w:lvl w:ilvl="0">
      <w:lvlJc w:val="left"/>
      <w:lvlText w:val="%1."/>
      <w:numFmt w:val="upperLetter"/>
      <w:start w:val="2"/>
    </w:lvl>
  </w:abstractNum>
  <w:abstractNum w:abstractNumId="57">
    <w:nsid w:val="5C49EAEE"/>
    <w:multiLevelType w:val="hybridMultilevel"/>
    <w:lvl w:ilvl="0">
      <w:lvlJc w:val="left"/>
      <w:lvlText w:val="%1."/>
      <w:numFmt w:val="upperLetter"/>
      <w:start w:val="1"/>
    </w:lvl>
  </w:abstractNum>
  <w:abstractNum w:abstractNumId="58">
    <w:nsid w:val="64AF49B"/>
    <w:multiLevelType w:val="hybridMultilevel"/>
    <w:lvl w:ilvl="0">
      <w:lvlJc w:val="left"/>
      <w:lvlText w:val="%1."/>
      <w:numFmt w:val="upperLetter"/>
      <w:start w:val="2"/>
    </w:lvl>
  </w:abstractNum>
  <w:abstractNum w:abstractNumId="59">
    <w:nsid w:val="397C46BC"/>
    <w:multiLevelType w:val="hybridMultilevel"/>
    <w:lvl w:ilvl="0">
      <w:lvlJc w:val="left"/>
      <w:lvlText w:val="%1."/>
      <w:numFmt w:val="upperLetter"/>
      <w:start w:val="3"/>
    </w:lvl>
  </w:abstractNum>
  <w:abstractNum w:abstractNumId="60">
    <w:nsid w:val="7E448DE9"/>
    <w:multiLevelType w:val="hybridMultilevel"/>
    <w:lvl w:ilvl="0">
      <w:lvlJc w:val="left"/>
      <w:lvlText w:val="%1."/>
      <w:numFmt w:val="upperLetter"/>
      <w:start w:val="4"/>
    </w:lvl>
  </w:abstractNum>
  <w:abstractNum w:abstractNumId="61">
    <w:nsid w:val="5A9CC3E5"/>
    <w:multiLevelType w:val="hybridMultilevel"/>
    <w:lvl w:ilvl="0">
      <w:lvlJc w:val="left"/>
      <w:lvlText w:val="%1."/>
      <w:numFmt w:val="upperLetter"/>
      <w:start w:val="5"/>
    </w:lvl>
  </w:abstractNum>
  <w:abstractNum w:abstractNumId="62">
    <w:nsid w:val="1AFE3625"/>
    <w:multiLevelType w:val="hybridMultilevel"/>
    <w:lvl w:ilvl="0">
      <w:lvlJc w:val="left"/>
      <w:lvlText w:val="%1."/>
      <w:numFmt w:val="upperLetter"/>
      <w:start w:val="6"/>
    </w:lvl>
  </w:abstractNum>
  <w:abstractNum w:abstractNumId="63">
    <w:nsid w:val="3CA88ECF"/>
    <w:multiLevelType w:val="hybridMultilevel"/>
    <w:lvl w:ilvl="0">
      <w:lvlJc w:val="left"/>
      <w:lvlText w:val="%1."/>
      <w:numFmt w:val="upperLetter"/>
      <w:start w:val="1"/>
    </w:lvl>
  </w:abstractNum>
  <w:abstractNum w:abstractNumId="64">
    <w:nsid w:val="6EBE4208"/>
    <w:multiLevelType w:val="hybridMultilevel"/>
    <w:lvl w:ilvl="0">
      <w:lvlJc w:val="left"/>
      <w:lvlText w:val="%1."/>
      <w:numFmt w:val="upperLetter"/>
      <w:start w:val="2"/>
    </w:lvl>
  </w:abstractNum>
  <w:abstractNum w:abstractNumId="65">
    <w:nsid w:val="C058DF5"/>
    <w:multiLevelType w:val="hybridMultilevel"/>
    <w:lvl w:ilvl="0">
      <w:lvlJc w:val="left"/>
      <w:lvlText w:val="%1."/>
      <w:numFmt w:val="upperLetter"/>
      <w:start w:val="3"/>
    </w:lvl>
  </w:abstractNum>
  <w:abstractNum w:abstractNumId="66">
    <w:nsid w:val="CBE5BE9"/>
    <w:multiLevelType w:val="hybridMultilevel"/>
    <w:lvl w:ilvl="0">
      <w:lvlJc w:val="left"/>
      <w:lvlText w:val="%1."/>
      <w:numFmt w:val="upperLetter"/>
      <w:start w:val="4"/>
    </w:lvl>
  </w:abstractNum>
  <w:abstractNum w:abstractNumId="67">
    <w:nsid w:val="3102BBE2"/>
    <w:multiLevelType w:val="hybridMultilevel"/>
    <w:lvl w:ilvl="0">
      <w:lvlJc w:val="left"/>
      <w:lvlText w:val="%1."/>
      <w:numFmt w:val="upperLetter"/>
      <w:start w:val="5"/>
    </w:lvl>
  </w:abstractNum>
  <w:abstractNum w:abstractNumId="68">
    <w:nsid w:val="26A02C5E"/>
    <w:multiLevelType w:val="hybridMultilevel"/>
    <w:lvl w:ilvl="0">
      <w:lvlJc w:val="left"/>
      <w:lvlText w:val="●"/>
      <w:numFmt w:val="bullet"/>
      <w:start w:val="1"/>
    </w:lvl>
  </w:abstractNum>
  <w:abstractNum w:abstractNumId="69">
    <w:nsid w:val="541C8153"/>
    <w:multiLevelType w:val="hybridMultilevel"/>
    <w:lvl w:ilvl="0">
      <w:lvlJc w:val="left"/>
      <w:lvlText w:val="●"/>
      <w:numFmt w:val="bullet"/>
      <w:start w:val="1"/>
    </w:lvl>
  </w:abstractNum>
  <w:abstractNum w:abstractNumId="70">
    <w:nsid w:val="67906F60"/>
    <w:multiLevelType w:val="hybridMultilevel"/>
    <w:lvl w:ilvl="0">
      <w:lvlJc w:val="left"/>
      <w:lvlText w:val="●"/>
      <w:numFmt w:val="bullet"/>
      <w:start w:val="1"/>
    </w:lvl>
  </w:abstractNum>
  <w:abstractNum w:abstractNumId="71">
    <w:nsid w:val="10DB9DAA"/>
    <w:multiLevelType w:val="hybridMultilevel"/>
    <w:lvl w:ilvl="0">
      <w:lvlJc w:val="left"/>
      <w:lvlText w:val="●"/>
      <w:numFmt w:val="bullet"/>
      <w:start w:val="1"/>
    </w:lvl>
  </w:abstractNum>
  <w:abstractNum w:abstractNumId="72">
    <w:nsid w:val="697D2D2"/>
    <w:multiLevelType w:val="hybridMultilevel"/>
    <w:lvl w:ilvl="0">
      <w:lvlJc w:val="left"/>
      <w:lvlText w:val="●"/>
      <w:numFmt w:val="bullet"/>
      <w:start w:val="1"/>
    </w:lvl>
  </w:abstractNum>
  <w:abstractNum w:abstractNumId="73">
    <w:nsid w:val="6D68AB2"/>
    <w:multiLevelType w:val="hybridMultilevel"/>
    <w:lvl w:ilvl="0">
      <w:lvlJc w:val="left"/>
      <w:lvlText w:val="●"/>
      <w:numFmt w:val="bullet"/>
      <w:start w:val="1"/>
    </w:lvl>
  </w:abstractNum>
  <w:abstractNum w:abstractNumId="74">
    <w:nsid w:val="3A966CD0"/>
    <w:multiLevelType w:val="hybridMultilevel"/>
    <w:lvl w:ilvl="0">
      <w:lvlJc w:val="left"/>
      <w:lvlText w:val="%1."/>
      <w:numFmt w:val="upperLetter"/>
      <w:start w:val="6"/>
    </w:lvl>
  </w:abstractNum>
  <w:abstractNum w:abstractNumId="75">
    <w:nsid w:val="63F37E85"/>
    <w:multiLevelType w:val="hybridMultilevel"/>
    <w:lvl w:ilvl="0">
      <w:lvlJc w:val="left"/>
      <w:lvlText w:val="%1."/>
      <w:numFmt w:val="upperLetter"/>
      <w:start w:val="7"/>
    </w:lvl>
  </w:abstractNum>
  <w:abstractNum w:abstractNumId="76">
    <w:nsid w:val="5895F5FA"/>
    <w:multiLevelType w:val="hybridMultilevel"/>
    <w:lvl w:ilvl="0">
      <w:lvlJc w:val="left"/>
      <w:lvlText w:val="%1."/>
      <w:numFmt w:val="upperLetter"/>
      <w:start w:val="8"/>
    </w:lvl>
  </w:abstractNum>
  <w:abstractNum w:abstractNumId="77">
    <w:nsid w:val="38A5D054"/>
    <w:multiLevelType w:val="hybridMultilevel"/>
    <w:lvl w:ilvl="0">
      <w:lvlJc w:val="left"/>
      <w:lvlText w:val="%1."/>
      <w:numFmt w:val="upperLetter"/>
      <w:start w:val="9"/>
    </w:lvl>
  </w:abstractNum>
  <w:abstractNum w:abstractNumId="78">
    <w:nsid w:val="F3F09D8"/>
    <w:multiLevelType w:val="hybridMultilevel"/>
    <w:lvl w:ilvl="0">
      <w:lvlJc w:val="left"/>
      <w:lvlText w:val="●"/>
      <w:numFmt w:val="bullet"/>
      <w:start w:val="1"/>
    </w:lvl>
  </w:abstractNum>
  <w:abstractNum w:abstractNumId="79">
    <w:nsid w:val="4B793735"/>
    <w:multiLevelType w:val="hybridMultilevel"/>
    <w:lvl w:ilvl="0">
      <w:lvlJc w:val="left"/>
      <w:lvlText w:val="(%1)"/>
      <w:numFmt w:val="lowerRoman"/>
      <w:start w:val="2"/>
    </w:lvl>
  </w:abstractNum>
  <w:abstractNum w:abstractNumId="80">
    <w:nsid w:val="4A10B4E8"/>
    <w:multiLevelType w:val="hybridMultilevel"/>
    <w:lvl w:ilvl="0">
      <w:lvlJc w:val="left"/>
      <w:lvlText w:val="-"/>
      <w:numFmt w:val="bullet"/>
      <w:start w:val="1"/>
    </w:lvl>
  </w:abstractNum>
  <w:abstractNum w:abstractNumId="81">
    <w:nsid w:val="43D3BCD4"/>
    <w:multiLevelType w:val="hybridMultilevel"/>
    <w:lvl w:ilvl="0">
      <w:lvlJc w:val="left"/>
      <w:lvlText w:val="$"/>
      <w:numFmt w:val="bullet"/>
      <w:start w:val="1"/>
    </w:lvl>
  </w:abstractNum>
  <w:abstractNum w:abstractNumId="82">
    <w:nsid w:val="4C2A7166"/>
    <w:multiLevelType w:val="hybridMultilevel"/>
    <w:lvl w:ilvl="0">
      <w:lvlJc w:val="left"/>
      <w:lvlText w:val="$"/>
      <w:numFmt w:val="bullet"/>
      <w:start w:val="1"/>
    </w:lvl>
  </w:abstractNum>
  <w:abstractNum w:abstractNumId="83">
    <w:nsid w:val="2E534A82"/>
    <w:multiLevelType w:val="hybridMultilevel"/>
    <w:lvl w:ilvl="0">
      <w:lvlJc w:val="left"/>
      <w:lvlText w:val="$"/>
      <w:numFmt w:val="bullet"/>
      <w:start w:val="1"/>
    </w:lvl>
  </w:abstractNum>
  <w:abstractNum w:abstractNumId="84">
    <w:nsid w:val="26F2D364"/>
    <w:multiLevelType w:val="hybridMultilevel"/>
    <w:lvl w:ilvl="0">
      <w:lvlJc w:val="left"/>
      <w:lvlText w:val="$"/>
      <w:numFmt w:val="bullet"/>
      <w:start w:val="1"/>
    </w:lvl>
  </w:abstractNum>
  <w:abstractNum w:abstractNumId="85">
    <w:nsid w:val="71C1AF98"/>
    <w:multiLevelType w:val="hybridMultilevel"/>
    <w:lvl w:ilvl="0">
      <w:lvlJc w:val="left"/>
      <w:lvlText w:val="$"/>
      <w:numFmt w:val="bullet"/>
      <w:start w:val="1"/>
    </w:lvl>
  </w:abstractNum>
  <w:abstractNum w:abstractNumId="86">
    <w:nsid w:val="3D00B9D9"/>
    <w:multiLevelType w:val="hybridMultilevel"/>
    <w:lvl w:ilvl="0">
      <w:lvlJc w:val="left"/>
      <w:lvlText w:val="$"/>
      <w:numFmt w:val="bullet"/>
      <w:start w:val="1"/>
    </w:lvl>
  </w:abstractNum>
  <w:abstractNum w:abstractNumId="87">
    <w:nsid w:val="15BCABA8"/>
    <w:multiLevelType w:val="hybridMultilevel"/>
    <w:lvl w:ilvl="0">
      <w:lvlJc w:val="left"/>
      <w:lvlText w:val="%1)"/>
      <w:numFmt w:val="lowerLetter"/>
      <w:start w:val="1"/>
    </w:lvl>
  </w:abstractNum>
  <w:abstractNum w:abstractNumId="88">
    <w:nsid w:val="4E0B9A87"/>
    <w:multiLevelType w:val="hybridMultilevel"/>
    <w:lvl w:ilvl="0">
      <w:lvlJc w:val="left"/>
      <w:lvlText w:val="%1)"/>
      <w:numFmt w:val="lowerLetter"/>
      <w:start w:val="2"/>
    </w:lvl>
  </w:abstractNum>
  <w:abstractNum w:abstractNumId="89">
    <w:nsid w:val="434BAE75"/>
    <w:multiLevelType w:val="hybridMultilevel"/>
    <w:lvl w:ilvl="0">
      <w:lvlJc w:val="left"/>
      <w:lvlText w:val="%1)"/>
      <w:numFmt w:val="lowerLetter"/>
      <w:start w:val="3"/>
    </w:lvl>
  </w:abstractNum>
  <w:abstractNum w:abstractNumId="90">
    <w:nsid w:val="4F38F265"/>
    <w:multiLevelType w:val="hybridMultilevel"/>
    <w:lvl w:ilvl="0">
      <w:lvlJc w:val="left"/>
      <w:lvlText w:val="%1)"/>
      <w:numFmt w:val="lowerLetter"/>
      <w:start w:val="4"/>
    </w:lvl>
  </w:abstractNum>
  <w:abstractNum w:abstractNumId="91">
    <w:nsid w:val="4C502870"/>
    <w:multiLevelType w:val="hybridMultilevel"/>
    <w:lvl w:ilvl="0">
      <w:lvlJc w:val="left"/>
      <w:lvlText w:val="(%1)"/>
      <w:numFmt w:val="lowerLetter"/>
      <w:start w:val="1"/>
    </w:lvl>
  </w:abstractNum>
  <w:abstractNum w:abstractNumId="92">
    <w:nsid w:val="1DE8725A"/>
    <w:multiLevelType w:val="hybridMultilevel"/>
    <w:lvl w:ilvl="0">
      <w:lvlJc w:val="left"/>
      <w:lvlText w:val="(%1)"/>
      <w:numFmt w:val="lowerLetter"/>
      <w:start w:val="1"/>
    </w:lvl>
  </w:abstractNum>
  <w:abstractNum w:abstractNumId="93">
    <w:nsid w:val="6A37288A"/>
    <w:multiLevelType w:val="hybridMultilevel"/>
    <w:lvl w:ilvl="0">
      <w:lvlJc w:val="left"/>
      <w:lvlText w:val="$"/>
      <w:numFmt w:val="bullet"/>
      <w:start w:val="1"/>
    </w:lvl>
  </w:abstractNum>
  <w:abstractNum w:abstractNumId="94">
    <w:nsid w:val="8F8B73F"/>
    <w:multiLevelType w:val="hybridMultilevel"/>
    <w:lvl w:ilvl="0">
      <w:lvlJc w:val="left"/>
      <w:lvlText w:val="$"/>
      <w:numFmt w:val="bullet"/>
      <w:start w:val="1"/>
    </w:lvl>
  </w:abstractNum>
  <w:abstractNum w:abstractNumId="95">
    <w:nsid w:val="CA6B462"/>
    <w:multiLevelType w:val="hybridMultilevel"/>
    <w:lvl w:ilvl="0">
      <w:lvlJc w:val="left"/>
      <w:lvlText w:val="%1)"/>
      <w:numFmt w:val="lowerLetter"/>
      <w:start w:val="1"/>
    </w:lvl>
  </w:abstractNum>
  <w:abstractNum w:abstractNumId="96">
    <w:nsid w:val="763CB680"/>
    <w:multiLevelType w:val="hybridMultilevel"/>
    <w:lvl w:ilvl="0">
      <w:lvlJc w:val="left"/>
      <w:lvlText w:val="%1)"/>
      <w:numFmt w:val="lowerLetter"/>
      <w:start w:val="2"/>
    </w:lvl>
  </w:abstractNum>
  <w:abstractNum w:abstractNumId="97">
    <w:nsid w:val="15B71329"/>
    <w:multiLevelType w:val="hybridMultilevel"/>
    <w:lvl w:ilvl="0">
      <w:lvlJc w:val="left"/>
      <w:lvlText w:val="%1)"/>
      <w:numFmt w:val="lowerLetter"/>
      <w:start w:val="3"/>
    </w:lvl>
  </w:abstractNum>
  <w:abstractNum w:abstractNumId="98">
    <w:nsid w:val="3DA97044"/>
    <w:multiLevelType w:val="hybridMultilevel"/>
    <w:lvl w:ilvl="0">
      <w:lvlJc w:val="left"/>
      <w:lvlText w:val="2"/>
      <w:numFmt w:val="bullet"/>
      <w:start w:val="1"/>
    </w:lvl>
  </w:abstractNum>
  <w:abstractNum w:abstractNumId="99">
    <w:nsid w:val="1CDCE2DE"/>
    <w:multiLevelType w:val="hybridMultilevel"/>
    <w:lvl w:ilvl="0">
      <w:lvlJc w:val="left"/>
      <w:lvlText w:val="(%1)"/>
      <w:numFmt w:val="decimal"/>
      <w:start w:val="1"/>
    </w:lvl>
  </w:abstractNum>
  <w:abstractNum w:abstractNumId="100">
    <w:nsid w:val="69D3947C"/>
    <w:multiLevelType w:val="hybridMultilevel"/>
    <w:lvl w:ilvl="0">
      <w:lvlJc w:val="left"/>
      <w:lvlText w:val="●"/>
      <w:numFmt w:val="bullet"/>
      <w:start w:val="1"/>
    </w:lvl>
  </w:abstractNum>
  <w:abstractNum w:abstractNumId="101">
    <w:nsid w:val="2539DFA5"/>
    <w:multiLevelType w:val="hybridMultilevel"/>
    <w:lvl w:ilvl="0">
      <w:lvlJc w:val="left"/>
      <w:lvlText w:val="%1."/>
      <w:numFmt w:val="decimal"/>
      <w:start w:val="1"/>
    </w:lvl>
    <w:lvl w:ilvl="1">
      <w:lvlJc w:val="left"/>
      <w:lvlText w:val="(%2)"/>
      <w:numFmt w:val="lowerLetter"/>
      <w:start w:val="1"/>
    </w:lvl>
  </w:abstractNum>
  <w:abstractNum w:abstractNumId="102">
    <w:nsid w:val="2DB88089"/>
    <w:multiLevelType w:val="hybridMultilevel"/>
    <w:lvl w:ilvl="0">
      <w:lvlJc w:val="left"/>
      <w:lvlText w:val="%1"/>
      <w:numFmt w:val="decimal"/>
      <w:start w:val="1"/>
    </w:lvl>
    <w:lvl w:ilvl="1">
      <w:lvlJc w:val="left"/>
      <w:lvlText w:val="(%2)"/>
      <w:numFmt w:val="lowerLetter"/>
      <w:start w:val="2"/>
    </w:lvl>
  </w:abstractNum>
  <w:abstractNum w:abstractNumId="103">
    <w:nsid w:val="706B674E"/>
    <w:multiLevelType w:val="hybridMultilevel"/>
    <w:lvl w:ilvl="0">
      <w:lvlJc w:val="left"/>
      <w:lvlText w:val="%1."/>
      <w:numFmt w:val="decimal"/>
      <w:start w:val="3"/>
    </w:lvl>
    <w:lvl w:ilvl="1">
      <w:lvlJc w:val="left"/>
      <w:lvlText w:val="(%2)"/>
      <w:numFmt w:val="lowerLetter"/>
      <w:start w:val="1"/>
    </w:lvl>
  </w:abstractNum>
  <w:abstractNum w:abstractNumId="104">
    <w:nsid w:val="2C106A5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5">
    <w:nsid w:val="684EED59"/>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06">
    <w:nsid w:val="545EE5D3"/>
    <w:multiLevelType w:val="hybridMultilevel"/>
    <w:lvl w:ilvl="0">
      <w:lvlJc w:val="left"/>
      <w:lvlText w:val="(%1)"/>
      <w:numFmt w:val="decimal"/>
      <w:start w:val="55"/>
    </w:lvl>
    <w:lvl w:ilvl="1">
      <w:lvlJc w:val="left"/>
      <w:lvlText w:val="%2"/>
      <w:numFmt w:val="decimal"/>
      <w:start w:val="1"/>
    </w:lvl>
    <w:lvl w:ilvl="2">
      <w:lvlJc w:val="left"/>
      <w:lvlText w:val="(%3)"/>
      <w:numFmt w:val="lowerLetter"/>
      <w:start w:val="2"/>
    </w:lvl>
  </w:abstractNum>
  <w:abstractNum w:abstractNumId="107">
    <w:nsid w:val="4A66051"/>
    <w:multiLevelType w:val="hybridMultilevel"/>
    <w:lvl w:ilvl="0">
      <w:lvlJc w:val="left"/>
      <w:lvlText w:val="%1."/>
      <w:numFmt w:val="decimal"/>
      <w:start w:val="8"/>
    </w:lvl>
    <w:lvl w:ilvl="1">
      <w:lvlJc w:val="left"/>
      <w:lvlText w:val="(%2)"/>
      <w:numFmt w:val="lowerLetter"/>
      <w:start w:val="1"/>
    </w:lvl>
  </w:abstractNum>
  <w:abstractNum w:abstractNumId="108">
    <w:nsid w:val="20F4BDAD"/>
    <w:multiLevelType w:val="hybridMultilevel"/>
    <w:lvl w:ilvl="0">
      <w:lvlJc w:val="left"/>
      <w:lvlText w:val="%1"/>
      <w:numFmt w:val="decimal"/>
      <w:start w:val="1"/>
    </w:lvl>
    <w:lvl w:ilvl="1">
      <w:lvlJc w:val="left"/>
      <w:lvlText w:val="(%2)"/>
      <w:numFmt w:val="lowerLetter"/>
      <w:start w:val="4"/>
    </w:lvl>
  </w:abstractNum>
  <w:abstractNum w:abstractNumId="109">
    <w:nsid w:val="639DEFAC"/>
    <w:multiLevelType w:val="hybridMultilevel"/>
    <w:lvl w:ilvl="0">
      <w:lvlJc w:val="left"/>
      <w:lvlText w:val="%1."/>
      <w:numFmt w:val="decimal"/>
      <w:start w:val="9"/>
    </w:lvl>
    <w:lvl w:ilvl="1">
      <w:lvlJc w:val="left"/>
      <w:lvlText w:val="(%2)"/>
      <w:numFmt w:val="lowerLetter"/>
      <w:start w:val="2"/>
    </w:lvl>
  </w:abstractNum>
  <w:abstractNum w:abstractNumId="110">
    <w:nsid w:val="501F9786"/>
    <w:multiLevelType w:val="hybridMultilevel"/>
    <w:lvl w:ilvl="0">
      <w:lvlJc w:val="left"/>
      <w:lvlText w:val="%1"/>
      <w:numFmt w:val="decimal"/>
      <w:start w:val="1"/>
    </w:lvl>
    <w:lvl w:ilvl="1">
      <w:lvlJc w:val="left"/>
      <w:lvlText w:val="(%2)"/>
      <w:numFmt w:val="lowerLetter"/>
      <w:start w:val="4"/>
    </w:lvl>
  </w:abstractNum>
  <w:abstractNum w:abstractNumId="111">
    <w:nsid w:val="6B057295"/>
    <w:multiLevelType w:val="hybridMultilevel"/>
    <w:lvl w:ilvl="0">
      <w:lvlJc w:val="left"/>
      <w:lvlText w:val="%1."/>
      <w:numFmt w:val="decimal"/>
      <w:start w:val="10"/>
    </w:lvl>
    <w:lvl w:ilvl="1">
      <w:lvlJc w:val="left"/>
      <w:lvlText w:val="%2"/>
      <w:numFmt w:val="lowerLetter"/>
      <w:start w:val="1"/>
    </w:lvl>
  </w:abstractNum>
  <w:abstractNum w:abstractNumId="112">
    <w:nsid w:val="2771AC80"/>
    <w:multiLevelType w:val="hybridMultilevel"/>
    <w:lvl w:ilvl="0">
      <w:lvlJc w:val="left"/>
      <w:lvlText w:val="%1."/>
      <w:numFmt w:val="decimal"/>
      <w:start w:val="12"/>
    </w:lvl>
    <w:lvl w:ilvl="1">
      <w:lvlJc w:val="left"/>
      <w:lvlText w:val="(%2)"/>
      <w:numFmt w:val="lowerLetter"/>
      <w:start w:val="1"/>
    </w:lvl>
  </w:abstractNum>
  <w:abstractNum w:abstractNumId="113">
    <w:nsid w:val="1C4A08EC"/>
    <w:multiLevelType w:val="hybridMultilevel"/>
    <w:lvl w:ilvl="0">
      <w:lvlJc w:val="left"/>
      <w:lvlText w:val="%1."/>
      <w:numFmt w:val="decimal"/>
      <w:start w:val="13"/>
    </w:lvl>
  </w:abstractNum>
  <w:abstractNum w:abstractNumId="114">
    <w:nsid w:val="1958BD17"/>
    <w:multiLevelType w:val="hybridMultilevel"/>
    <w:lvl w:ilvl="0">
      <w:lvlJc w:val="left"/>
      <w:lvlText w:val="%1."/>
      <w:numFmt w:val="decimal"/>
      <w:start w:val="19"/>
    </w:lvl>
  </w:abstractNum>
  <w:abstractNum w:abstractNumId="115">
    <w:nsid w:val="4E647FE4"/>
    <w:multiLevelType w:val="hybridMultilevel"/>
    <w:lvl w:ilvl="0">
      <w:lvlJc w:val="left"/>
      <w:lvlText w:val="(%1)"/>
      <w:numFmt w:val="decimal"/>
      <w:start w:val="1"/>
    </w:lvl>
  </w:abstractNum>
  <w:abstractNum w:abstractNumId="116">
    <w:nsid w:val="E0BB885"/>
    <w:multiLevelType w:val="hybridMultilevel"/>
    <w:lvl w:ilvl="0">
      <w:lvlJc w:val="left"/>
      <w:lvlText w:val="%1"/>
      <w:numFmt w:val="decimal"/>
      <w:start w:val="1"/>
    </w:lvl>
    <w:lvl w:ilvl="1">
      <w:lvlJc w:val="left"/>
      <w:lvlText w:val="(%2)"/>
      <w:numFmt w:val="decimal"/>
      <w:start w:val="5"/>
    </w:lvl>
  </w:abstractNum>
  <w:abstractNum w:abstractNumId="117">
    <w:nsid w:val="565976F1"/>
    <w:multiLevelType w:val="hybridMultilevel"/>
    <w:lvl w:ilvl="0">
      <w:lvlJc w:val="left"/>
      <w:lvlText w:val="%1."/>
      <w:numFmt w:val="decimal"/>
      <w:start w:val="13"/>
    </w:lvl>
    <w:lvl w:ilvl="1">
      <w:lvlJc w:val="left"/>
      <w:lvlText w:val="%2"/>
      <w:numFmt w:val="decimal"/>
      <w:start w:val="1"/>
    </w:lvl>
  </w:abstractNum>
  <w:abstractNum w:abstractNumId="118">
    <w:nsid w:val="64212B8C"/>
    <w:multiLevelType w:val="hybridMultilevel"/>
    <w:lvl w:ilvl="0">
      <w:lvlJc w:val="left"/>
      <w:lvlText w:val="(%1)"/>
      <w:numFmt w:val="decimal"/>
      <w:start w:val="1"/>
    </w:lvl>
  </w:abstractNum>
  <w:abstractNum w:abstractNumId="119">
    <w:nsid w:val="5C17530C"/>
    <w:multiLevelType w:val="hybridMultilevel"/>
    <w:lvl w:ilvl="0">
      <w:lvlJc w:val="left"/>
      <w:lvlText w:val="(%1)"/>
      <w:numFmt w:val="decimal"/>
      <w:start w:val="1"/>
    </w:lvl>
  </w:abstractNum>
  <w:abstractNum w:abstractNumId="120">
    <w:nsid w:val="19A52566"/>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21">
    <w:nsid w:val="335A1DF1"/>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abstractNum>
  <w:abstractNum w:abstractNumId="122">
    <w:nsid w:val="28677B7C"/>
    <w:multiLevelType w:val="hybridMultilevel"/>
    <w:lvl w:ilvl="0">
      <w:lvlJc w:val="left"/>
      <w:lvlText w:val="(%1)"/>
      <w:numFmt w:val="decimal"/>
      <w:start w:val="1"/>
    </w:lvl>
  </w:abstractNum>
  <w:abstractNum w:abstractNumId="123">
    <w:nsid w:val="378D97C0"/>
    <w:multiLevelType w:val="hybridMultilevel"/>
    <w:lvl w:ilvl="0">
      <w:lvlJc w:val="left"/>
      <w:lvlText w:val="%1"/>
      <w:numFmt w:val="decimal"/>
      <w:start w:val="1"/>
    </w:lvl>
    <w:lvl w:ilvl="1">
      <w:lvlJc w:val="left"/>
      <w:lvlText w:val="(%2)"/>
      <w:numFmt w:val="decimal"/>
      <w:start w:val="1"/>
    </w:lvl>
  </w:abstractNum>
  <w:abstractNum w:abstractNumId="124">
    <w:nsid w:val="1D91467C"/>
    <w:multiLevelType w:val="hybridMultilevel"/>
    <w:lvl w:ilvl="0">
      <w:lvlJc w:val="left"/>
      <w:lvlText w:val="%1."/>
      <w:numFmt w:val="decimal"/>
      <w:start w:val="16"/>
    </w:lvl>
    <w:lvl w:ilvl="1">
      <w:lvlJc w:val="left"/>
      <w:lvlText w:val="%2"/>
      <w:numFmt w:val="decimal"/>
      <w:start w:val="1"/>
    </w:lvl>
  </w:abstractNum>
  <w:abstractNum w:abstractNumId="125">
    <w:nsid w:val="316032BB"/>
    <w:multiLevelType w:val="hybridMultilevel"/>
    <w:lvl w:ilvl="0">
      <w:lvlJc w:val="left"/>
      <w:lvlText w:val="%1)"/>
      <w:numFmt w:val="lowerLetter"/>
      <w:start w:val="1"/>
    </w:lvl>
    <w:lvl w:ilvl="1">
      <w:lvlJc w:val="left"/>
      <w:lvlText w:val="(%2)"/>
      <w:numFmt w:val="decimal"/>
      <w:start w:val="1"/>
    </w:lvl>
  </w:abstractNum>
  <w:abstractNum w:abstractNumId="126">
    <w:nsid w:val="44344C22"/>
    <w:multiLevelType w:val="hybridMultilevel"/>
    <w:lvl w:ilvl="0">
      <w:lvlJc w:val="left"/>
      <w:lvlText w:val="%1"/>
      <w:numFmt w:val="decimal"/>
      <w:start w:val="1"/>
    </w:lvl>
    <w:lvl w:ilvl="1">
      <w:lvlJc w:val="left"/>
      <w:lvlText w:val="(%2)"/>
      <w:numFmt w:val="decimal"/>
      <w:start w:val="2"/>
    </w:lvl>
  </w:abstractNum>
  <w:abstractNum w:abstractNumId="127">
    <w:nsid w:val="13CDFCFC"/>
    <w:multiLevelType w:val="hybridMultilevel"/>
    <w:lvl w:ilvl="0">
      <w:lvlJc w:val="left"/>
      <w:lvlText w:val="%1."/>
      <w:numFmt w:val="decimal"/>
      <w:start w:val="17"/>
    </w:lvl>
    <w:lvl w:ilvl="1">
      <w:lvlJc w:val="left"/>
      <w:lvlText w:val="%2"/>
      <w:numFmt w:val="decimal"/>
      <w:start w:val="1"/>
    </w:lvl>
  </w:abstractNum>
  <w:abstractNum w:abstractNumId="128">
    <w:nsid w:val="471745E4"/>
    <w:multiLevelType w:val="hybridMultilevel"/>
    <w:lvl w:ilvl="0">
      <w:lvlJc w:val="left"/>
      <w:lvlText w:val="(%1)"/>
      <w:numFmt w:val="decimal"/>
      <w:start w:val="1"/>
    </w:lvl>
  </w:abstractNum>
  <w:abstractNum w:abstractNumId="129">
    <w:nsid w:val="1DDBC66"/>
    <w:multiLevelType w:val="hybridMultilevel"/>
    <w:lvl w:ilvl="0">
      <w:lvlJc w:val="left"/>
      <w:lvlText w:val="%1."/>
      <w:numFmt w:val="decimal"/>
      <w:start w:val="1"/>
    </w:lvl>
    <w:lvl w:ilvl="1">
      <w:lvlJc w:val="left"/>
      <w:lvlText w:val="%2."/>
      <w:numFmt w:val="decimal"/>
      <w:start w:val="1"/>
    </w:lvl>
  </w:abstractNum>
  <w:abstractNum w:abstractNumId="130">
    <w:nsid w:val="30AADFDA"/>
    <w:multiLevelType w:val="hybridMultilevel"/>
    <w:lvl w:ilvl="0">
      <w:lvlJc w:val="left"/>
      <w:lvlText w:val="%1"/>
      <w:numFmt w:val="decimal"/>
      <w:start w:val="1"/>
    </w:lvl>
    <w:lvl w:ilvl="1">
      <w:lvlJc w:val="left"/>
      <w:lvlText w:val="%2."/>
      <w:numFmt w:val="decimal"/>
      <w:start w:val="4"/>
    </w:lvl>
  </w:abstractNum>
  <w:abstractNum w:abstractNumId="131">
    <w:nsid w:val="30EADA61"/>
    <w:multiLevelType w:val="hybridMultilevel"/>
    <w:lvl w:ilvl="0">
      <w:lvlJc w:val="left"/>
      <w:lvlText w:val="%1."/>
      <w:numFmt w:val="decimal"/>
      <w:start w:val="3"/>
    </w:lvl>
    <w:lvl w:ilvl="1">
      <w:lvlJc w:val="left"/>
      <w:lvlText w:val="%2."/>
      <w:numFmt w:val="decimal"/>
      <w:start w:val="1"/>
    </w:lvl>
  </w:abstractNum>
  <w:abstractNum w:abstractNumId="132">
    <w:nsid w:val="27179C0B"/>
    <w:multiLevelType w:val="hybridMultilevel"/>
    <w:lvl w:ilvl="0">
      <w:lvlJc w:val="left"/>
      <w:lvlText w:val="(%1)"/>
      <w:numFmt w:val="decimal"/>
      <w:start w:val="1"/>
    </w:lvl>
  </w:abstractNum>
  <w:abstractNum w:abstractNumId="133">
    <w:nsid w:val="5E636063"/>
    <w:multiLevelType w:val="hybridMultilevel"/>
    <w:lvl w:ilvl="0">
      <w:lvlJc w:val="left"/>
      <w:lvlText w:val="%1"/>
      <w:numFmt w:val="decimal"/>
      <w:start w:val="1"/>
    </w:lvl>
    <w:lvl w:ilvl="1">
      <w:lvlJc w:val="left"/>
      <w:lvlText w:val="(%2)"/>
      <w:numFmt w:val="decimal"/>
      <w:start w:val="2"/>
    </w:lvl>
  </w:abstractNum>
  <w:abstractNum w:abstractNumId="134">
    <w:nsid w:val="215641AF"/>
    <w:multiLevelType w:val="hybridMultilevel"/>
    <w:lvl w:ilvl="0">
      <w:lvlJc w:val="left"/>
      <w:lvlText w:val="%1."/>
      <w:numFmt w:val="decimal"/>
      <w:start w:val="13"/>
    </w:lvl>
    <w:lvl w:ilvl="1">
      <w:lvlJc w:val="left"/>
      <w:lvlText w:val="%2"/>
      <w:numFmt w:val="decimal"/>
      <w:start w:val="1"/>
    </w:lvl>
  </w:abstractNum>
  <w:abstractNum w:abstractNumId="135">
    <w:nsid w:val="53280662"/>
    <w:multiLevelType w:val="hybridMultilevel"/>
    <w:lvl w:ilvl="0">
      <w:lvlJc w:val="left"/>
      <w:lvlText w:val="(%1)"/>
      <w:numFmt w:val="decimal"/>
      <w:start w:val="1"/>
    </w:lvl>
  </w:abstractNum>
  <w:abstractNum w:abstractNumId="136">
    <w:nsid w:val="46B24DBC"/>
    <w:multiLevelType w:val="hybridMultilevel"/>
    <w:lvl w:ilvl="0">
      <w:lvlJc w:val="left"/>
      <w:lvlText w:val="(%1)"/>
      <w:numFmt w:val="decimal"/>
      <w:start w:val="1"/>
    </w:lvl>
  </w:abstractNum>
  <w:abstractNum w:abstractNumId="137">
    <w:nsid w:val="75B52783"/>
    <w:multiLevelType w:val="hybridMultilevel"/>
    <w:lvl w:ilvl="0">
      <w:lvlJc w:val="left"/>
      <w:lvlText w:val="(%1)"/>
      <w:numFmt w:val="decimal"/>
      <w:start w:val="4"/>
    </w:lvl>
  </w:abstractNum>
  <w:abstractNum w:abstractNumId="138">
    <w:nsid w:val="57CE66B4"/>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139">
    <w:nsid w:val="67A70B69"/>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abstractNum>
  <w:abstractNum w:abstractNumId="140">
    <w:nsid w:val="5953172F"/>
    <w:multiLevelType w:val="hybridMultilevel"/>
    <w:lvl w:ilvl="0">
      <w:lvlJc w:val="left"/>
      <w:lvlText w:val="(%1)"/>
      <w:numFmt w:val="decimal"/>
      <w:start w:val="2"/>
    </w:lvl>
  </w:abstractNum>
  <w:abstractNum w:abstractNumId="141">
    <w:nsid w:val="27EDFE3A"/>
    <w:multiLevelType w:val="hybridMultilevel"/>
    <w:lvl w:ilvl="0">
      <w:lvlJc w:val="left"/>
      <w:lvlText w:val="(%1)"/>
      <w:numFmt w:val="decimal"/>
      <w:start w:val="1"/>
    </w:lvl>
  </w:abstractNum>
  <w:abstractNum w:abstractNumId="142">
    <w:nsid w:val="52AC7DFF"/>
    <w:multiLevelType w:val="hybridMultilevel"/>
    <w:lvl w:ilvl="0">
      <w:lvlJc w:val="left"/>
      <w:lvlText w:val="%1)"/>
      <w:numFmt w:val="lowerLetter"/>
      <w:start w:val="1"/>
    </w:lvl>
    <w:lvl w:ilvl="1">
      <w:lvlJc w:val="left"/>
      <w:lvlText w:val="(%2)"/>
      <w:numFmt w:val="decimal"/>
      <w:start w:val="1"/>
    </w:lvl>
  </w:abstractNum>
  <w:abstractNum w:abstractNumId="143">
    <w:nsid w:val="C4C3AF"/>
    <w:multiLevelType w:val="hybridMultilevel"/>
    <w:lvl w:ilvl="0">
      <w:lvlJc w:val="left"/>
      <w:lvlText w:val="(%1)"/>
      <w:numFmt w:val="decimal"/>
      <w:start w:val="1"/>
    </w:lvl>
  </w:abstractNum>
  <w:abstractNum w:abstractNumId="144">
    <w:nsid w:val="44380727"/>
    <w:multiLevelType w:val="hybridMultilevel"/>
    <w:lvl w:ilvl="0">
      <w:lvlJc w:val="left"/>
      <w:lvlText w:val="%1."/>
      <w:numFmt w:val="decimal"/>
      <w:start w:val="1"/>
    </w:lvl>
    <w:lvl w:ilvl="1">
      <w:lvlJc w:val="left"/>
      <w:lvlText w:val="%2."/>
      <w:numFmt w:val="decimal"/>
      <w:start w:val="1"/>
    </w:lvl>
  </w:abstractNum>
  <w:abstractNum w:abstractNumId="145">
    <w:nsid w:val="6C053B16"/>
    <w:multiLevelType w:val="hybridMultilevel"/>
    <w:lvl w:ilvl="0">
      <w:lvlJc w:val="left"/>
      <w:lvlText w:val="%1"/>
      <w:numFmt w:val="decimal"/>
      <w:start w:val="1"/>
    </w:lvl>
    <w:lvl w:ilvl="1">
      <w:lvlJc w:val="left"/>
      <w:lvlText w:val="%2."/>
      <w:numFmt w:val="decimal"/>
      <w:start w:val="4"/>
    </w:lvl>
  </w:abstractNum>
  <w:abstractNum w:abstractNumId="146">
    <w:nsid w:val="4F294393"/>
    <w:multiLevelType w:val="hybridMultilevel"/>
    <w:lvl w:ilvl="0">
      <w:lvlJc w:val="left"/>
      <w:lvlText w:val="%1."/>
      <w:numFmt w:val="decimal"/>
      <w:start w:val="3"/>
    </w:lvl>
    <w:lvl w:ilvl="1">
      <w:lvlJc w:val="left"/>
      <w:lvlText w:val="%2."/>
      <w:numFmt w:val="decimal"/>
      <w:start w:val="1"/>
    </w:lvl>
  </w:abstractNum>
  <w:abstractNum w:abstractNumId="147">
    <w:nsid w:val="5243BFAC"/>
    <w:multiLevelType w:val="hybridMultilevel"/>
    <w:lvl w:ilvl="0">
      <w:lvlJc w:val="left"/>
      <w:lvlText w:val="☒"/>
      <w:numFmt w:val="bullet"/>
      <w:start w:val="1"/>
    </w:lvl>
  </w:abstractNum>
  <w:abstractNum w:abstractNumId="148">
    <w:nsid w:val="425EB207"/>
    <w:multiLevelType w:val="hybridMultilevel"/>
    <w:lvl w:ilvl="0">
      <w:lvlJc w:val="left"/>
      <w:lvlText w:val="☒"/>
      <w:numFmt w:val="bullet"/>
      <w:start w:val="1"/>
    </w:lvl>
  </w:abstractNum>
  <w:abstractNum w:abstractNumId="149">
    <w:nsid w:val="334A6F1F"/>
    <w:multiLevelType w:val="hybridMultilevel"/>
    <w:lvl w:ilvl="0">
      <w:lvlJc w:val="left"/>
      <w:lvlText w:val="%1."/>
      <w:numFmt w:val="decimal"/>
      <w:start w:val="1"/>
    </w:lvl>
  </w:abstractNum>
  <w:abstractNum w:abstractNumId="150">
    <w:nsid w:val="2E5B12B8"/>
    <w:multiLevelType w:val="hybridMultilevel"/>
    <w:lvl w:ilvl="0">
      <w:lvlJc w:val="left"/>
      <w:lvlText w:val="☒"/>
      <w:numFmt w:val="bullet"/>
      <w:start w:val="1"/>
    </w:lvl>
  </w:abstractNum>
  <w:abstractNum w:abstractNumId="151">
    <w:nsid w:val="5C03D76D"/>
    <w:multiLevelType w:val="hybridMultilevel"/>
    <w:lvl w:ilvl="0">
      <w:lvlJc w:val="left"/>
      <w:lvlText w:val="☒"/>
      <w:numFmt w:val="bullet"/>
      <w:start w:val="1"/>
    </w:lvl>
  </w:abstractNum>
  <w:abstractNum w:abstractNumId="152">
    <w:nsid w:val="66A48D11"/>
    <w:multiLevelType w:val="hybridMultilevel"/>
    <w:lvl w:ilvl="0">
      <w:lvlJc w:val="left"/>
      <w:lvlText w:val="%1."/>
      <w:numFmt w:val="decimal"/>
      <w:start w:val="5"/>
    </w:lvl>
    <w:lvl w:ilvl="1">
      <w:lvlJc w:val="left"/>
      <w:lvlText w:val="☒"/>
      <w:numFmt w:val="bullet"/>
      <w:start w:val="1"/>
    </w:lvl>
  </w:abstractNum>
  <w:abstractNum w:abstractNumId="153">
    <w:nsid w:val="56C28E34"/>
    <w:multiLevelType w:val="hybridMultilevel"/>
    <w:lvl w:ilvl="0">
      <w:lvlJc w:val="left"/>
      <w:lvlText w:val="☒"/>
      <w:numFmt w:val="bullet"/>
      <w:start w:val="1"/>
    </w:lvl>
  </w:abstractNum>
  <w:abstractNum w:abstractNumId="154">
    <w:nsid w:val="13916F2D"/>
    <w:multiLevelType w:val="hybridMultilevel"/>
    <w:lvl w:ilvl="0">
      <w:lvlJc w:val="left"/>
      <w:lvlText w:val="%1."/>
      <w:numFmt w:val="decimal"/>
      <w:start w:val="7"/>
    </w:lvl>
    <w:lvl w:ilvl="1">
      <w:lvlJc w:val="left"/>
      <w:lvlText w:val="(%2)"/>
      <w:numFmt w:val="decimal"/>
      <w:start w:val="1"/>
    </w:lvl>
  </w:abstractNum>
  <w:abstractNum w:abstractNumId="155">
    <w:nsid w:val="435D38D"/>
    <w:multiLevelType w:val="hybridMultilevel"/>
    <w:lvl w:ilvl="0">
      <w:lvlJc w:val="left"/>
      <w:lvlText w:val="☒"/>
      <w:numFmt w:val="bullet"/>
      <w:start w:val="1"/>
    </w:lvl>
  </w:abstractNum>
  <w:abstractNum w:abstractNumId="156">
    <w:nsid w:val="822C0EF"/>
    <w:multiLevelType w:val="hybridMultilevel"/>
    <w:lvl w:ilvl="0">
      <w:lvlJc w:val="left"/>
      <w:lvlText w:val="%1."/>
      <w:numFmt w:val="decimal"/>
      <w:start w:val="11"/>
    </w:lvl>
  </w:abstractNum>
  <w:abstractNum w:abstractNumId="157">
    <w:nsid w:val="57C5BB4F"/>
    <w:multiLevelType w:val="hybridMultilevel"/>
    <w:lvl w:ilvl="0">
      <w:lvlJc w:val="left"/>
      <w:lvlText w:val="(%1)"/>
      <w:numFmt w:val="decimal"/>
      <w:start w:val="1"/>
    </w:lvl>
  </w:abstractNum>
  <w:abstractNum w:abstractNumId="158">
    <w:nsid w:val="1803D089"/>
    <w:multiLevelType w:val="hybridMultilevel"/>
    <w:lvl w:ilvl="0">
      <w:lvlJc w:val="left"/>
      <w:lvlText w:val="(%1)"/>
      <w:numFmt w:val="decimal"/>
      <w:start w:val="1"/>
    </w:lvl>
  </w:abstractNum>
  <w:abstractNum w:abstractNumId="159">
    <w:nsid w:val="4F3A06D4"/>
    <w:multiLevelType w:val="hybridMultilevel"/>
    <w:lvl w:ilvl="0">
      <w:lvlJc w:val="left"/>
      <w:lvlText w:val="(%1)"/>
      <w:numFmt w:val="decimal"/>
      <w:start w:val="3"/>
    </w:lvl>
    <w:lvl w:ilvl="1">
      <w:lvlJc w:val="left"/>
      <w:lvlText w:val="%2."/>
      <w:numFmt w:val="decimal"/>
      <w:start w:val="14"/>
    </w:lvl>
  </w:abstractNum>
  <w:abstractNum w:abstractNumId="160">
    <w:nsid w:val="59A377B6"/>
    <w:multiLevelType w:val="hybridMultilevel"/>
    <w:lvl w:ilvl="0">
      <w:lvlJc w:val="left"/>
      <w:lvlText w:val="☒"/>
      <w:numFmt w:val="bullet"/>
      <w:start w:val="1"/>
    </w:lvl>
  </w:abstractNum>
  <w:abstractNum w:abstractNumId="161">
    <w:nsid w:val="48AEB063"/>
    <w:multiLevelType w:val="hybridMultilevel"/>
    <w:lvl w:ilvl="0">
      <w:lvlJc w:val="left"/>
      <w:lvlText w:val="%1."/>
      <w:numFmt w:val="decimal"/>
      <w:start w:val="16"/>
    </w:lvl>
  </w:abstractNum>
  <w:abstractNum w:abstractNumId="162">
    <w:nsid w:val="24E135"/>
    <w:multiLevelType w:val="hybridMultilevel"/>
    <w:lvl w:ilvl="0">
      <w:lvlJc w:val="left"/>
      <w:lvlText w:val="%1."/>
      <w:numFmt w:val="decimal"/>
      <w:start w:val="18"/>
    </w:lvl>
  </w:abstractNum>
  <w:abstractNum w:abstractNumId="163">
    <w:nsid w:val="BB13C1"/>
    <w:multiLevelType w:val="hybridMultilevel"/>
    <w:lvl w:ilvl="0">
      <w:lvlJc w:val="left"/>
      <w:lvlText w:val="%1."/>
      <w:numFmt w:val="decimal"/>
      <w:start w:val="2"/>
    </w:lvl>
  </w:abstractNum>
  <w:abstractNum w:abstractNumId="164">
    <w:nsid w:val="271210C7"/>
    <w:multiLevelType w:val="hybridMultilevel"/>
    <w:lvl w:ilvl="0">
      <w:lvlJc w:val="left"/>
      <w:lvlText w:val="%1."/>
      <w:numFmt w:val="decimal"/>
      <w:start w:val="1"/>
    </w:lvl>
  </w:abstractNum>
  <w:abstractNum w:abstractNumId="165">
    <w:nsid w:val="217B22E4"/>
    <w:multiLevelType w:val="hybridMultilevel"/>
    <w:lvl w:ilvl="0">
      <w:lvlJc w:val="left"/>
      <w:lvlText w:val="(%1)"/>
      <w:numFmt w:val="decimal"/>
      <w:start w:val="1"/>
    </w:lvl>
  </w:abstractNum>
  <w:abstractNum w:abstractNumId="166">
    <w:nsid w:val="53E31A24"/>
    <w:multiLevelType w:val="hybridMultilevel"/>
    <w:lvl w:ilvl="0">
      <w:lvlJc w:val="left"/>
      <w:lvlText w:val="(%1)"/>
      <w:numFmt w:val="decimal"/>
      <w:start w:val="1"/>
    </w:lvl>
  </w:abstractNum>
  <w:abstractNum w:abstractNumId="167">
    <w:nsid w:val="6DC45E83"/>
    <w:multiLevelType w:val="hybridMultilevel"/>
    <w:lvl w:ilvl="0">
      <w:lvlJc w:val="left"/>
      <w:lvlText w:val="(%1)"/>
      <w:numFmt w:val="decimal"/>
      <w:start w:val="1"/>
    </w:lvl>
  </w:abstractNum>
  <w:abstractNum w:abstractNumId="168">
    <w:nsid w:val="17304A67"/>
    <w:multiLevelType w:val="hybridMultilevel"/>
    <w:lvl w:ilvl="0">
      <w:lvlJc w:val="left"/>
      <w:lvlText w:val="%1."/>
      <w:numFmt w:val="decimal"/>
      <w:start w:val="3"/>
    </w:lvl>
  </w:abstractNum>
  <w:abstractNum w:abstractNumId="169">
    <w:nsid w:val="2BB180D8"/>
    <w:multiLevelType w:val="hybridMultilevel"/>
    <w:lvl w:ilvl="0">
      <w:lvlJc w:val="left"/>
      <w:lvlText w:val="%1."/>
      <w:numFmt w:val="decimal"/>
      <w:start w:val="3"/>
    </w:lvl>
  </w:abstractNum>
  <w:abstractNum w:abstractNumId="170">
    <w:nsid w:val="556B69ED"/>
    <w:multiLevelType w:val="hybridMultilevel"/>
    <w:lvl w:ilvl="0">
      <w:lvlJc w:val="left"/>
      <w:lvlText w:val="(%1)"/>
      <w:numFmt w:val="decimal"/>
      <w:start w:val="1"/>
    </w:lvl>
  </w:abstractNum>
  <w:abstractNum w:abstractNumId="171">
    <w:nsid w:val="70836196"/>
    <w:multiLevelType w:val="hybridMultilevel"/>
    <w:lvl w:ilvl="0">
      <w:lvlJc w:val="left"/>
      <w:lvlText w:val="%1."/>
      <w:numFmt w:val="decimal"/>
      <w:start w:val="4"/>
    </w:lvl>
  </w:abstractNum>
  <w:abstractNum w:abstractNumId="172">
    <w:nsid w:val="539F7F12"/>
    <w:multiLevelType w:val="hybridMultilevel"/>
    <w:lvl w:ilvl="0">
      <w:lvlJc w:val="left"/>
      <w:lvlText w:val="%1."/>
      <w:numFmt w:val="decimal"/>
      <w:start w:val="7"/>
    </w:lvl>
  </w:abstractNum>
  <w:abstractNum w:abstractNumId="173">
    <w:nsid w:val="2817E7EC"/>
    <w:multiLevelType w:val="hybridMultilevel"/>
    <w:lvl w:ilvl="0">
      <w:lvlJc w:val="left"/>
      <w:lvlText w:val="(%1)"/>
      <w:numFmt w:val="decimal"/>
      <w:start w:val="1"/>
    </w:lvl>
  </w:abstractNum>
  <w:abstractNum w:abstractNumId="174">
    <w:nsid w:val="71482545"/>
    <w:multiLevelType w:val="hybridMultilevel"/>
    <w:lvl w:ilvl="0">
      <w:lvlJc w:val="left"/>
      <w:lvlText w:val="%1."/>
      <w:numFmt w:val="decimal"/>
      <w:start w:val="1"/>
    </w:lvl>
  </w:abstractNum>
  <w:abstractNum w:abstractNumId="175">
    <w:nsid w:val="17D78639"/>
    <w:multiLevelType w:val="hybridMultilevel"/>
    <w:lvl w:ilvl="0">
      <w:lvlJc w:val="left"/>
      <w:lvlText w:val="%1."/>
      <w:numFmt w:val="decimal"/>
      <w:start w:val="3"/>
    </w:lvl>
  </w:abstractNum>
  <w:abstractNum w:abstractNumId="176">
    <w:nsid w:val="141D2302"/>
    <w:multiLevelType w:val="hybridMultilevel"/>
    <w:lvl w:ilvl="0">
      <w:lvlJc w:val="left"/>
      <w:lvlText w:val="%1."/>
      <w:numFmt w:val="decimal"/>
      <w:start w:val="1"/>
    </w:lvl>
  </w:abstractNum>
  <w:abstractNum w:abstractNumId="177">
    <w:nsid w:val="407168D8"/>
    <w:multiLevelType w:val="hybridMultilevel"/>
    <w:lvl w:ilvl="0">
      <w:lvlJc w:val="left"/>
      <w:lvlText w:val="%1."/>
      <w:numFmt w:val="decimal"/>
      <w:start w:val="9"/>
    </w:lvl>
  </w:abstractNum>
  <w:abstractNum w:abstractNumId="178">
    <w:nsid w:val="6A1B45E5"/>
    <w:multiLevelType w:val="hybridMultilevel"/>
    <w:lvl w:ilvl="0">
      <w:lvlJc w:val="left"/>
      <w:lvlText w:val="%1."/>
      <w:numFmt w:val="decimal"/>
      <w:start w:val="1"/>
    </w:lvl>
  </w:abstractNum>
  <w:abstractNum w:abstractNumId="179">
    <w:nsid w:val="567BD50A"/>
    <w:multiLevelType w:val="hybridMultilevel"/>
    <w:lvl w:ilvl="0">
      <w:lvlJc w:val="left"/>
      <w:lvlText w:val="%1."/>
      <w:numFmt w:val="decimal"/>
      <w:start w:val="2"/>
    </w:lvl>
  </w:abstractNum>
  <w:abstractNum w:abstractNumId="180">
    <w:nsid w:val="73BBD7F8"/>
    <w:multiLevelType w:val="hybridMultilevel"/>
    <w:lvl w:ilvl="0">
      <w:lvlJc w:val="left"/>
      <w:lvlText w:val="(%1)"/>
      <w:numFmt w:val="decimal"/>
      <w:start w:val="1"/>
    </w:lvl>
  </w:abstractNum>
  <w:abstractNum w:abstractNumId="181">
    <w:nsid w:val="1876589D"/>
    <w:multiLevelType w:val="hybridMultilevel"/>
    <w:lvl w:ilvl="0">
      <w:lvlJc w:val="left"/>
      <w:lvlText w:val="(%1)"/>
      <w:numFmt w:val="decimal"/>
      <w:start w:val="5"/>
    </w:lvl>
  </w:abstractNum>
  <w:abstractNum w:abstractNumId="182">
    <w:nsid w:val="327FAC77"/>
    <w:multiLevelType w:val="hybridMultilevel"/>
    <w:lvl w:ilvl="0">
      <w:lvlJc w:val="left"/>
      <w:lvlText w:val="%1."/>
      <w:numFmt w:val="decimal"/>
      <w:start w:val="5"/>
    </w:lvl>
  </w:abstractNum>
  <w:abstractNum w:abstractNumId="183">
    <w:nsid w:val="5A606509"/>
    <w:multiLevelType w:val="hybridMultilevel"/>
    <w:lvl w:ilvl="0">
      <w:lvlJc w:val="left"/>
      <w:lvlText w:val="(%1)"/>
      <w:numFmt w:val="decimal"/>
      <w:start w:val="1"/>
    </w:lvl>
  </w:abstractNum>
  <w:abstractNum w:abstractNumId="184">
    <w:nsid w:val="6F38E6D1"/>
    <w:multiLevelType w:val="hybridMultilevel"/>
    <w:lvl w:ilvl="0">
      <w:lvlJc w:val="left"/>
      <w:lvlText w:val="%1."/>
      <w:numFmt w:val="decimal"/>
      <w:start w:val="6"/>
    </w:lvl>
  </w:abstractNum>
  <w:abstractNum w:abstractNumId="185">
    <w:nsid w:val="46111BA5"/>
    <w:multiLevelType w:val="hybridMultilevel"/>
    <w:lvl w:ilvl="0">
      <w:lvlJc w:val="left"/>
      <w:lvlText w:val="%1."/>
      <w:numFmt w:val="decimal"/>
      <w:start w:val="7"/>
    </w:lvl>
  </w:abstractNum>
  <w:abstractNum w:abstractNumId="186">
    <w:nsid w:val="5E963896"/>
    <w:multiLevelType w:val="hybridMultilevel"/>
    <w:lvl w:ilvl="0">
      <w:lvlJc w:val="left"/>
      <w:lvlText w:val="(%1)"/>
      <w:numFmt w:val="decimal"/>
      <w:start w:val="1"/>
    </w:lvl>
  </w:abstractNum>
  <w:abstractNum w:abstractNumId="187">
    <w:nsid w:val="775BA7C1"/>
    <w:multiLevelType w:val="hybridMultilevel"/>
    <w:lvl w:ilvl="0">
      <w:lvlJc w:val="left"/>
      <w:lvlText w:val="(%1)"/>
      <w:numFmt w:val="decimal"/>
      <w:start w:val="2"/>
    </w:lvl>
  </w:abstractNum>
  <w:abstractNum w:abstractNumId="188">
    <w:nsid w:val="1DD6D6F4"/>
    <w:multiLevelType w:val="hybridMultilevel"/>
    <w:lvl w:ilvl="0">
      <w:lvlJc w:val="left"/>
      <w:lvlText w:val="%1."/>
      <w:numFmt w:val="decimal"/>
      <w:start w:val="12"/>
    </w:lvl>
  </w:abstractNum>
  <w:abstractNum w:abstractNumId="189">
    <w:nsid w:val="769A091F"/>
    <w:multiLevelType w:val="hybridMultilevel"/>
    <w:lvl w:ilvl="0">
      <w:lvlJc w:val="left"/>
      <w:lvlText w:val="(%1)"/>
      <w:numFmt w:val="decimal"/>
      <w:start w:val="1"/>
    </w:lvl>
  </w:abstractNum>
  <w:abstractNum w:abstractNumId="190">
    <w:nsid w:val="4695AE95"/>
    <w:multiLevelType w:val="hybridMultilevel"/>
    <w:lvl w:ilvl="0">
      <w:lvlJc w:val="left"/>
      <w:lvlText w:val="(%1)"/>
      <w:numFmt w:val="decimal"/>
      <w:start w:val="4"/>
    </w:lvl>
  </w:abstractNum>
  <w:abstractNum w:abstractNumId="191">
    <w:nsid w:val="777A4EAA"/>
    <w:multiLevelType w:val="hybridMultilevel"/>
    <w:lvl w:ilvl="0">
      <w:lvlJc w:val="left"/>
      <w:lvlText w:val="%1."/>
      <w:numFmt w:val="decimal"/>
      <w:start w:val="13"/>
    </w:lvl>
  </w:abstractNum>
  <w:abstractNum w:abstractNumId="192">
    <w:nsid w:val="3F48B982"/>
    <w:multiLevelType w:val="hybridMultilevel"/>
    <w:lvl w:ilvl="0">
      <w:lvlJc w:val="left"/>
      <w:lvlText w:val="%1."/>
      <w:numFmt w:val="decimal"/>
      <w:start w:val="2"/>
    </w:lvl>
  </w:abstractNum>
  <w:abstractNum w:abstractNumId="193">
    <w:nsid w:val="46BA8FCA"/>
    <w:multiLevelType w:val="hybridMultilevel"/>
    <w:lvl w:ilvl="0">
      <w:lvlJc w:val="left"/>
      <w:lvlText w:val="(%1)"/>
      <w:numFmt w:val="decimal"/>
      <w:start w:val="1"/>
    </w:lvl>
  </w:abstractNum>
  <w:abstractNum w:abstractNumId="194">
    <w:nsid w:val="7835626C"/>
    <w:multiLevelType w:val="hybridMultilevel"/>
    <w:lvl w:ilvl="0">
      <w:lvlJc w:val="left"/>
      <w:lvlText w:val="%1."/>
      <w:numFmt w:val="decimal"/>
      <w:start w:val="1"/>
    </w:lvl>
  </w:abstractNum>
  <w:abstractNum w:abstractNumId="195">
    <w:nsid w:val="665ACA49"/>
    <w:multiLevelType w:val="hybridMultilevel"/>
    <w:lvl w:ilvl="0">
      <w:lvlJc w:val="left"/>
      <w:lvlText w:val="(%1)"/>
      <w:numFmt w:val="decimal"/>
      <w:start w:val="1"/>
    </w:lvl>
  </w:abstractNum>
  <w:abstractNum w:abstractNumId="196">
    <w:nsid w:val="6835B2AE"/>
    <w:multiLevelType w:val="hybridMultilevel"/>
    <w:lvl w:ilvl="0">
      <w:lvlJc w:val="left"/>
      <w:lvlText w:val="(%1)"/>
      <w:numFmt w:val="decimal"/>
      <w:start w:val="7"/>
    </w:lvl>
  </w:abstractNum>
  <w:abstractNum w:abstractNumId="197">
    <w:nsid w:val="4C187C90"/>
    <w:multiLevelType w:val="hybridMultilevel"/>
    <w:lvl w:ilvl="0">
      <w:lvlJc w:val="left"/>
      <w:lvlText w:val="(%1)"/>
      <w:numFmt w:val="decimal"/>
      <w:start w:val="1"/>
    </w:lvl>
  </w:abstractNum>
  <w:abstractNum w:abstractNumId="198">
    <w:nsid w:val="541F28CD"/>
    <w:multiLevelType w:val="hybridMultilevel"/>
    <w:lvl w:ilvl="0">
      <w:lvlJc w:val="left"/>
      <w:lvlText w:val="(%1)"/>
      <w:numFmt w:val="decimal"/>
      <w:start w:val="2"/>
    </w:lvl>
  </w:abstractNum>
  <w:abstractNum w:abstractNumId="199">
    <w:nsid w:val="7F65FD16"/>
    <w:multiLevelType w:val="hybridMultilevel"/>
    <w:lvl w:ilvl="0">
      <w:lvlJc w:val="left"/>
      <w:lvlText w:val="%1."/>
      <w:numFmt w:val="decimal"/>
      <w:start w:val="1"/>
    </w:lvl>
  </w:abstractNum>
  <w:abstractNum w:abstractNumId="200">
    <w:nsid w:val="77C9FD68"/>
    <w:multiLevelType w:val="hybridMultilevel"/>
    <w:lvl w:ilvl="0">
      <w:lvlJc w:val="left"/>
      <w:lvlText w:val="(%1)"/>
      <w:numFmt w:val="decimal"/>
      <w:start w:val="1"/>
    </w:lvl>
  </w:abstractNum>
  <w:abstractNum w:abstractNumId="201">
    <w:nsid w:val="298A92BA"/>
    <w:multiLevelType w:val="hybridMultilevel"/>
    <w:lvl w:ilvl="0">
      <w:lvlJc w:val="left"/>
      <w:lvlText w:val="(%1)"/>
      <w:numFmt w:val="decimal"/>
      <w:start w:val="1"/>
    </w:lvl>
  </w:abstractNum>
  <w:abstractNum w:abstractNumId="202">
    <w:nsid w:val="6FE95EAC"/>
    <w:multiLevelType w:val="hybridMultilevel"/>
    <w:lvl w:ilvl="0">
      <w:lvlJc w:val="left"/>
      <w:lvlText w:val="(%1)"/>
      <w:numFmt w:val="decimal"/>
      <w:start w:val="4"/>
    </w:lvl>
  </w:abstractNum>
  <w:abstractNum w:abstractNumId="203">
    <w:nsid w:val="4B697C7A"/>
    <w:multiLevelType w:val="hybridMultilevel"/>
    <w:lvl w:ilvl="0">
      <w:lvlJc w:val="left"/>
      <w:lvlText w:val="(%1)"/>
      <w:numFmt w:val="decimal"/>
      <w:start w:val="6"/>
    </w:lvl>
  </w:abstractNum>
  <w:abstractNum w:abstractNumId="204">
    <w:nsid w:val="51A27AA6"/>
    <w:multiLevelType w:val="hybridMultilevel"/>
    <w:lvl w:ilvl="0">
      <w:lvlJc w:val="left"/>
      <w:lvlText w:val="☒"/>
      <w:numFmt w:val="bullet"/>
      <w:start w:val="1"/>
    </w:lvl>
  </w:abstractNum>
  <w:abstractNum w:abstractNumId="205">
    <w:nsid w:val="613183F2"/>
    <w:multiLevelType w:val="hybridMultilevel"/>
    <w:lvl w:ilvl="0">
      <w:lvlJc w:val="left"/>
      <w:lvlText w:val="☒"/>
      <w:numFmt w:val="bullet"/>
      <w:start w:val="1"/>
    </w:lvl>
  </w:abstractNum>
  <w:abstractNum w:abstractNumId="206">
    <w:nsid w:val="634102B4"/>
    <w:multiLevelType w:val="hybridMultilevel"/>
    <w:lvl w:ilvl="0">
      <w:lvlJc w:val="left"/>
      <w:lvlText w:val="%1."/>
      <w:numFmt w:val="decimal"/>
      <w:start w:val="1"/>
    </w:lvl>
  </w:abstractNum>
  <w:abstractNum w:abstractNumId="207">
    <w:nsid w:val="65BF9DA8"/>
    <w:multiLevelType w:val="hybridMultilevel"/>
    <w:lvl w:ilvl="0">
      <w:lvlJc w:val="left"/>
      <w:lvlText w:val="☒"/>
      <w:numFmt w:val="bullet"/>
      <w:start w:val="1"/>
    </w:lvl>
  </w:abstractNum>
  <w:abstractNum w:abstractNumId="208">
    <w:nsid w:val="21A2ECCA"/>
    <w:multiLevelType w:val="hybridMultilevel"/>
    <w:lvl w:ilvl="0">
      <w:lvlJc w:val="left"/>
      <w:lvlText w:val="☒"/>
      <w:numFmt w:val="bullet"/>
      <w:start w:val="1"/>
    </w:lvl>
  </w:abstractNum>
  <w:abstractNum w:abstractNumId="209">
    <w:nsid w:val="4D5C4899"/>
    <w:multiLevelType w:val="hybridMultilevel"/>
    <w:lvl w:ilvl="0">
      <w:lvlJc w:val="left"/>
      <w:lvlText w:val="☒"/>
      <w:numFmt w:val="bullet"/>
      <w:start w:val="1"/>
    </w:lvl>
  </w:abstractNum>
  <w:abstractNum w:abstractNumId="210">
    <w:nsid w:val="3C3B72B2"/>
    <w:multiLevelType w:val="hybridMultilevel"/>
    <w:lvl w:ilvl="0">
      <w:lvlJc w:val="left"/>
      <w:lvlText w:val="%1."/>
      <w:numFmt w:val="decimal"/>
      <w:start w:val="5"/>
    </w:lvl>
    <w:lvl w:ilvl="1">
      <w:lvlJc w:val="left"/>
      <w:lvlText w:val="☒"/>
      <w:numFmt w:val="bullet"/>
      <w:start w:val="1"/>
    </w:lvl>
  </w:abstractNum>
  <w:abstractNum w:abstractNumId="211">
    <w:nsid w:val="155EC4C2"/>
    <w:multiLevelType w:val="hybridMultilevel"/>
    <w:lvl w:ilvl="0">
      <w:lvlJc w:val="left"/>
      <w:lvlText w:val="☒"/>
      <w:numFmt w:val="bullet"/>
      <w:start w:val="1"/>
    </w:lvl>
  </w:abstractNum>
  <w:abstractNum w:abstractNumId="212">
    <w:nsid w:val="65D2A137"/>
    <w:multiLevelType w:val="hybridMultilevel"/>
    <w:lvl w:ilvl="0">
      <w:lvlJc w:val="left"/>
      <w:lvlText w:val="%1."/>
      <w:numFmt w:val="decimal"/>
      <w:start w:val="7"/>
    </w:lvl>
    <w:lvl w:ilvl="1">
      <w:lvlJc w:val="left"/>
      <w:lvlText w:val="(%2)"/>
      <w:numFmt w:val="decimal"/>
      <w:start w:val="1"/>
    </w:lvl>
  </w:abstractNum>
  <w:abstractNum w:abstractNumId="213">
    <w:nsid w:val="6EBB1F2A"/>
    <w:multiLevelType w:val="hybridMultilevel"/>
    <w:lvl w:ilvl="0">
      <w:lvlJc w:val="left"/>
      <w:lvlText w:val="☒"/>
      <w:numFmt w:val="bullet"/>
      <w:start w:val="1"/>
    </w:lvl>
  </w:abstractNum>
  <w:abstractNum w:abstractNumId="214">
    <w:nsid w:val="6FBF29CB"/>
    <w:multiLevelType w:val="hybridMultilevel"/>
    <w:lvl w:ilvl="0">
      <w:lvlJc w:val="left"/>
      <w:lvlText w:val="%1."/>
      <w:numFmt w:val="decimal"/>
      <w:start w:val="11"/>
    </w:lvl>
  </w:abstractNum>
  <w:abstractNum w:abstractNumId="215">
    <w:nsid w:val="550B8808"/>
    <w:multiLevelType w:val="hybridMultilevel"/>
    <w:lvl w:ilvl="0">
      <w:lvlJc w:val="left"/>
      <w:lvlText w:val="(%1)"/>
      <w:numFmt w:val="decimal"/>
      <w:start w:val="1"/>
    </w:lvl>
  </w:abstractNum>
  <w:abstractNum w:abstractNumId="216">
    <w:nsid w:val="34CC3ACF"/>
    <w:multiLevelType w:val="hybridMultilevel"/>
    <w:lvl w:ilvl="0">
      <w:lvlJc w:val="left"/>
      <w:lvlText w:val="(%1)"/>
      <w:numFmt w:val="decimal"/>
      <w:start w:val="1"/>
    </w:lvl>
  </w:abstractNum>
  <w:abstractNum w:abstractNumId="217">
    <w:nsid w:val="4E556261"/>
    <w:multiLevelType w:val="hybridMultilevel"/>
    <w:lvl w:ilvl="0">
      <w:lvlJc w:val="left"/>
      <w:lvlText w:val="(%1)"/>
      <w:numFmt w:val="decimal"/>
      <w:start w:val="3"/>
    </w:lvl>
    <w:lvl w:ilvl="1">
      <w:lvlJc w:val="left"/>
      <w:lvlText w:val="%2."/>
      <w:numFmt w:val="decimal"/>
      <w:start w:val="14"/>
    </w:lvl>
  </w:abstractNum>
  <w:abstractNum w:abstractNumId="218">
    <w:nsid w:val="4C672FC9"/>
    <w:multiLevelType w:val="hybridMultilevel"/>
    <w:lvl w:ilvl="0">
      <w:lvlJc w:val="left"/>
      <w:lvlText w:val="☒"/>
      <w:numFmt w:val="bullet"/>
      <w:start w:val="1"/>
    </w:lvl>
  </w:abstractNum>
  <w:abstractNum w:abstractNumId="219">
    <w:nsid w:val="52A311C3"/>
    <w:multiLevelType w:val="hybridMultilevel"/>
    <w:lvl w:ilvl="0">
      <w:lvlJc w:val="left"/>
      <w:lvlText w:val="%1."/>
      <w:numFmt w:val="decimal"/>
      <w:start w:val="16"/>
    </w:lvl>
  </w:abstractNum>
  <w:abstractNum w:abstractNumId="220">
    <w:nsid w:val="44EF6B80"/>
    <w:multiLevelType w:val="hybridMultilevel"/>
    <w:lvl w:ilvl="0">
      <w:lvlJc w:val="left"/>
      <w:lvlText w:val="%1."/>
      <w:numFmt w:val="decimal"/>
      <w:start w:val="18"/>
    </w:lvl>
  </w:abstractNum>
  <w:abstractNum w:abstractNumId="221">
    <w:nsid w:val="12FCDE5E"/>
    <w:multiLevelType w:val="hybridMultilevel"/>
    <w:lvl w:ilvl="0">
      <w:lvlJc w:val="left"/>
      <w:lvlText w:val="%1."/>
      <w:numFmt w:val="decimal"/>
      <w:start w:val="2"/>
    </w:lvl>
  </w:abstractNum>
  <w:abstractNum w:abstractNumId="222">
    <w:nsid w:val="4A1D606E"/>
    <w:multiLevelType w:val="hybridMultilevel"/>
    <w:lvl w:ilvl="0">
      <w:lvlJc w:val="left"/>
      <w:lvlText w:val="%1."/>
      <w:numFmt w:val="decimal"/>
      <w:start w:val="1"/>
    </w:lvl>
  </w:abstractNum>
  <w:abstractNum w:abstractNumId="223">
    <w:nsid w:val="4382503"/>
    <w:multiLevelType w:val="hybridMultilevel"/>
    <w:lvl w:ilvl="0">
      <w:lvlJc w:val="left"/>
      <w:lvlText w:val="(%1)"/>
      <w:numFmt w:val="decimal"/>
      <w:start w:val="1"/>
    </w:lvl>
  </w:abstractNum>
  <w:abstractNum w:abstractNumId="224">
    <w:nsid w:val="59B76E28"/>
    <w:multiLevelType w:val="hybridMultilevel"/>
    <w:lvl w:ilvl="0">
      <w:lvlJc w:val="left"/>
      <w:lvlText w:val="(%1)"/>
      <w:numFmt w:val="decimal"/>
      <w:start w:val="1"/>
    </w:lvl>
  </w:abstractNum>
  <w:abstractNum w:abstractNumId="225">
    <w:nsid w:val="4252C2DA"/>
    <w:multiLevelType w:val="hybridMultilevel"/>
    <w:lvl w:ilvl="0">
      <w:lvlJc w:val="left"/>
      <w:lvlText w:val="(%1)"/>
      <w:numFmt w:val="decimal"/>
      <w:start w:val="1"/>
    </w:lvl>
  </w:abstractNum>
  <w:abstractNum w:abstractNumId="226">
    <w:nsid w:val="6A92EF4C"/>
    <w:multiLevelType w:val="hybridMultilevel"/>
    <w:lvl w:ilvl="0">
      <w:lvlJc w:val="left"/>
      <w:lvlText w:val="%1."/>
      <w:numFmt w:val="decimal"/>
      <w:start w:val="3"/>
    </w:lvl>
  </w:abstractNum>
  <w:abstractNum w:abstractNumId="227">
    <w:nsid w:val="41ED20D7"/>
    <w:multiLevelType w:val="hybridMultilevel"/>
    <w:lvl w:ilvl="0">
      <w:lvlJc w:val="left"/>
      <w:lvlText w:val="%1."/>
      <w:numFmt w:val="decimal"/>
      <w:start w:val="3"/>
    </w:lvl>
  </w:abstractNum>
  <w:abstractNum w:abstractNumId="228">
    <w:nsid w:val="E6B3F6A"/>
    <w:multiLevelType w:val="hybridMultilevel"/>
    <w:lvl w:ilvl="0">
      <w:lvlJc w:val="left"/>
      <w:lvlText w:val="(%1)"/>
      <w:numFmt w:val="decimal"/>
      <w:start w:val="1"/>
    </w:lvl>
  </w:abstractNum>
  <w:abstractNum w:abstractNumId="229">
    <w:nsid w:val="3EB21819"/>
    <w:multiLevelType w:val="hybridMultilevel"/>
    <w:lvl w:ilvl="0">
      <w:lvlJc w:val="left"/>
      <w:lvlText w:val="%1."/>
      <w:numFmt w:val="decimal"/>
      <w:start w:val="4"/>
    </w:lvl>
  </w:abstractNum>
  <w:abstractNum w:abstractNumId="230">
    <w:nsid w:val="41531DED"/>
    <w:multiLevelType w:val="hybridMultilevel"/>
    <w:lvl w:ilvl="0">
      <w:lvlJc w:val="left"/>
      <w:lvlText w:val="%1."/>
      <w:numFmt w:val="decimal"/>
      <w:start w:val="7"/>
    </w:lvl>
  </w:abstractNum>
  <w:abstractNum w:abstractNumId="231">
    <w:nsid w:val="6353CD2"/>
    <w:multiLevelType w:val="hybridMultilevel"/>
    <w:lvl w:ilvl="0">
      <w:lvlJc w:val="left"/>
      <w:lvlText w:val="(%1)"/>
      <w:numFmt w:val="decimal"/>
      <w:start w:val="1"/>
    </w:lvl>
  </w:abstractNum>
  <w:abstractNum w:abstractNumId="232">
    <w:nsid w:val="683CAAD3"/>
    <w:multiLevelType w:val="hybridMultilevel"/>
    <w:lvl w:ilvl="0">
      <w:lvlJc w:val="left"/>
      <w:lvlText w:val="%1."/>
      <w:numFmt w:val="decimal"/>
      <w:start w:val="1"/>
    </w:lvl>
  </w:abstractNum>
  <w:abstractNum w:abstractNumId="233">
    <w:nsid w:val="313C7C99"/>
    <w:multiLevelType w:val="hybridMultilevel"/>
    <w:lvl w:ilvl="0">
      <w:lvlJc w:val="left"/>
      <w:lvlText w:val="%1."/>
      <w:numFmt w:val="decimal"/>
      <w:start w:val="3"/>
    </w:lvl>
  </w:abstractNum>
  <w:abstractNum w:abstractNumId="234">
    <w:nsid w:val="519EB94C"/>
    <w:multiLevelType w:val="hybridMultilevel"/>
    <w:lvl w:ilvl="0">
      <w:lvlJc w:val="left"/>
      <w:lvlText w:val="%1."/>
      <w:numFmt w:val="decimal"/>
      <w:start w:val="1"/>
    </w:lvl>
  </w:abstractNum>
  <w:abstractNum w:abstractNumId="235">
    <w:nsid w:val="39DF2579"/>
    <w:multiLevelType w:val="hybridMultilevel"/>
    <w:lvl w:ilvl="0">
      <w:lvlJc w:val="left"/>
      <w:lvlText w:val="%1."/>
      <w:numFmt w:val="decimal"/>
      <w:start w:val="9"/>
    </w:lvl>
  </w:abstractNum>
  <w:abstractNum w:abstractNumId="236">
    <w:nsid w:val="126E008B"/>
    <w:multiLevelType w:val="hybridMultilevel"/>
    <w:lvl w:ilvl="0">
      <w:lvlJc w:val="left"/>
      <w:lvlText w:val="%1."/>
      <w:numFmt w:val="decimal"/>
      <w:start w:val="1"/>
    </w:lvl>
  </w:abstractNum>
  <w:abstractNum w:abstractNumId="237">
    <w:nsid w:val="34DFBC00"/>
    <w:multiLevelType w:val="hybridMultilevel"/>
    <w:lvl w:ilvl="0">
      <w:lvlJc w:val="left"/>
      <w:lvlText w:val="%1."/>
      <w:numFmt w:val="decimal"/>
      <w:start w:val="2"/>
    </w:lvl>
  </w:abstractNum>
  <w:abstractNum w:abstractNumId="238">
    <w:nsid w:val="1F9EC322"/>
    <w:multiLevelType w:val="hybridMultilevel"/>
    <w:lvl w:ilvl="0">
      <w:lvlJc w:val="left"/>
      <w:lvlText w:val="(%1)"/>
      <w:numFmt w:val="decimal"/>
      <w:start w:val="1"/>
    </w:lvl>
  </w:abstractNum>
  <w:abstractNum w:abstractNumId="239">
    <w:nsid w:val="3410ED56"/>
    <w:multiLevelType w:val="hybridMultilevel"/>
    <w:lvl w:ilvl="0">
      <w:lvlJc w:val="left"/>
      <w:lvlText w:val="(%1)"/>
      <w:numFmt w:val="decimal"/>
      <w:start w:val="5"/>
    </w:lvl>
  </w:abstractNum>
  <w:abstractNum w:abstractNumId="240">
    <w:nsid w:val="23C049A"/>
    <w:multiLevelType w:val="hybridMultilevel"/>
    <w:lvl w:ilvl="0">
      <w:lvlJc w:val="left"/>
      <w:lvlText w:val="%1."/>
      <w:numFmt w:val="decimal"/>
      <w:start w:val="5"/>
    </w:lvl>
  </w:abstractNum>
  <w:abstractNum w:abstractNumId="241">
    <w:nsid w:val="5BDA35D4"/>
    <w:multiLevelType w:val="hybridMultilevel"/>
    <w:lvl w:ilvl="0">
      <w:lvlJc w:val="left"/>
      <w:lvlText w:val="(%1)"/>
      <w:numFmt w:val="decimal"/>
      <w:start w:val="1"/>
    </w:lvl>
  </w:abstractNum>
  <w:abstractNum w:abstractNumId="242">
    <w:nsid w:val="496FB218"/>
    <w:multiLevelType w:val="hybridMultilevel"/>
    <w:lvl w:ilvl="0">
      <w:lvlJc w:val="left"/>
      <w:lvlText w:val="%1."/>
      <w:numFmt w:val="decimal"/>
      <w:start w:val="6"/>
    </w:lvl>
  </w:abstractNum>
  <w:abstractNum w:abstractNumId="243">
    <w:nsid w:val="680EA5D1"/>
    <w:multiLevelType w:val="hybridMultilevel"/>
    <w:lvl w:ilvl="0">
      <w:lvlJc w:val="left"/>
      <w:lvlText w:val="%1."/>
      <w:numFmt w:val="decimal"/>
      <w:start w:val="7"/>
    </w:lvl>
  </w:abstractNum>
  <w:abstractNum w:abstractNumId="244">
    <w:nsid w:val="4A9554FE"/>
    <w:multiLevelType w:val="hybridMultilevel"/>
    <w:lvl w:ilvl="0">
      <w:lvlJc w:val="left"/>
      <w:lvlText w:val="(%1)"/>
      <w:numFmt w:val="decimal"/>
      <w:start w:val="1"/>
    </w:lvl>
  </w:abstractNum>
  <w:abstractNum w:abstractNumId="245">
    <w:nsid w:val="392EDBE4"/>
    <w:multiLevelType w:val="hybridMultilevel"/>
    <w:lvl w:ilvl="0">
      <w:lvlJc w:val="left"/>
      <w:lvlText w:val="(%1)"/>
      <w:numFmt w:val="decimal"/>
      <w:start w:val="2"/>
    </w:lvl>
  </w:abstractNum>
  <w:abstractNum w:abstractNumId="246">
    <w:nsid w:val="3D1A2DD9"/>
    <w:multiLevelType w:val="hybridMultilevel"/>
    <w:lvl w:ilvl="0">
      <w:lvlJc w:val="left"/>
      <w:lvlText w:val="%1."/>
      <w:numFmt w:val="decimal"/>
      <w:start w:val="12"/>
    </w:lvl>
  </w:abstractNum>
  <w:abstractNum w:abstractNumId="247">
    <w:nsid w:val="7F618FCD"/>
    <w:multiLevelType w:val="hybridMultilevel"/>
    <w:lvl w:ilvl="0">
      <w:lvlJc w:val="left"/>
      <w:lvlText w:val="(%1)"/>
      <w:numFmt w:val="decimal"/>
      <w:start w:val="1"/>
    </w:lvl>
  </w:abstractNum>
  <w:abstractNum w:abstractNumId="248">
    <w:nsid w:val="7843E45"/>
    <w:multiLevelType w:val="hybridMultilevel"/>
    <w:lvl w:ilvl="0">
      <w:lvlJc w:val="left"/>
      <w:lvlText w:val="(%1)"/>
      <w:numFmt w:val="decimal"/>
      <w:start w:val="4"/>
    </w:lvl>
  </w:abstractNum>
  <w:abstractNum w:abstractNumId="249">
    <w:nsid w:val="9815DA3"/>
    <w:multiLevelType w:val="hybridMultilevel"/>
    <w:lvl w:ilvl="0">
      <w:lvlJc w:val="left"/>
      <w:lvlText w:val="%1."/>
      <w:numFmt w:val="decimal"/>
      <w:start w:val="13"/>
    </w:lvl>
  </w:abstractNum>
  <w:abstractNum w:abstractNumId="250">
    <w:nsid w:val="5204A191"/>
    <w:multiLevelType w:val="hybridMultilevel"/>
    <w:lvl w:ilvl="0">
      <w:lvlJc w:val="left"/>
      <w:lvlText w:val="%1."/>
      <w:numFmt w:val="decimal"/>
      <w:start w:val="2"/>
    </w:lvl>
  </w:abstractNum>
  <w:abstractNum w:abstractNumId="251">
    <w:nsid w:val="4C73A9C6"/>
    <w:multiLevelType w:val="hybridMultilevel"/>
    <w:lvl w:ilvl="0">
      <w:lvlJc w:val="left"/>
      <w:lvlText w:val="(%1)"/>
      <w:numFmt w:val="decimal"/>
      <w:start w:val="1"/>
    </w:lvl>
  </w:abstractNum>
  <w:abstractNum w:abstractNumId="252">
    <w:nsid w:val="1C7E3C01"/>
    <w:multiLevelType w:val="hybridMultilevel"/>
    <w:lvl w:ilvl="0">
      <w:lvlJc w:val="left"/>
      <w:lvlText w:val="%1."/>
      <w:numFmt w:val="decimal"/>
      <w:start w:val="1"/>
    </w:lvl>
  </w:abstractNum>
  <w:abstractNum w:abstractNumId="253">
    <w:nsid w:val="1C2201FF"/>
    <w:multiLevelType w:val="hybridMultilevel"/>
    <w:lvl w:ilvl="0">
      <w:lvlJc w:val="left"/>
      <w:lvlText w:val="(%1)"/>
      <w:numFmt w:val="decimal"/>
      <w:start w:val="1"/>
    </w:lvl>
  </w:abstractNum>
  <w:abstractNum w:abstractNumId="254">
    <w:nsid w:val="50ABCEC9"/>
    <w:multiLevelType w:val="hybridMultilevel"/>
    <w:lvl w:ilvl="0">
      <w:lvlJc w:val="left"/>
      <w:lvlText w:val="(%1)"/>
      <w:numFmt w:val="decimal"/>
      <w:start w:val="7"/>
    </w:lvl>
  </w:abstractNum>
  <w:abstractNum w:abstractNumId="255">
    <w:nsid w:val="7635AA2A"/>
    <w:multiLevelType w:val="hybridMultilevel"/>
    <w:lvl w:ilvl="0">
      <w:lvlJc w:val="left"/>
      <w:lvlText w:val="(%1)"/>
      <w:numFmt w:val="decimal"/>
      <w:start w:val="1"/>
    </w:lvl>
  </w:abstractNum>
  <w:abstractNum w:abstractNumId="256">
    <w:nsid w:val="5E74C4D9"/>
    <w:multiLevelType w:val="hybridMultilevel"/>
    <w:lvl w:ilvl="0">
      <w:lvlJc w:val="left"/>
      <w:lvlText w:val="(%1)"/>
      <w:numFmt w:val="decimal"/>
      <w:start w:val="2"/>
    </w:lvl>
  </w:abstractNum>
  <w:abstractNum w:abstractNumId="257">
    <w:nsid w:val="3B3EBE15"/>
    <w:multiLevelType w:val="hybridMultilevel"/>
    <w:lvl w:ilvl="0">
      <w:lvlJc w:val="left"/>
      <w:lvlText w:val="%1."/>
      <w:numFmt w:val="decimal"/>
      <w:start w:val="1"/>
    </w:lvl>
  </w:abstractNum>
  <w:abstractNum w:abstractNumId="258">
    <w:nsid w:val="3822CB01"/>
    <w:multiLevelType w:val="hybridMultilevel"/>
    <w:lvl w:ilvl="0">
      <w:lvlJc w:val="left"/>
      <w:lvlText w:val="(%1)"/>
      <w:numFmt w:val="decimal"/>
      <w:start w:val="1"/>
    </w:lvl>
  </w:abstractNum>
  <w:abstractNum w:abstractNumId="259">
    <w:nsid w:val="6CE00443"/>
    <w:multiLevelType w:val="hybridMultilevel"/>
    <w:lvl w:ilvl="0">
      <w:lvlJc w:val="left"/>
      <w:lvlText w:val="(%1)"/>
      <w:numFmt w:val="decimal"/>
      <w:start w:val="1"/>
    </w:lvl>
  </w:abstractNum>
  <w:abstractNum w:abstractNumId="260">
    <w:nsid w:val="79F0D62F"/>
    <w:multiLevelType w:val="hybridMultilevel"/>
    <w:lvl w:ilvl="0">
      <w:lvlJc w:val="left"/>
      <w:lvlText w:val="(%1)"/>
      <w:numFmt w:val="decimal"/>
      <w:start w:val="4"/>
    </w:lvl>
  </w:abstractNum>
  <w:abstractNum w:abstractNumId="261">
    <w:nsid w:val="7975E8EE"/>
    <w:multiLevelType w:val="hybridMultilevel"/>
    <w:lvl w:ilvl="0">
      <w:lvlJc w:val="left"/>
      <w:lvlText w:val="(%1)"/>
      <w:numFmt w:val="decimal"/>
      <w:start w:val="6"/>
    </w:lvl>
  </w:abstractNum>
  <w:abstractNum w:abstractNumId="262">
    <w:nsid w:val="73154115"/>
    <w:multiLevelType w:val="hybridMultilevel"/>
    <w:lvl w:ilvl="0">
      <w:lvlJc w:val="left"/>
      <w:lvlText w:val="▲▲"/>
      <w:numFmt w:val="bullet"/>
      <w:start w:val="1"/>
    </w:lvl>
  </w:abstractNum>
  <w:abstractNum w:abstractNumId="263">
    <w:nsid w:val="622D8102"/>
    <w:multiLevelType w:val="hybridMultilevel"/>
    <w:lvl w:ilvl="0">
      <w:lvlJc w:val="left"/>
      <w:lvlText w:val="(%1)"/>
      <w:numFmt w:val="decimal"/>
      <w:start w:val="1"/>
    </w:lvl>
  </w:abstractNum>
  <w:abstractNum w:abstractNumId="264">
    <w:nsid w:val="2AB26587"/>
    <w:multiLevelType w:val="hybridMultilevel"/>
    <w:lvl w:ilvl="0">
      <w:lvlJc w:val="left"/>
      <w:lvlText w:val="(%1)"/>
      <w:numFmt w:val="decimal"/>
      <w:start w:val="7"/>
    </w:lvl>
  </w:abstractNum>
  <w:abstractNum w:abstractNumId="265">
    <w:nsid w:val="44B3FA61"/>
    <w:multiLevelType w:val="hybridMultilevel"/>
    <w:lvl w:ilvl="0">
      <w:lvlJc w:val="left"/>
      <w:lvlText w:val="▲▲"/>
      <w:numFmt w:val="bullet"/>
      <w:start w:val="1"/>
    </w:lvl>
  </w:abstractNum>
  <w:abstractNum w:abstractNumId="266">
    <w:nsid w:val="1C0CA67C"/>
    <w:multiLevelType w:val="hybridMultilevel"/>
    <w:lvl w:ilvl="0">
      <w:lvlJc w:val="left"/>
      <w:lvlText w:val="▲▲"/>
      <w:numFmt w:val="bullet"/>
      <w:start w:val="1"/>
    </w:lvl>
  </w:abstractNum>
  <w:abstractNum w:abstractNumId="267">
    <w:nsid w:val="3D206613"/>
    <w:multiLevelType w:val="hybridMultilevel"/>
    <w:lvl w:ilvl="0">
      <w:lvlJc w:val="left"/>
      <w:lvlText w:val="▲▲"/>
      <w:numFmt w:val="bullet"/>
      <w:start w:val="1"/>
    </w:lvl>
  </w:abstractNum>
  <w:abstractNum w:abstractNumId="268">
    <w:nsid w:val="7993B662"/>
    <w:multiLevelType w:val="hybridMultilevel"/>
    <w:lvl w:ilvl="0">
      <w:lvlJc w:val="left"/>
      <w:lvlText w:val="▲▲"/>
      <w:numFmt w:val="bullet"/>
      <w:start w:val="1"/>
    </w:lvl>
  </w:abstractNum>
  <w:abstractNum w:abstractNumId="269">
    <w:nsid w:val="3BAB699E"/>
    <w:multiLevelType w:val="hybridMultilevel"/>
    <w:lvl w:ilvl="0">
      <w:lvlJc w:val="left"/>
      <w:lvlText w:val="▲▲"/>
      <w:numFmt w:val="bullet"/>
      <w:start w:val="1"/>
    </w:lvl>
  </w:abstractNum>
  <w:abstractNum w:abstractNumId="270">
    <w:nsid w:val="71315369"/>
    <w:multiLevelType w:val="hybridMultilevel"/>
    <w:lvl w:ilvl="0">
      <w:lvlJc w:val="left"/>
      <w:lvlText w:val="(%1)"/>
      <w:numFmt w:val="decimal"/>
      <w:start w:val="1"/>
    </w:lvl>
  </w:abstractNum>
  <w:abstractNum w:abstractNumId="271">
    <w:nsid w:val="7BCFBAFC"/>
    <w:multiLevelType w:val="hybridMultilevel"/>
    <w:lvl w:ilvl="0">
      <w:lvlJc w:val="left"/>
      <w:lvlText w:val="▲▲"/>
      <w:numFmt w:val="bullet"/>
      <w:start w:val="1"/>
    </w:lvl>
  </w:abstractNum>
  <w:abstractNum w:abstractNumId="272">
    <w:nsid w:val="17859F72"/>
    <w:multiLevelType w:val="hybridMultilevel"/>
    <w:lvl w:ilvl="0">
      <w:lvlJc w:val="left"/>
      <w:lvlText w:val="▲▲"/>
      <w:numFmt w:val="bullet"/>
      <w:start w:val="1"/>
    </w:lvl>
  </w:abstractNum>
  <w:abstractNum w:abstractNumId="273">
    <w:nsid w:val="3AA10581"/>
    <w:multiLevelType w:val="hybridMultilevel"/>
    <w:lvl w:ilvl="0">
      <w:lvlJc w:val="left"/>
      <w:lvlText w:val="▲▲"/>
      <w:numFmt w:val="bullet"/>
      <w:start w:val="1"/>
    </w:lvl>
  </w:abstractNum>
  <w:abstractNum w:abstractNumId="274">
    <w:nsid w:val="63DE60CD"/>
    <w:multiLevelType w:val="hybridMultilevel"/>
    <w:lvl w:ilvl="0">
      <w:lvlJc w:val="left"/>
      <w:lvlText w:val="▲▲"/>
      <w:numFmt w:val="bullet"/>
      <w:start w:val="1"/>
    </w:lvl>
  </w:abstractNum>
  <w:abstractNum w:abstractNumId="275">
    <w:nsid w:val="621AF471"/>
    <w:multiLevelType w:val="hybridMultilevel"/>
    <w:lvl w:ilvl="0">
      <w:lvlJc w:val="left"/>
      <w:lvlText w:val="▲▲"/>
      <w:numFmt w:val="bullet"/>
      <w:start w:val="1"/>
    </w:lvl>
  </w:abstractNum>
  <w:abstractNum w:abstractNumId="276">
    <w:nsid w:val="73CFE165"/>
    <w:multiLevelType w:val="hybridMultilevel"/>
    <w:lvl w:ilvl="0">
      <w:lvlJc w:val="left"/>
      <w:lvlText w:val="(%1)"/>
      <w:numFmt w:val="decimal"/>
      <w:start w:val="1"/>
    </w:lvl>
  </w:abstractNum>
  <w:abstractNum w:abstractNumId="277">
    <w:nsid w:val="20F88EA6"/>
    <w:multiLevelType w:val="hybridMultilevel"/>
    <w:lvl w:ilvl="0">
      <w:lvlJc w:val="left"/>
      <w:lvlText w:val="(%1)"/>
      <w:numFmt w:val="decimal"/>
      <w:start w:val="1"/>
    </w:lvl>
  </w:abstractNum>
  <w:abstractNum w:abstractNumId="278">
    <w:nsid w:val="617C843E"/>
    <w:multiLevelType w:val="hybridMultilevel"/>
    <w:lvl w:ilvl="0">
      <w:lvlJc w:val="left"/>
      <w:lvlText w:val="(%1)"/>
      <w:numFmt w:val="decimal"/>
      <w:start w:val="10"/>
    </w:lvl>
  </w:abstractNum>
  <w:abstractNum w:abstractNumId="279">
    <w:nsid w:val="7B541FAB"/>
    <w:multiLevelType w:val="hybridMultilevel"/>
    <w:lvl w:ilvl="0">
      <w:lvlJc w:val="left"/>
      <w:lvlText w:val="▲▲"/>
      <w:numFmt w:val="bullet"/>
      <w:start w:val="1"/>
    </w:lvl>
  </w:abstractNum>
  <w:abstractNum w:abstractNumId="280">
    <w:nsid w:val="2A79EC49"/>
    <w:multiLevelType w:val="hybridMultilevel"/>
    <w:lvl w:ilvl="0">
      <w:lvlJc w:val="left"/>
      <w:lvlText w:val="▲▲"/>
      <w:numFmt w:val="bullet"/>
      <w:start w:val="1"/>
    </w:lvl>
  </w:abstractNum>
  <w:abstractNum w:abstractNumId="281">
    <w:nsid w:val="338125CF"/>
    <w:multiLevelType w:val="hybridMultilevel"/>
    <w:lvl w:ilvl="0">
      <w:lvlJc w:val="left"/>
      <w:lvlText w:val="(%1)"/>
      <w:numFmt w:val="decimal"/>
      <w:start w:val="1"/>
    </w:lvl>
  </w:abstractNum>
  <w:abstractNum w:abstractNumId="282">
    <w:nsid w:val="47C7C971"/>
    <w:multiLevelType w:val="hybridMultilevel"/>
    <w:lvl w:ilvl="0">
      <w:lvlJc w:val="left"/>
      <w:lvlText w:val="(%1)"/>
      <w:numFmt w:val="decimal"/>
      <w:start w:val="4"/>
    </w:lvl>
  </w:abstractNum>
  <w:abstractNum w:abstractNumId="283">
    <w:nsid w:val="46F8284B"/>
    <w:multiLevelType w:val="hybridMultilevel"/>
    <w:lvl w:ilvl="0">
      <w:lvlJc w:val="left"/>
      <w:lvlText w:val="(%1)"/>
      <w:numFmt w:val="decimal"/>
      <w:start w:val="1"/>
    </w:lvl>
  </w:abstractNum>
  <w:abstractNum w:abstractNumId="284">
    <w:nsid w:val="4FA327CE"/>
    <w:multiLevelType w:val="hybridMultilevel"/>
    <w:lvl w:ilvl="0">
      <w:lvlJc w:val="left"/>
      <w:lvlText w:val="(%1)"/>
      <w:numFmt w:val="decimal"/>
      <w:start w:val="1"/>
    </w:lvl>
  </w:abstractNum>
  <w:abstractNum w:abstractNumId="285">
    <w:nsid w:val="1873983A"/>
    <w:multiLevelType w:val="hybridMultilevel"/>
    <w:lvl w:ilvl="0">
      <w:lvlJc w:val="left"/>
      <w:lvlText w:val="(%1)"/>
      <w:numFmt w:val="decimal"/>
      <w:start w:val="1"/>
    </w:lvl>
  </w:abstractNum>
  <w:abstractNum w:abstractNumId="286">
    <w:nsid w:val="3D2DD275"/>
    <w:multiLevelType w:val="hybridMultilevel"/>
    <w:lvl w:ilvl="0">
      <w:lvlJc w:val="left"/>
      <w:lvlText w:val="(%1)"/>
      <w:numFmt w:val="decimal"/>
      <w:start w:val="1"/>
    </w:lvl>
  </w:abstractNum>
  <w:abstractNum w:abstractNumId="287">
    <w:nsid w:val="2E17ECA7"/>
    <w:multiLevelType w:val="hybridMultilevel"/>
    <w:lvl w:ilvl="0">
      <w:lvlJc w:val="left"/>
      <w:lvlText w:val="(%1)"/>
      <w:numFmt w:val="decimal"/>
      <w:start w:val="1"/>
    </w:lvl>
  </w:abstractNum>
  <w:abstractNum w:abstractNumId="288">
    <w:nsid w:val="53B2564F"/>
    <w:multiLevelType w:val="hybridMultilevel"/>
    <w:lvl w:ilvl="0">
      <w:lvlJc w:val="left"/>
      <w:lvlText w:val="(%1)"/>
      <w:numFmt w:val="decimal"/>
      <w:start w:val="1"/>
    </w:lvl>
  </w:abstractNum>
  <w:abstractNum w:abstractNumId="289">
    <w:nsid w:val="75509D76"/>
    <w:multiLevelType w:val="hybridMultilevel"/>
    <w:lvl w:ilvl="0">
      <w:lvlJc w:val="left"/>
      <w:lvlText w:val="(%1)"/>
      <w:numFmt w:val="decimal"/>
      <w:start w:val="1"/>
    </w:lvl>
  </w:abstractNum>
  <w:abstractNum w:abstractNumId="290">
    <w:nsid w:val="1AF7F0EA"/>
    <w:multiLevelType w:val="hybridMultilevel"/>
    <w:lvl w:ilvl="0">
      <w:lvlJc w:val="left"/>
      <w:lvlText w:val="▲▲"/>
      <w:numFmt w:val="bullet"/>
      <w:start w:val="1"/>
    </w:lvl>
  </w:abstractNum>
  <w:abstractNum w:abstractNumId="291">
    <w:nsid w:val="4DA32C7E"/>
    <w:multiLevelType w:val="hybridMultilevel"/>
    <w:lvl w:ilvl="0">
      <w:lvlJc w:val="left"/>
      <w:lvlText w:val="(%1)"/>
      <w:numFmt w:val="decimal"/>
      <w:start w:val="1"/>
    </w:lvl>
  </w:abstractNum>
  <w:abstractNum w:abstractNumId="292">
    <w:nsid w:val="6EC68664"/>
    <w:multiLevelType w:val="hybridMultilevel"/>
    <w:lvl w:ilvl="0">
      <w:lvlJc w:val="left"/>
      <w:lvlText w:val="(%1)"/>
      <w:numFmt w:val="decimal"/>
      <w:start w:val="7"/>
    </w:lvl>
  </w:abstractNum>
  <w:abstractNum w:abstractNumId="293">
    <w:nsid w:val="E0D31FF"/>
    <w:multiLevelType w:val="hybridMultilevel"/>
    <w:lvl w:ilvl="0">
      <w:lvlJc w:val="left"/>
      <w:lvlText w:val="▲▲"/>
      <w:numFmt w:val="bullet"/>
      <w:start w:val="1"/>
    </w:lvl>
  </w:abstractNum>
  <w:abstractNum w:abstractNumId="294">
    <w:nsid w:val="2FD0AD81"/>
    <w:multiLevelType w:val="hybridMultilevel"/>
    <w:lvl w:ilvl="0">
      <w:lvlJc w:val="left"/>
      <w:lvlText w:val="▲▲"/>
      <w:numFmt w:val="bullet"/>
      <w:start w:val="1"/>
    </w:lvl>
  </w:abstractNum>
  <w:abstractNum w:abstractNumId="295">
    <w:nsid w:val="1978EBEB"/>
    <w:multiLevelType w:val="hybridMultilevel"/>
    <w:lvl w:ilvl="0">
      <w:lvlJc w:val="left"/>
      <w:lvlText w:val="▲▲"/>
      <w:numFmt w:val="bullet"/>
      <w:start w:val="1"/>
    </w:lvl>
  </w:abstractNum>
  <w:abstractNum w:abstractNumId="296">
    <w:nsid w:val="52C12C61"/>
    <w:multiLevelType w:val="hybridMultilevel"/>
    <w:lvl w:ilvl="0">
      <w:lvlJc w:val="left"/>
      <w:lvlText w:val="▲▲"/>
      <w:numFmt w:val="bullet"/>
      <w:start w:val="1"/>
    </w:lvl>
  </w:abstractNum>
  <w:abstractNum w:abstractNumId="297">
    <w:nsid w:val="4BDD53FD"/>
    <w:multiLevelType w:val="hybridMultilevel"/>
    <w:lvl w:ilvl="0">
      <w:lvlJc w:val="left"/>
      <w:lvlText w:val="▲▲"/>
      <w:numFmt w:val="bullet"/>
      <w:start w:val="1"/>
    </w:lvl>
  </w:abstractNum>
  <w:abstractNum w:abstractNumId="298">
    <w:nsid w:val="569951FE"/>
    <w:multiLevelType w:val="hybridMultilevel"/>
    <w:lvl w:ilvl="0">
      <w:lvlJc w:val="left"/>
      <w:lvlText w:val="(%1)"/>
      <w:numFmt w:val="decimal"/>
      <w:start w:val="1"/>
    </w:lvl>
  </w:abstractNum>
  <w:abstractNum w:abstractNumId="299">
    <w:nsid w:val="4C54E2C3"/>
    <w:multiLevelType w:val="hybridMultilevel"/>
    <w:lvl w:ilvl="0">
      <w:lvlJc w:val="left"/>
      <w:lvlText w:val="▲▲"/>
      <w:numFmt w:val="bullet"/>
      <w:start w:val="1"/>
    </w:lvl>
  </w:abstractNum>
  <w:abstractNum w:abstractNumId="300">
    <w:nsid w:val="788BD9B"/>
    <w:multiLevelType w:val="hybridMultilevel"/>
    <w:lvl w:ilvl="0">
      <w:lvlJc w:val="left"/>
      <w:lvlText w:val="▲▲"/>
      <w:numFmt w:val="bullet"/>
      <w:start w:val="1"/>
    </w:lvl>
  </w:abstractNum>
  <w:abstractNum w:abstractNumId="301">
    <w:nsid w:val="47CAA567"/>
    <w:multiLevelType w:val="hybridMultilevel"/>
    <w:lvl w:ilvl="0">
      <w:lvlJc w:val="left"/>
      <w:lvlText w:val="▲▲"/>
      <w:numFmt w:val="bullet"/>
      <w:start w:val="1"/>
    </w:lvl>
  </w:abstractNum>
  <w:abstractNum w:abstractNumId="302">
    <w:nsid w:val="48249DBF"/>
    <w:multiLevelType w:val="hybridMultilevel"/>
    <w:lvl w:ilvl="0">
      <w:lvlJc w:val="left"/>
      <w:lvlText w:val="▲▲"/>
      <w:numFmt w:val="bullet"/>
      <w:start w:val="1"/>
    </w:lvl>
  </w:abstractNum>
  <w:abstractNum w:abstractNumId="303">
    <w:nsid w:val="1F0E5D0D"/>
    <w:multiLevelType w:val="hybridMultilevel"/>
    <w:lvl w:ilvl="0">
      <w:lvlJc w:val="left"/>
      <w:lvlText w:val="▲▲"/>
      <w:numFmt w:val="bullet"/>
      <w:start w:val="1"/>
    </w:lvl>
  </w:abstractNum>
  <w:abstractNum w:abstractNumId="304">
    <w:nsid w:val="26BAAE9"/>
    <w:multiLevelType w:val="hybridMultilevel"/>
    <w:lvl w:ilvl="0">
      <w:lvlJc w:val="left"/>
      <w:lvlText w:val="(%1)"/>
      <w:numFmt w:val="decimal"/>
      <w:start w:val="1"/>
    </w:lvl>
  </w:abstractNum>
  <w:abstractNum w:abstractNumId="305">
    <w:nsid w:val="2C02FE8C"/>
    <w:multiLevelType w:val="hybridMultilevel"/>
    <w:lvl w:ilvl="0">
      <w:lvlJc w:val="left"/>
      <w:lvlText w:val="(%1)"/>
      <w:numFmt w:val="decimal"/>
      <w:start w:val="1"/>
    </w:lvl>
  </w:abstractNum>
  <w:abstractNum w:abstractNumId="306">
    <w:nsid w:val="129517E"/>
    <w:multiLevelType w:val="hybridMultilevel"/>
    <w:lvl w:ilvl="0">
      <w:lvlJc w:val="left"/>
      <w:lvlText w:val="(%1)"/>
      <w:numFmt w:val="decimal"/>
      <w:start w:val="10"/>
    </w:lvl>
  </w:abstractNum>
  <w:abstractNum w:abstractNumId="307">
    <w:nsid w:val="763B8C4E"/>
    <w:multiLevelType w:val="hybridMultilevel"/>
    <w:lvl w:ilvl="0">
      <w:lvlJc w:val="left"/>
      <w:lvlText w:val="▲▲"/>
      <w:numFmt w:val="bullet"/>
      <w:start w:val="1"/>
    </w:lvl>
  </w:abstractNum>
  <w:abstractNum w:abstractNumId="308">
    <w:nsid w:val="4CFB8D32"/>
    <w:multiLevelType w:val="hybridMultilevel"/>
    <w:lvl w:ilvl="0">
      <w:lvlJc w:val="left"/>
      <w:lvlText w:val="▲▲"/>
      <w:numFmt w:val="bullet"/>
      <w:start w:val="1"/>
    </w:lvl>
  </w:abstractNum>
  <w:abstractNum w:abstractNumId="309">
    <w:nsid w:val="62A5D5BD"/>
    <w:multiLevelType w:val="hybridMultilevel"/>
    <w:lvl w:ilvl="0">
      <w:lvlJc w:val="left"/>
      <w:lvlText w:val="(%1)"/>
      <w:numFmt w:val="decimal"/>
      <w:start w:val="1"/>
    </w:lvl>
  </w:abstractNum>
  <w:abstractNum w:abstractNumId="310">
    <w:nsid w:val="718FABF9"/>
    <w:multiLevelType w:val="hybridMultilevel"/>
    <w:lvl w:ilvl="0">
      <w:lvlJc w:val="left"/>
      <w:lvlText w:val="(%1)"/>
      <w:numFmt w:val="decimal"/>
      <w:start w:val="4"/>
    </w:lvl>
  </w:abstractNum>
  <w:abstractNum w:abstractNumId="311">
    <w:nsid w:val="7775797C"/>
    <w:multiLevelType w:val="hybridMultilevel"/>
    <w:lvl w:ilvl="0">
      <w:lvlJc w:val="left"/>
      <w:lvlText w:val="(%1)"/>
      <w:numFmt w:val="decimal"/>
      <w:start w:val="1"/>
    </w:lvl>
  </w:abstractNum>
  <w:abstractNum w:abstractNumId="312">
    <w:nsid w:val="1626FB8C"/>
    <w:multiLevelType w:val="hybridMultilevel"/>
    <w:lvl w:ilvl="0">
      <w:lvlJc w:val="left"/>
      <w:lvlText w:val="(%1)"/>
      <w:numFmt w:val="decimal"/>
      <w:start w:val="1"/>
    </w:lvl>
  </w:abstractNum>
  <w:abstractNum w:abstractNumId="313">
    <w:nsid w:val="3957756A"/>
    <w:multiLevelType w:val="hybridMultilevel"/>
    <w:lvl w:ilvl="0">
      <w:lvlJc w:val="left"/>
      <w:lvlText w:val="(%1)"/>
      <w:numFmt w:val="decimal"/>
      <w:start w:val="1"/>
    </w:lvl>
  </w:abstractNum>
  <w:abstractNum w:abstractNumId="314">
    <w:nsid w:val="3E6DA1C7"/>
    <w:multiLevelType w:val="hybridMultilevel"/>
    <w:lvl w:ilvl="0">
      <w:lvlJc w:val="left"/>
      <w:lvlText w:val="(%1)"/>
      <w:numFmt w:val="decimal"/>
      <w:start w:val="1"/>
    </w:lvl>
  </w:abstractNum>
  <w:abstractNum w:abstractNumId="315">
    <w:nsid w:val="65CA235B"/>
    <w:multiLevelType w:val="hybridMultilevel"/>
    <w:lvl w:ilvl="0">
      <w:lvlJc w:val="left"/>
      <w:lvlText w:val="☐"/>
      <w:numFmt w:val="bullet"/>
      <w:start w:val="1"/>
    </w:lvl>
  </w:abstractNum>
  <w:abstractNum w:abstractNumId="316">
    <w:nsid w:val="51CB0DA4"/>
    <w:multiLevelType w:val="hybridMultilevel"/>
    <w:lvl w:ilvl="0">
      <w:lvlJc w:val="left"/>
      <w:lvlText w:val="(%1)"/>
      <w:numFmt w:val="decimal"/>
      <w:start w:val="1"/>
    </w:lvl>
  </w:abstractNum>
  <w:abstractNum w:abstractNumId="317">
    <w:nsid w:val="7B9B743C"/>
    <w:multiLevelType w:val="hybridMultilevel"/>
    <w:lvl w:ilvl="0">
      <w:lvlJc w:val="left"/>
      <w:lvlText w:val="(%1)"/>
      <w:numFmt w:val="decimal"/>
      <w:start w:val="1"/>
    </w:lvl>
  </w:abstractNum>
  <w:abstractNum w:abstractNumId="318">
    <w:nsid w:val="13E21002"/>
    <w:multiLevelType w:val="hybridMultilevel"/>
    <w:lvl w:ilvl="0">
      <w:lvlJc w:val="left"/>
      <w:lvlText w:val="(%1)"/>
      <w:numFmt w:val="decimal"/>
      <w:start w:val="1"/>
    </w:lvl>
  </w:abstractNum>
  <w:abstractNum w:abstractNumId="319">
    <w:nsid w:val="257D63F4"/>
    <w:multiLevelType w:val="hybridMultilevel"/>
    <w:lvl w:ilvl="0">
      <w:lvlJc w:val="left"/>
      <w:lvlText w:val="%1."/>
      <w:numFmt w:val="decimal"/>
      <w:start w:val="1"/>
    </w:lvl>
    <w:lvl w:ilvl="1">
      <w:lvlJc w:val="left"/>
      <w:lvlText w:val="%2."/>
      <w:numFmt w:val="lowerLetter"/>
      <w:start w:val="1"/>
    </w:lvl>
  </w:abstractNum>
  <w:abstractNum w:abstractNumId="320">
    <w:nsid w:val="70EC11B2"/>
    <w:multiLevelType w:val="hybridMultilevel"/>
    <w:lvl w:ilvl="0">
      <w:lvlJc w:val="left"/>
      <w:lvlText w:val="%1."/>
      <w:numFmt w:val="decimal"/>
      <w:start w:val="1"/>
    </w:lvl>
    <w:lvl w:ilvl="1">
      <w:lvlJc w:val="left"/>
      <w:lvlText w:val="%2."/>
      <w:numFmt w:val="lowerLetter"/>
      <w:start w:val="1"/>
    </w:lvl>
  </w:abstractNum>
  <w:abstractNum w:abstractNumId="321">
    <w:nsid w:val="2EDA00E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2"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271" Type="http://schemas.openxmlformats.org/officeDocument/2006/relationships/hyperlink" Target="http://www.sec.gov/Archives/edgar/data/1724542/000121390018007070/f6k052918ex1-1_clpsincorp.htm" TargetMode="External"/><Relationship Id="rId273" Type="http://schemas.openxmlformats.org/officeDocument/2006/relationships/hyperlink" Target="http://www.sec.gov/Archives/edgar/data/1724542/000121390018003524/ff12018ex3-1_clpsincorp.htm" TargetMode="External"/><Relationship Id="rId274" Type="http://schemas.openxmlformats.org/officeDocument/2006/relationships/hyperlink" Target="http://www.sec.gov/Archives/edgar/data/1724542/000121390018003524/ff12018ex4-1_clpsincorp.htm" TargetMode="External"/><Relationship Id="rId275" Type="http://schemas.openxmlformats.org/officeDocument/2006/relationships/hyperlink" Target="http://www.sec.gov/Archives/edgar/data/1724542/000121390018003524/ff12018ex10-1_clpsincorp.htm" TargetMode="External"/><Relationship Id="rId276" Type="http://schemas.openxmlformats.org/officeDocument/2006/relationships/hyperlink" Target="http://www.sec.gov/Archives/edgar/data/1724542/000121390019007304/fs82019ex10-1_clpsincorp.htm" TargetMode="External"/><Relationship Id="rId277" Type="http://schemas.openxmlformats.org/officeDocument/2006/relationships/hyperlink" Target="http://www.sec.gov/Archives/edgar/data/1724542/000121390020010075/ea121022ex10-1_clpsincorp.htm" TargetMode="External"/><Relationship Id="rId278" Type="http://schemas.openxmlformats.org/officeDocument/2006/relationships/hyperlink" Target="http://www.sec.gov/Archives/edgar/data/1724542/000121390018003524/ff12018ex10-2_clpsincorp.htm" TargetMode="External"/><Relationship Id="rId279" Type="http://schemas.openxmlformats.org/officeDocument/2006/relationships/hyperlink" Target="http://www.sec.gov/Archives/edgar/data/1724542/000121390018003524/ff12018ex10-3_clpsincorp.htm" TargetMode="External"/><Relationship Id="rId280" Type="http://schemas.openxmlformats.org/officeDocument/2006/relationships/hyperlink" Target="http://www.sec.gov/Archives/edgar/data/1724542/000121390018003524/ff12018ex10-4_clpsincorp.htm" TargetMode="External"/><Relationship Id="rId281" Type="http://schemas.openxmlformats.org/officeDocument/2006/relationships/hyperlink" Target="http://www.sec.gov/Archives/edgar/data/1724542/000121390019021899/f6k110419ex99-1_clpsincorp.htm" TargetMode="External"/><Relationship Id="rId282" Type="http://schemas.openxmlformats.org/officeDocument/2006/relationships/hyperlink" Target="http://www.sec.gov/Archives/edgar/data/1724542/000121390018003524/ff12018ex10-6_clpsincorp.htm" TargetMode="External"/><Relationship Id="rId283" Type="http://schemas.openxmlformats.org/officeDocument/2006/relationships/hyperlink" Target="http://www.sec.gov/Archives/edgar/data/1724542/000121390018003524/ff12018ex10-8_clpsincorp.htm" TargetMode="External"/><Relationship Id="rId284" Type="http://schemas.openxmlformats.org/officeDocument/2006/relationships/hyperlink" Target="https://www.sec.gov/Archives/edgar/data/1724542/000121390018006558/ff12018a2ex10-9_clpsinc.htm" TargetMode="External"/><Relationship Id="rId285" Type="http://schemas.openxmlformats.org/officeDocument/2006/relationships/hyperlink" Target="https://www.sec.gov/Archives/edgar/data/1724542/000121390018006558/ff12018a2ex10-10_clpsinc.htm" TargetMode="External"/><Relationship Id="rId286" Type="http://schemas.openxmlformats.org/officeDocument/2006/relationships/hyperlink" Target="https://www.sec.gov/Archives/edgar/data/1724542/000121390018006558/ff12018a2ex10-11_clpsinc.htm" TargetMode="External"/><Relationship Id="rId287" Type="http://schemas.openxmlformats.org/officeDocument/2006/relationships/hyperlink" Target="http://www.sec.gov/Archives/edgar/data/1724542/000121390018003524/ff12018ex14-1_clpsincorp.htm" TargetMode="External"/><Relationship Id="rId288" Type="http://schemas.openxmlformats.org/officeDocument/2006/relationships/hyperlink" Target="http://www.sec.gov/Archives/edgar/data/1724542/000121390018003524/ff12018ex99-1_clpsincorp.htm" TargetMode="External"/><Relationship Id="rId289" Type="http://schemas.openxmlformats.org/officeDocument/2006/relationships/hyperlink" Target="http://www.sec.gov/Archives/edgar/data/1724542/000121390018003524/ff12018ex99-2_clpsincorp.htm" TargetMode="External"/><Relationship Id="rId290"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2021-10-15T06:57:41Z</dcterms:created>
  <dcterms:modified xsi:type="dcterms:W3CDTF">2021-10-15T06:57:41Z</dcterms:modified>
</cp:coreProperties>
</file>