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This Draft Registration Statement has not been filed publicly with the Securities and Exchange Commission and all information contained herein</w:t>
      </w:r>
    </w:p>
    <w:p>
      <w:pPr>
        <w:spacing w:after="0" w:line="50"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remains confidential. As confidentially submitted to the Securities and Exchange Commission on [_], 2017</w:t>
      </w:r>
    </w:p>
    <w:p>
      <w:pPr>
        <w:spacing w:after="0" w:line="85"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F-1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CLPS Incorporation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Cayman Islands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0"/>
              </w:rPr>
              <w:t>[_]</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(+86) 21-31268010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principal executive offices)</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[VCorp Services,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Robert Pitt Drive, Suite 204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Monsey, NY 10952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(888) 528-2677]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areas code, of agent for service)</w:t>
      </w:r>
    </w:p>
    <w:p>
      <w:pPr>
        <w:spacing w:after="0" w:line="89" w:lineRule="exact"/>
        <w:rPr>
          <w:sz w:val="24"/>
          <w:szCs w:val="24"/>
          <w:color w:val="auto"/>
        </w:rPr>
      </w:pPr>
    </w:p>
    <w:tbl>
      <w:tblPr>
        <w:tblLayout w:type="fixed"/>
        <w:tblInd w:w="170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5340" w:type="dxa"/>
            <w:vAlign w:val="bottom"/>
          </w:tcPr>
          <w:p>
            <w:pPr>
              <w:ind w:left="720"/>
              <w:spacing w:after="0"/>
              <w:rPr>
                <w:sz w:val="20"/>
                <w:szCs w:val="20"/>
                <w:color w:val="auto"/>
              </w:rPr>
            </w:pPr>
            <w:r>
              <w:rPr>
                <w:rFonts w:ascii="Arial" w:cs="Arial" w:eastAsia="Arial" w:hAnsi="Arial"/>
                <w:sz w:val="18"/>
                <w:szCs w:val="18"/>
                <w:b w:val="1"/>
                <w:bCs w:val="1"/>
                <w:i w:val="1"/>
                <w:iCs w:val="1"/>
                <w:color w:val="auto"/>
              </w:rPr>
              <w:t>Copies to:</w:t>
            </w:r>
          </w:p>
        </w:tc>
      </w:tr>
      <w:tr>
        <w:trPr>
          <w:trHeight w:val="292"/>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Ralph V. De Martino, Esq.</w:t>
            </w:r>
          </w:p>
        </w:tc>
        <w:tc>
          <w:tcPr>
            <w:tcW w:w="5340" w:type="dxa"/>
            <w:vAlign w:val="bottom"/>
          </w:tcPr>
          <w:p>
            <w:pPr>
              <w:jc w:val="center"/>
              <w:ind w:left="2472"/>
              <w:spacing w:after="0"/>
              <w:rPr>
                <w:sz w:val="20"/>
                <w:szCs w:val="20"/>
                <w:color w:val="auto"/>
              </w:rPr>
            </w:pPr>
            <w:r>
              <w:rPr>
                <w:rFonts w:ascii="Arial" w:cs="Arial" w:eastAsia="Arial" w:hAnsi="Arial"/>
                <w:sz w:val="18"/>
                <w:szCs w:val="18"/>
                <w:b w:val="1"/>
                <w:bCs w:val="1"/>
                <w:color w:val="auto"/>
                <w:w w:val="89"/>
              </w:rPr>
              <w:t>Louis Taubman, Esq.</w:t>
            </w:r>
          </w:p>
        </w:tc>
      </w:tr>
      <w:tr>
        <w:trPr>
          <w:trHeight w:val="216"/>
        </w:trPr>
        <w:tc>
          <w:tcPr>
            <w:tcW w:w="2840" w:type="dxa"/>
            <w:vAlign w:val="bottom"/>
          </w:tcPr>
          <w:p>
            <w:pPr>
              <w:jc w:val="center"/>
              <w:ind w:right="610"/>
              <w:spacing w:after="0"/>
              <w:rPr>
                <w:sz w:val="20"/>
                <w:szCs w:val="20"/>
                <w:color w:val="auto"/>
              </w:rPr>
            </w:pPr>
            <w:r>
              <w:rPr>
                <w:rFonts w:ascii="Arial" w:cs="Arial" w:eastAsia="Arial" w:hAnsi="Arial"/>
                <w:sz w:val="18"/>
                <w:szCs w:val="18"/>
                <w:b w:val="1"/>
                <w:bCs w:val="1"/>
                <w:color w:val="auto"/>
                <w:w w:val="89"/>
              </w:rPr>
              <w:t>F. Alec Orudjev, Esq.</w:t>
            </w:r>
          </w:p>
        </w:tc>
        <w:tc>
          <w:tcPr>
            <w:tcW w:w="5340" w:type="dxa"/>
            <w:vAlign w:val="bottom"/>
          </w:tcPr>
          <w:p>
            <w:pPr>
              <w:jc w:val="center"/>
              <w:ind w:left="2472"/>
              <w:spacing w:after="0"/>
              <w:rPr>
                <w:sz w:val="20"/>
                <w:szCs w:val="20"/>
                <w:color w:val="auto"/>
              </w:rPr>
            </w:pPr>
            <w:r>
              <w:rPr>
                <w:rFonts w:ascii="Arial" w:cs="Arial" w:eastAsia="Arial" w:hAnsi="Arial"/>
                <w:sz w:val="18"/>
                <w:szCs w:val="18"/>
                <w:b w:val="1"/>
                <w:bCs w:val="1"/>
                <w:color w:val="auto"/>
                <w:w w:val="95"/>
              </w:rPr>
              <w:t>Hunter Taubman Fischer &amp; Li LLC</w:t>
            </w:r>
          </w:p>
        </w:tc>
      </w:tr>
      <w:tr>
        <w:trPr>
          <w:trHeight w:val="221"/>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5"/>
              </w:rPr>
              <w:t>Schiff Hardin LLP</w:t>
            </w:r>
          </w:p>
        </w:tc>
        <w:tc>
          <w:tcPr>
            <w:tcW w:w="5340" w:type="dxa"/>
            <w:vAlign w:val="bottom"/>
          </w:tcPr>
          <w:p>
            <w:pPr>
              <w:jc w:val="center"/>
              <w:ind w:left="2472"/>
              <w:spacing w:after="0" w:line="221" w:lineRule="exact"/>
              <w:rPr>
                <w:sz w:val="20"/>
                <w:szCs w:val="20"/>
                <w:color w:val="auto"/>
              </w:rPr>
            </w:pPr>
            <w:r>
              <w:rPr>
                <w:rFonts w:ascii="Arial" w:cs="Arial" w:eastAsia="Arial" w:hAnsi="Arial"/>
                <w:sz w:val="16"/>
                <w:szCs w:val="16"/>
                <w:b w:val="1"/>
                <w:bCs w:val="1"/>
                <w:color w:val="auto"/>
              </w:rPr>
              <w:t>1450 Broadway, 26</w:t>
            </w:r>
            <w:r>
              <w:rPr>
                <w:rFonts w:ascii="Arial" w:cs="Arial" w:eastAsia="Arial" w:hAnsi="Arial"/>
                <w:sz w:val="25"/>
                <w:szCs w:val="25"/>
                <w:b w:val="1"/>
                <w:bCs w:val="1"/>
                <w:color w:val="auto"/>
                <w:vertAlign w:val="superscript"/>
              </w:rPr>
              <w:t>th</w:t>
            </w:r>
            <w:r>
              <w:rPr>
                <w:rFonts w:ascii="Arial" w:cs="Arial" w:eastAsia="Arial" w:hAnsi="Arial"/>
                <w:sz w:val="16"/>
                <w:szCs w:val="16"/>
                <w:b w:val="1"/>
                <w:bCs w:val="1"/>
                <w:color w:val="auto"/>
              </w:rPr>
              <w:t xml:space="preserve"> Floor</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901 K Street, NW, Suite 700</w:t>
            </w:r>
          </w:p>
        </w:tc>
        <w:tc>
          <w:tcPr>
            <w:tcW w:w="5340" w:type="dxa"/>
            <w:vAlign w:val="bottom"/>
          </w:tcPr>
          <w:p>
            <w:pPr>
              <w:jc w:val="center"/>
              <w:ind w:left="2492"/>
              <w:spacing w:after="0"/>
              <w:rPr>
                <w:sz w:val="20"/>
                <w:szCs w:val="20"/>
                <w:color w:val="auto"/>
              </w:rPr>
            </w:pPr>
            <w:r>
              <w:rPr>
                <w:rFonts w:ascii="Arial" w:cs="Arial" w:eastAsia="Arial" w:hAnsi="Arial"/>
                <w:sz w:val="18"/>
                <w:szCs w:val="18"/>
                <w:b w:val="1"/>
                <w:bCs w:val="1"/>
                <w:color w:val="auto"/>
                <w:w w:val="92"/>
              </w:rPr>
              <w:t>New York, NY 10018</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Washington, DC 20001</w:t>
            </w:r>
          </w:p>
        </w:tc>
        <w:tc>
          <w:tcPr>
            <w:tcW w:w="5340" w:type="dxa"/>
            <w:vAlign w:val="bottom"/>
          </w:tcPr>
          <w:p>
            <w:pPr>
              <w:jc w:val="center"/>
              <w:ind w:left="2492"/>
              <w:spacing w:after="0"/>
              <w:rPr>
                <w:sz w:val="20"/>
                <w:szCs w:val="20"/>
                <w:color w:val="auto"/>
              </w:rPr>
            </w:pPr>
            <w:r>
              <w:rPr>
                <w:rFonts w:ascii="Arial" w:cs="Arial" w:eastAsia="Arial" w:hAnsi="Arial"/>
                <w:sz w:val="18"/>
                <w:szCs w:val="18"/>
                <w:b w:val="1"/>
                <w:bCs w:val="1"/>
                <w:color w:val="auto"/>
                <w:w w:val="91"/>
              </w:rPr>
              <w:t>Tel: 917-512-0827</w:t>
            </w:r>
          </w:p>
        </w:tc>
      </w:tr>
      <w:tr>
        <w:trPr>
          <w:trHeight w:val="234"/>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Tel: 202-724-6848</w:t>
            </w:r>
          </w:p>
        </w:tc>
        <w:tc>
          <w:tcPr>
            <w:tcW w:w="5340" w:type="dxa"/>
            <w:vAlign w:val="bottom"/>
          </w:tcPr>
          <w:p>
            <w:pPr>
              <w:spacing w:after="0"/>
              <w:rPr>
                <w:sz w:val="20"/>
                <w:szCs w:val="20"/>
                <w:color w:val="auto"/>
              </w:rPr>
            </w:pP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 As soon as practicable after this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becomes effective.</w:t>
      </w:r>
    </w:p>
    <w:p>
      <w:pPr>
        <w:spacing w:after="0" w:line="89" w:lineRule="exact"/>
        <w:rPr>
          <w:sz w:val="24"/>
          <w:szCs w:val="24"/>
          <w:color w:val="auto"/>
        </w:rPr>
      </w:pPr>
    </w:p>
    <w:p>
      <w:pPr>
        <w:spacing w:after="0"/>
        <w:rPr>
          <w:sz w:val="20"/>
          <w:szCs w:val="20"/>
          <w:color w:val="auto"/>
        </w:rPr>
      </w:pPr>
      <w:r>
        <w:rPr>
          <w:rFonts w:ascii="Arial" w:cs="Arial" w:eastAsia="Arial" w:hAnsi="Arial"/>
          <w:sz w:val="17"/>
          <w:szCs w:val="17"/>
          <w:color w:val="auto"/>
        </w:rPr>
        <w:t>Approximate date of commencement of proposed sale to the public: as soon as practicable after this Registration Statement becomes effective.</w:t>
      </w:r>
    </w:p>
    <w:p>
      <w:pPr>
        <w:spacing w:after="0" w:line="115"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61"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220"/>
        <w:spacing w:after="0" w:line="32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8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spacing w:after="0"/>
              <w:rPr>
                <w:sz w:val="18"/>
                <w:szCs w:val="18"/>
                <w:color w:val="auto"/>
              </w:rPr>
            </w:pPr>
          </w:p>
        </w:tc>
        <w:tc>
          <w:tcPr>
            <w:tcW w:w="3040" w:type="dxa"/>
            <w:vAlign w:val="bottom"/>
          </w:tcPr>
          <w:p>
            <w:pPr>
              <w:ind w:left="6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8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20"/>
              <w:spacing w:after="0"/>
              <w:rPr>
                <w:sz w:val="20"/>
                <w:szCs w:val="20"/>
                <w:color w:val="auto"/>
              </w:rPr>
            </w:pPr>
            <w:r>
              <w:rPr>
                <w:rFonts w:ascii="Arial" w:cs="Arial" w:eastAsia="Arial" w:hAnsi="Arial"/>
                <w:sz w:val="18"/>
                <w:szCs w:val="18"/>
                <w:color w:val="auto"/>
              </w:rPr>
              <w:t>(Do not check if a smaller reporting company)</w:t>
            </w:r>
          </w:p>
        </w:tc>
        <w:tc>
          <w:tcPr>
            <w:tcW w:w="3040" w:type="dxa"/>
            <w:vAlign w:val="bottom"/>
          </w:tcPr>
          <w:p>
            <w:pPr>
              <w:ind w:left="66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040" w:type="dxa"/>
            <w:vAlign w:val="bottom"/>
          </w:tcPr>
          <w:p>
            <w:pPr>
              <w:ind w:left="66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58" w:lineRule="exact"/>
        <w:rPr>
          <w:sz w:val="24"/>
          <w:szCs w:val="24"/>
          <w:color w:val="auto"/>
        </w:rPr>
      </w:pPr>
    </w:p>
    <w:p>
      <w:pPr>
        <w:ind w:right="4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3480" w:type="dxa"/>
            <w:vAlign w:val="bottom"/>
            <w:gridSpan w:val="5"/>
          </w:tcPr>
          <w:p>
            <w:pPr>
              <w:spacing w:after="0"/>
              <w:rPr>
                <w:sz w:val="20"/>
                <w:szCs w:val="20"/>
                <w:color w:val="auto"/>
              </w:rPr>
            </w:pPr>
            <w:r>
              <w:rPr>
                <w:rFonts w:ascii="Arial" w:cs="Arial" w:eastAsia="Arial" w:hAnsi="Arial"/>
                <w:sz w:val="18"/>
                <w:szCs w:val="18"/>
                <w:b w:val="1"/>
                <w:bCs w:val="1"/>
                <w:color w:val="auto"/>
              </w:rPr>
              <w:t>CALCULATION OF REGISTRATION FEE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390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6"/>
              </w:rPr>
              <w:t>Proposed</w:t>
            </w:r>
          </w:p>
        </w:tc>
        <w:tc>
          <w:tcPr>
            <w:tcW w:w="140" w:type="dxa"/>
            <w:vAlign w:val="bottom"/>
          </w:tcPr>
          <w:p>
            <w:pPr>
              <w:spacing w:after="0"/>
              <w:rPr>
                <w:sz w:val="24"/>
                <w:szCs w:val="24"/>
                <w:color w:val="auto"/>
              </w:rPr>
            </w:pPr>
          </w:p>
        </w:tc>
        <w:tc>
          <w:tcPr>
            <w:tcW w:w="118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4"/>
              </w:rPr>
              <w:t>Proposed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8"/>
                <w:szCs w:val="18"/>
                <w:color w:val="auto"/>
              </w:rPr>
            </w:pPr>
          </w:p>
        </w:tc>
        <w:tc>
          <w:tcPr>
            <w:tcW w:w="118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Aggregate</w:t>
            </w:r>
          </w:p>
        </w:tc>
        <w:tc>
          <w:tcPr>
            <w:tcW w:w="140" w:type="dxa"/>
            <w:vAlign w:val="bottom"/>
          </w:tcPr>
          <w:p>
            <w:pPr>
              <w:spacing w:after="0"/>
              <w:rPr>
                <w:sz w:val="18"/>
                <w:szCs w:val="18"/>
                <w:color w:val="auto"/>
              </w:rPr>
            </w:pPr>
          </w:p>
        </w:tc>
        <w:tc>
          <w:tcPr>
            <w:tcW w:w="118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8"/>
                <w:szCs w:val="18"/>
                <w:color w:val="auto"/>
              </w:rPr>
            </w:pPr>
          </w:p>
        </w:tc>
        <w:tc>
          <w:tcPr>
            <w:tcW w:w="11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9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 to be</w:t>
            </w:r>
          </w:p>
        </w:tc>
        <w:tc>
          <w:tcPr>
            <w:tcW w:w="140" w:type="dxa"/>
            <w:vAlign w:val="bottom"/>
          </w:tcPr>
          <w:p>
            <w:pPr>
              <w:spacing w:after="0"/>
              <w:rPr>
                <w:sz w:val="18"/>
                <w:szCs w:val="18"/>
                <w:color w:val="auto"/>
              </w:rPr>
            </w:pPr>
          </w:p>
        </w:tc>
        <w:tc>
          <w:tcPr>
            <w:tcW w:w="11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2"/>
              </w:rPr>
              <w:t>Price Per</w:t>
            </w:r>
          </w:p>
        </w:tc>
        <w:tc>
          <w:tcPr>
            <w:tcW w:w="140" w:type="dxa"/>
            <w:vAlign w:val="bottom"/>
          </w:tcPr>
          <w:p>
            <w:pPr>
              <w:spacing w:after="0"/>
              <w:rPr>
                <w:sz w:val="18"/>
                <w:szCs w:val="18"/>
                <w:color w:val="auto"/>
              </w:rPr>
            </w:pPr>
          </w:p>
        </w:tc>
        <w:tc>
          <w:tcPr>
            <w:tcW w:w="118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4"/>
              </w:rPr>
              <w:t>Offering</w:t>
            </w:r>
          </w:p>
        </w:tc>
        <w:tc>
          <w:tcPr>
            <w:tcW w:w="100" w:type="dxa"/>
            <w:vAlign w:val="bottom"/>
          </w:tcPr>
          <w:p>
            <w:pPr>
              <w:spacing w:after="0"/>
              <w:rPr>
                <w:sz w:val="18"/>
                <w:szCs w:val="18"/>
                <w:color w:val="auto"/>
              </w:rPr>
            </w:pPr>
          </w:p>
        </w:tc>
        <w:tc>
          <w:tcPr>
            <w:tcW w:w="11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9"/>
              </w:rPr>
              <w:t>Registration</w:t>
            </w:r>
          </w:p>
        </w:tc>
      </w:tr>
      <w:tr>
        <w:trPr>
          <w:trHeight w:val="241"/>
        </w:trPr>
        <w:tc>
          <w:tcPr>
            <w:tcW w:w="6100" w:type="dxa"/>
            <w:vAlign w:val="bottom"/>
            <w:gridSpan w:val="3"/>
          </w:tcPr>
          <w:p>
            <w:pPr>
              <w:ind w:left="1080"/>
              <w:spacing w:after="0"/>
              <w:rPr>
                <w:sz w:val="20"/>
                <w:szCs w:val="20"/>
                <w:color w:val="auto"/>
              </w:rPr>
            </w:pPr>
            <w:r>
              <w:rPr>
                <w:rFonts w:ascii="Arial" w:cs="Arial" w:eastAsia="Arial" w:hAnsi="Arial"/>
                <w:sz w:val="18"/>
                <w:szCs w:val="18"/>
                <w:b w:val="1"/>
                <w:bCs w:val="1"/>
                <w:color w:val="auto"/>
              </w:rPr>
              <w:t>Title of Each Class of Securities to be Registered</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Registered(2)</w:t>
            </w:r>
          </w:p>
        </w:tc>
        <w:tc>
          <w:tcPr>
            <w:tcW w:w="140" w:type="dxa"/>
            <w:vAlign w:val="bottom"/>
          </w:tcPr>
          <w:p>
            <w:pPr>
              <w:spacing w:after="0"/>
              <w:rPr>
                <w:sz w:val="20"/>
                <w:szCs w:val="20"/>
                <w:color w:val="auto"/>
              </w:rPr>
            </w:pPr>
          </w:p>
        </w:tc>
        <w:tc>
          <w:tcPr>
            <w:tcW w:w="11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Share</w:t>
            </w:r>
          </w:p>
        </w:tc>
        <w:tc>
          <w:tcPr>
            <w:tcW w:w="140" w:type="dxa"/>
            <w:vAlign w:val="bottom"/>
          </w:tcPr>
          <w:p>
            <w:pPr>
              <w:spacing w:after="0"/>
              <w:rPr>
                <w:sz w:val="20"/>
                <w:szCs w:val="20"/>
                <w:color w:val="auto"/>
              </w:rPr>
            </w:pPr>
          </w:p>
        </w:tc>
        <w:tc>
          <w:tcPr>
            <w:tcW w:w="118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3"/>
              </w:rPr>
              <w:t>Price(1)</w:t>
            </w:r>
          </w:p>
        </w:tc>
        <w:tc>
          <w:tcPr>
            <w:tcW w:w="100" w:type="dxa"/>
            <w:vAlign w:val="bottom"/>
          </w:tcPr>
          <w:p>
            <w:pPr>
              <w:spacing w:after="0"/>
              <w:rPr>
                <w:sz w:val="20"/>
                <w:szCs w:val="20"/>
                <w:color w:val="auto"/>
              </w:rPr>
            </w:pPr>
          </w:p>
        </w:tc>
        <w:tc>
          <w:tcPr>
            <w:tcW w:w="11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3"/>
              </w:rPr>
              <w:t>Fee</w:t>
            </w:r>
          </w:p>
        </w:tc>
      </w:tr>
      <w:tr>
        <w:trPr>
          <w:trHeight w:val="216"/>
        </w:trPr>
        <w:tc>
          <w:tcPr>
            <w:tcW w:w="5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Shares, $0.0001 par value per share to be sold by Registrant</w:t>
            </w: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2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8"/>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2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8"/>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2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8"/>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8"/>
              </w:rPr>
              <w:t>]</w:t>
            </w:r>
          </w:p>
        </w:tc>
      </w:tr>
      <w:tr>
        <w:trPr>
          <w:trHeight w:val="237"/>
        </w:trPr>
        <w:tc>
          <w:tcPr>
            <w:tcW w:w="6100" w:type="dxa"/>
            <w:vAlign w:val="bottom"/>
            <w:gridSpan w:val="3"/>
          </w:tcPr>
          <w:p>
            <w:pPr>
              <w:spacing w:after="0"/>
              <w:rPr>
                <w:sz w:val="20"/>
                <w:szCs w:val="20"/>
                <w:color w:val="auto"/>
              </w:rPr>
            </w:pPr>
            <w:r>
              <w:rPr>
                <w:rFonts w:ascii="Arial" w:cs="Arial" w:eastAsia="Arial" w:hAnsi="Arial"/>
                <w:sz w:val="18"/>
                <w:szCs w:val="18"/>
                <w:color w:val="auto"/>
              </w:rPr>
              <w:t>Shares underlying Representative’s warrants (3)(4)</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[_]</w:t>
            </w: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[_]</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[_]</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[_]</w:t>
            </w:r>
          </w:p>
        </w:tc>
      </w:tr>
      <w:tr>
        <w:trPr>
          <w:trHeight w:val="250"/>
        </w:trPr>
        <w:tc>
          <w:tcPr>
            <w:tcW w:w="61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20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8"/>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2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8"/>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2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8"/>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8"/>
              </w:rPr>
              <w:t>]</w:t>
            </w:r>
          </w:p>
        </w:tc>
      </w:tr>
      <w:tr>
        <w:trPr>
          <w:trHeight w:val="20"/>
        </w:trPr>
        <w:tc>
          <w:tcPr>
            <w:tcW w:w="3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460" w:right="6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in accordance with Rule 457(a) under the Securities Act of 1933, as amended.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[_] common shares which may be issued on exercise of a 45-day option granted to the underwriters to cover over-allotments, if any.</w:t>
      </w:r>
    </w:p>
    <w:p>
      <w:pPr>
        <w:spacing w:after="0" w:line="20" w:lineRule="exact"/>
        <w:rPr>
          <w:rFonts w:ascii="Arial" w:cs="Arial" w:eastAsia="Arial" w:hAnsi="Arial"/>
          <w:sz w:val="17"/>
          <w:szCs w:val="17"/>
          <w:color w:val="auto"/>
        </w:rPr>
      </w:pPr>
    </w:p>
    <w:p>
      <w:pPr>
        <w:ind w:left="460" w:right="20" w:hanging="452"/>
        <w:spacing w:after="0" w:line="265"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have agreed to issue to the underwriter, upon closing of this offering, warrants exercisable for a period of five years from the effective date of this registration statement representing [_]% of the aggregate number of common shares issued in this offering. Resales of common shares issuable upon exercise of the underwriter warrants are being similarly registered on a delayed or continuous basis. See “Underwriting.”</w:t>
      </w:r>
    </w:p>
    <w:p>
      <w:pPr>
        <w:jc w:val="both"/>
        <w:ind w:left="460" w:right="62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purposes of calculating the registration fee pursuant to Rule 457(g) under the Securities Act. We have calculated the proposed maximum aggregate offering price of the common shares underlying the underwriter’s warrants by assuming that such warrants are exercisable at a price per share equal to 120% of the price per share sold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601345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right="20"/>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is filed with the Securities and Exchange Commission is effective. This prospectus is not an offer to sell these securities and is not soliciting an offer to buy these securities in any state or other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[_],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154305</wp:posOffset>
            </wp:positionV>
            <wp:extent cx="2734310" cy="685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3431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common shares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This is the initial public offering of CLPS Incorporation. We are offering [●] common shares. We expect that the initial public offering price will be between $[_] and $[_] per common share.</w:t>
      </w:r>
    </w:p>
    <w:p>
      <w:pPr>
        <w:spacing w:after="0" w:line="170"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No public market currently exists for our common shares. We have applied for approval for quotation on the NASDAQ Capital Market under the symbol “CLPS” for the common shares we are offering. We believe that upon the completion of the offering contemplated by this prospectus, we will meet the standards for listing on the NASDAQ Capital Market.</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Act of 2012, as amended, and, as such, will be subject to reduced public company reporting requirements.</w:t>
      </w:r>
    </w:p>
    <w:p>
      <w:pPr>
        <w:spacing w:after="0" w:line="16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An investment in our securities is highly speculative, involves a high degree of risk and should be considered only by persons who can afford the loss of their entire investment. See “Risk Factors” beginning on page 11 of this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Per share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900" w:type="dxa"/>
            <w:vAlign w:val="bottom"/>
            <w:tcBorders>
              <w:top w:val="single" w:sz="8" w:color="auto"/>
            </w:tcBorders>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Underwriting discounts and commissions (1)</w:t>
            </w: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90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right="24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agreed to issue upon the closing of this offering, compensation warrants to Benchmark Company, LLC and Cuttone &amp; Co., LLC, as representatives of the underwriters, entitling them to purchase up to 5% of the number of shares sold in this offering. We have also agreed to pay a non-accountable expense allowance to the underwriters of 0.5% of the gross proceeds received in this offering and to reimburse the underwriters for other out-of-pocket expenses related to the offering. For a description of other terms of the compensation warrants and a description of the other compensation to be received by the underwriters, see “Underwriting.”</w:t>
      </w:r>
    </w:p>
    <w:p>
      <w:pPr>
        <w:spacing w:after="0" w:line="18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have granted the representatives an option, exercisable for 45 days from the date of this prospectus, to purchase up to an additional [●] common shares on the same terms as the other shares being purchased by the underwriters from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underwriters expect to deliver the common shares against payment in U.S. dollars on or about [_], 2017.</w:t>
      </w:r>
    </w:p>
    <w:p>
      <w:pPr>
        <w:spacing w:after="0" w:line="2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6520" w:type="dxa"/>
            <w:vAlign w:val="bottom"/>
          </w:tcPr>
          <w:p>
            <w:pPr>
              <w:ind w:left="2180"/>
              <w:spacing w:after="0"/>
              <w:rPr>
                <w:sz w:val="20"/>
                <w:szCs w:val="20"/>
                <w:color w:val="auto"/>
              </w:rPr>
            </w:pPr>
            <w:r>
              <w:rPr>
                <w:rFonts w:ascii="Arial" w:cs="Arial" w:eastAsia="Arial" w:hAnsi="Arial"/>
                <w:sz w:val="25"/>
                <w:szCs w:val="25"/>
                <w:b w:val="1"/>
                <w:bCs w:val="1"/>
                <w:color w:val="auto"/>
              </w:rPr>
              <w:t>Benchmark</w:t>
            </w:r>
          </w:p>
        </w:tc>
        <w:tc>
          <w:tcPr>
            <w:tcW w:w="4720" w:type="dxa"/>
            <w:vAlign w:val="bottom"/>
          </w:tcPr>
          <w:p>
            <w:pPr>
              <w:jc w:val="right"/>
              <w:ind w:right="1592"/>
              <w:spacing w:after="0"/>
              <w:rPr>
                <w:sz w:val="20"/>
                <w:szCs w:val="20"/>
                <w:color w:val="auto"/>
              </w:rPr>
            </w:pPr>
            <w:r>
              <w:rPr>
                <w:rFonts w:ascii="Arial" w:cs="Arial" w:eastAsia="Arial" w:hAnsi="Arial"/>
                <w:sz w:val="25"/>
                <w:szCs w:val="25"/>
                <w:b w:val="1"/>
                <w:bCs w:val="1"/>
                <w:color w:val="auto"/>
              </w:rPr>
              <w:t>Cuttone &amp; Co., LLC</w:t>
            </w:r>
          </w:p>
        </w:tc>
      </w:tr>
      <w:tr>
        <w:trPr>
          <w:trHeight w:val="707"/>
        </w:trPr>
        <w:tc>
          <w:tcPr>
            <w:tcW w:w="6520" w:type="dxa"/>
            <w:vAlign w:val="bottom"/>
          </w:tcPr>
          <w:p>
            <w:pPr>
              <w:ind w:left="4000"/>
              <w:spacing w:after="0"/>
              <w:rPr>
                <w:sz w:val="20"/>
                <w:szCs w:val="20"/>
                <w:color w:val="auto"/>
              </w:rPr>
            </w:pPr>
            <w:r>
              <w:rPr>
                <w:rFonts w:ascii="Arial" w:cs="Arial" w:eastAsia="Arial" w:hAnsi="Arial"/>
                <w:sz w:val="18"/>
                <w:szCs w:val="18"/>
                <w:b w:val="1"/>
                <w:bCs w:val="1"/>
                <w:color w:val="auto"/>
                <w:w w:val="97"/>
              </w:rPr>
              <w:t>The date of this prospectus is</w:t>
            </w:r>
          </w:p>
        </w:tc>
        <w:tc>
          <w:tcPr>
            <w:tcW w:w="4720" w:type="dxa"/>
            <w:vAlign w:val="bottom"/>
          </w:tcPr>
          <w:p>
            <w:pPr>
              <w:jc w:val="right"/>
              <w:ind w:right="3872"/>
              <w:spacing w:after="0"/>
              <w:rPr>
                <w:sz w:val="20"/>
                <w:szCs w:val="20"/>
                <w:color w:val="auto"/>
              </w:rPr>
            </w:pPr>
            <w:r>
              <w:rPr>
                <w:rFonts w:ascii="Arial" w:cs="Arial" w:eastAsia="Arial" w:hAnsi="Arial"/>
                <w:sz w:val="18"/>
                <w:szCs w:val="18"/>
                <w:b w:val="1"/>
                <w:bCs w:val="1"/>
                <w:color w:val="auto"/>
              </w:rPr>
              <w:t>, 2017</w:t>
            </w:r>
          </w:p>
        </w:tc>
      </w:tr>
      <w:tr>
        <w:trPr>
          <w:trHeight w:val="817"/>
        </w:trPr>
        <w:tc>
          <w:tcPr>
            <w:tcW w:w="6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86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26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99"/>
              </w:rPr>
              <w:t>1</w:t>
            </w: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2620" w:type="dxa"/>
            <w:vAlign w:val="bottom"/>
          </w:tcPr>
          <w:p>
            <w:pPr>
              <w:jc w:val="center"/>
              <w:ind w:left="1630"/>
              <w:spacing w:after="0"/>
              <w:rPr>
                <w:sz w:val="20"/>
                <w:szCs w:val="20"/>
                <w:color w:val="auto"/>
              </w:rPr>
            </w:pPr>
            <w:r>
              <w:rPr>
                <w:rFonts w:ascii="Arial" w:cs="Arial" w:eastAsia="Arial" w:hAnsi="Arial"/>
                <w:sz w:val="18"/>
                <w:szCs w:val="18"/>
                <w:color w:val="auto"/>
                <w:w w:val="89"/>
              </w:rPr>
              <w:t>11</w:t>
            </w:r>
          </w:p>
        </w:tc>
      </w:tr>
      <w:tr>
        <w:trPr>
          <w:trHeight w:val="216"/>
        </w:trPr>
        <w:tc>
          <w:tcPr>
            <w:tcW w:w="8620" w:type="dxa"/>
            <w:vAlign w:val="bottom"/>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Forward-Looking Statements</w:t>
              </w:r>
            </w:hyperlink>
          </w:p>
        </w:tc>
        <w:tc>
          <w:tcPr>
            <w:tcW w:w="26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9"/>
              </w:rPr>
              <w:t>34</w:t>
            </w: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Use of Proceeds</w:t>
              </w:r>
            </w:hyperlink>
          </w:p>
        </w:tc>
        <w:tc>
          <w:tcPr>
            <w:tcW w:w="2620" w:type="dxa"/>
            <w:vAlign w:val="bottom"/>
          </w:tcPr>
          <w:p>
            <w:pPr>
              <w:jc w:val="center"/>
              <w:ind w:left="1630"/>
              <w:spacing w:after="0"/>
              <w:rPr>
                <w:sz w:val="20"/>
                <w:szCs w:val="20"/>
                <w:color w:val="auto"/>
              </w:rPr>
            </w:pPr>
            <w:r>
              <w:rPr>
                <w:rFonts w:ascii="Arial" w:cs="Arial" w:eastAsia="Arial" w:hAnsi="Arial"/>
                <w:sz w:val="18"/>
                <w:szCs w:val="18"/>
                <w:color w:val="auto"/>
                <w:w w:val="89"/>
              </w:rPr>
              <w:t>34</w:t>
            </w:r>
          </w:p>
        </w:tc>
      </w:tr>
      <w:tr>
        <w:trPr>
          <w:trHeight w:val="216"/>
        </w:trPr>
        <w:tc>
          <w:tcPr>
            <w:tcW w:w="8620" w:type="dxa"/>
            <w:vAlign w:val="bottom"/>
            <w:shd w:val="clear" w:color="auto" w:fill="CCEEFF"/>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Dividend Policy</w:t>
              </w:r>
            </w:hyperlink>
          </w:p>
        </w:tc>
        <w:tc>
          <w:tcPr>
            <w:tcW w:w="26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9"/>
              </w:rPr>
              <w:t>35</w:t>
            </w: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Exchange Rate Information</w:t>
              </w:r>
            </w:hyperlink>
          </w:p>
        </w:tc>
        <w:tc>
          <w:tcPr>
            <w:tcW w:w="2620" w:type="dxa"/>
            <w:vAlign w:val="bottom"/>
          </w:tcPr>
          <w:p>
            <w:pPr>
              <w:jc w:val="center"/>
              <w:ind w:left="1630"/>
              <w:spacing w:after="0"/>
              <w:rPr>
                <w:sz w:val="20"/>
                <w:szCs w:val="20"/>
                <w:color w:val="auto"/>
              </w:rPr>
            </w:pPr>
            <w:r>
              <w:rPr>
                <w:rFonts w:ascii="Arial" w:cs="Arial" w:eastAsia="Arial" w:hAnsi="Arial"/>
                <w:sz w:val="18"/>
                <w:szCs w:val="18"/>
                <w:color w:val="auto"/>
                <w:w w:val="89"/>
              </w:rPr>
              <w:t>35</w:t>
            </w:r>
          </w:p>
        </w:tc>
      </w:tr>
      <w:tr>
        <w:trPr>
          <w:trHeight w:val="216"/>
        </w:trPr>
        <w:tc>
          <w:tcPr>
            <w:tcW w:w="8620" w:type="dxa"/>
            <w:vAlign w:val="bottom"/>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Capitalization</w:t>
              </w:r>
            </w:hyperlink>
          </w:p>
        </w:tc>
        <w:tc>
          <w:tcPr>
            <w:tcW w:w="26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9"/>
              </w:rPr>
              <w:t>37</w:t>
            </w: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Dilution</w:t>
              </w:r>
            </w:hyperlink>
          </w:p>
        </w:tc>
        <w:tc>
          <w:tcPr>
            <w:tcW w:w="2620" w:type="dxa"/>
            <w:vAlign w:val="bottom"/>
          </w:tcPr>
          <w:p>
            <w:pPr>
              <w:jc w:val="center"/>
              <w:ind w:left="1630"/>
              <w:spacing w:after="0"/>
              <w:rPr>
                <w:sz w:val="20"/>
                <w:szCs w:val="20"/>
                <w:color w:val="auto"/>
              </w:rPr>
            </w:pPr>
            <w:r>
              <w:rPr>
                <w:rFonts w:ascii="Arial" w:cs="Arial" w:eastAsia="Arial" w:hAnsi="Arial"/>
                <w:sz w:val="18"/>
                <w:szCs w:val="18"/>
                <w:color w:val="auto"/>
                <w:w w:val="89"/>
              </w:rPr>
              <w:t>37</w:t>
            </w:r>
          </w:p>
        </w:tc>
      </w:tr>
      <w:tr>
        <w:trPr>
          <w:trHeight w:val="216"/>
        </w:trPr>
        <w:tc>
          <w:tcPr>
            <w:tcW w:w="8620" w:type="dxa"/>
            <w:vAlign w:val="bottom"/>
            <w:shd w:val="clear" w:color="auto" w:fill="CCEEFF"/>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Selected Historical Financial and Operating Data</w:t>
              </w:r>
            </w:hyperlink>
          </w:p>
        </w:tc>
        <w:tc>
          <w:tcPr>
            <w:tcW w:w="26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9"/>
              </w:rPr>
              <w:t>36</w:t>
            </w: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Post-Offering Ownership</w:t>
              </w:r>
            </w:hyperlink>
          </w:p>
        </w:tc>
        <w:tc>
          <w:tcPr>
            <w:tcW w:w="2620" w:type="dxa"/>
            <w:vAlign w:val="bottom"/>
          </w:tcPr>
          <w:p>
            <w:pPr>
              <w:jc w:val="center"/>
              <w:ind w:left="1630"/>
              <w:spacing w:after="0"/>
              <w:rPr>
                <w:sz w:val="20"/>
                <w:szCs w:val="20"/>
                <w:color w:val="auto"/>
              </w:rPr>
            </w:pPr>
            <w:r>
              <w:rPr>
                <w:rFonts w:ascii="Arial" w:cs="Arial" w:eastAsia="Arial" w:hAnsi="Arial"/>
                <w:sz w:val="18"/>
                <w:szCs w:val="18"/>
                <w:color w:val="auto"/>
                <w:w w:val="89"/>
              </w:rPr>
              <w:t>38</w:t>
            </w:r>
          </w:p>
        </w:tc>
      </w:tr>
      <w:tr>
        <w:trPr>
          <w:trHeight w:val="216"/>
        </w:trPr>
        <w:tc>
          <w:tcPr>
            <w:tcW w:w="8620" w:type="dxa"/>
            <w:vAlign w:val="bottom"/>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Management’s Discussion and Analysis of Financial Condition and Results of Operations</w:t>
              </w:r>
            </w:hyperlink>
          </w:p>
        </w:tc>
        <w:tc>
          <w:tcPr>
            <w:tcW w:w="26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9"/>
              </w:rPr>
              <w:t>38</w:t>
            </w: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Our Business</w:t>
              </w:r>
            </w:hyperlink>
          </w:p>
        </w:tc>
        <w:tc>
          <w:tcPr>
            <w:tcW w:w="2620" w:type="dxa"/>
            <w:vAlign w:val="bottom"/>
          </w:tcPr>
          <w:p>
            <w:pPr>
              <w:jc w:val="center"/>
              <w:ind w:left="1630"/>
              <w:spacing w:after="0"/>
              <w:rPr>
                <w:sz w:val="20"/>
                <w:szCs w:val="20"/>
                <w:color w:val="auto"/>
              </w:rPr>
            </w:pPr>
            <w:r>
              <w:rPr>
                <w:rFonts w:ascii="Arial" w:cs="Arial" w:eastAsia="Arial" w:hAnsi="Arial"/>
                <w:sz w:val="18"/>
                <w:szCs w:val="18"/>
                <w:color w:val="auto"/>
                <w:w w:val="89"/>
              </w:rPr>
              <w:t>51</w:t>
            </w:r>
          </w:p>
        </w:tc>
      </w:tr>
      <w:tr>
        <w:trPr>
          <w:trHeight w:val="216"/>
        </w:trPr>
        <w:tc>
          <w:tcPr>
            <w:tcW w:w="8620" w:type="dxa"/>
            <w:vAlign w:val="bottom"/>
            <w:shd w:val="clear" w:color="auto" w:fill="CCEEFF"/>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Directors and Executive Officers</w:t>
              </w:r>
            </w:hyperlink>
          </w:p>
        </w:tc>
        <w:tc>
          <w:tcPr>
            <w:tcW w:w="26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9"/>
              </w:rPr>
              <w:t>73</w:t>
            </w: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Related Party Transactions</w:t>
              </w:r>
            </w:hyperlink>
          </w:p>
        </w:tc>
        <w:tc>
          <w:tcPr>
            <w:tcW w:w="2620" w:type="dxa"/>
            <w:vAlign w:val="bottom"/>
          </w:tcPr>
          <w:p>
            <w:pPr>
              <w:jc w:val="center"/>
              <w:ind w:left="1630"/>
              <w:spacing w:after="0"/>
              <w:rPr>
                <w:sz w:val="20"/>
                <w:szCs w:val="20"/>
                <w:color w:val="auto"/>
              </w:rPr>
            </w:pPr>
            <w:r>
              <w:rPr>
                <w:rFonts w:ascii="Arial" w:cs="Arial" w:eastAsia="Arial" w:hAnsi="Arial"/>
                <w:sz w:val="18"/>
                <w:szCs w:val="18"/>
                <w:color w:val="auto"/>
                <w:w w:val="89"/>
              </w:rPr>
              <w:t>81</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262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Description of Share Capital</w:t>
              </w:r>
            </w:hyperlink>
          </w:p>
        </w:tc>
        <w:tc>
          <w:tcPr>
            <w:tcW w:w="2620" w:type="dxa"/>
            <w:vAlign w:val="bottom"/>
          </w:tcPr>
          <w:p>
            <w:pPr>
              <w:jc w:val="center"/>
              <w:ind w:left="1630"/>
              <w:spacing w:after="0"/>
              <w:rPr>
                <w:sz w:val="20"/>
                <w:szCs w:val="20"/>
                <w:color w:val="auto"/>
              </w:rPr>
            </w:pPr>
            <w:r>
              <w:rPr>
                <w:rFonts w:ascii="Arial" w:cs="Arial" w:eastAsia="Arial" w:hAnsi="Arial"/>
                <w:sz w:val="18"/>
                <w:szCs w:val="18"/>
                <w:color w:val="auto"/>
                <w:w w:val="89"/>
              </w:rPr>
              <w:t>83</w:t>
            </w:r>
          </w:p>
        </w:tc>
      </w:tr>
      <w:tr>
        <w:trPr>
          <w:trHeight w:val="216"/>
        </w:trPr>
        <w:tc>
          <w:tcPr>
            <w:tcW w:w="8620" w:type="dxa"/>
            <w:vAlign w:val="bottom"/>
            <w:shd w:val="clear" w:color="auto" w:fill="CCEEFF"/>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Shares Eligible for Future Sale</w:t>
              </w:r>
            </w:hyperlink>
          </w:p>
        </w:tc>
        <w:tc>
          <w:tcPr>
            <w:tcW w:w="26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9"/>
              </w:rPr>
              <w:t>87</w:t>
            </w: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Tax Matters Applicable to U.S. Holders of Our Shares</w:t>
              </w:r>
            </w:hyperlink>
          </w:p>
        </w:tc>
        <w:tc>
          <w:tcPr>
            <w:tcW w:w="2620" w:type="dxa"/>
            <w:vAlign w:val="bottom"/>
          </w:tcPr>
          <w:p>
            <w:pPr>
              <w:jc w:val="center"/>
              <w:ind w:left="1630"/>
              <w:spacing w:after="0"/>
              <w:rPr>
                <w:sz w:val="20"/>
                <w:szCs w:val="20"/>
                <w:color w:val="auto"/>
              </w:rPr>
            </w:pPr>
            <w:r>
              <w:rPr>
                <w:rFonts w:ascii="Arial" w:cs="Arial" w:eastAsia="Arial" w:hAnsi="Arial"/>
                <w:sz w:val="18"/>
                <w:szCs w:val="18"/>
                <w:color w:val="auto"/>
                <w:w w:val="89"/>
              </w:rPr>
              <w:t>88</w:t>
            </w:r>
          </w:p>
        </w:tc>
      </w:tr>
      <w:tr>
        <w:trPr>
          <w:trHeight w:val="216"/>
        </w:trPr>
        <w:tc>
          <w:tcPr>
            <w:tcW w:w="8620" w:type="dxa"/>
            <w:vAlign w:val="bottom"/>
            <w:shd w:val="clear" w:color="auto" w:fill="CCEEFF"/>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Enforceability of Civil Liabilities</w:t>
              </w:r>
            </w:hyperlink>
          </w:p>
        </w:tc>
        <w:tc>
          <w:tcPr>
            <w:tcW w:w="26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9"/>
              </w:rPr>
              <w:t>95</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Determination of Offering Price</w:t>
            </w:r>
          </w:p>
        </w:tc>
        <w:tc>
          <w:tcPr>
            <w:tcW w:w="26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Underwriting</w:t>
              </w:r>
            </w:hyperlink>
          </w:p>
        </w:tc>
        <w:tc>
          <w:tcPr>
            <w:tcW w:w="26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9"/>
              </w:rPr>
              <w:t>96</w:t>
            </w: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Legal Matters</w:t>
              </w:r>
            </w:hyperlink>
          </w:p>
        </w:tc>
        <w:tc>
          <w:tcPr>
            <w:tcW w:w="2620" w:type="dxa"/>
            <w:vAlign w:val="bottom"/>
          </w:tcPr>
          <w:p>
            <w:pPr>
              <w:jc w:val="center"/>
              <w:ind w:left="1630"/>
              <w:spacing w:after="0"/>
              <w:rPr>
                <w:sz w:val="20"/>
                <w:szCs w:val="20"/>
                <w:color w:val="auto"/>
              </w:rPr>
            </w:pPr>
            <w:r>
              <w:rPr>
                <w:rFonts w:ascii="Arial" w:cs="Arial" w:eastAsia="Arial" w:hAnsi="Arial"/>
                <w:sz w:val="18"/>
                <w:szCs w:val="18"/>
                <w:color w:val="auto"/>
                <w:w w:val="89"/>
              </w:rPr>
              <w:t>99</w:t>
            </w:r>
          </w:p>
        </w:tc>
      </w:tr>
      <w:tr>
        <w:trPr>
          <w:trHeight w:val="216"/>
        </w:trPr>
        <w:tc>
          <w:tcPr>
            <w:tcW w:w="8620" w:type="dxa"/>
            <w:vAlign w:val="bottom"/>
            <w:shd w:val="clear" w:color="auto" w:fill="CCEEFF"/>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Experts</w:t>
              </w:r>
            </w:hyperlink>
          </w:p>
        </w:tc>
        <w:tc>
          <w:tcPr>
            <w:tcW w:w="262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w w:val="89"/>
              </w:rPr>
              <w:t>99</w:t>
            </w:r>
          </w:p>
        </w:tc>
      </w:tr>
      <w:tr>
        <w:trPr>
          <w:trHeight w:val="216"/>
        </w:trPr>
        <w:tc>
          <w:tcPr>
            <w:tcW w:w="8620" w:type="dxa"/>
            <w:vAlign w:val="bottom"/>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Where You Can Find More Information</w:t>
              </w:r>
            </w:hyperlink>
          </w:p>
        </w:tc>
        <w:tc>
          <w:tcPr>
            <w:tcW w:w="2620" w:type="dxa"/>
            <w:vAlign w:val="bottom"/>
          </w:tcPr>
          <w:p>
            <w:pPr>
              <w:jc w:val="center"/>
              <w:ind w:left="1630"/>
              <w:spacing w:after="0"/>
              <w:rPr>
                <w:sz w:val="20"/>
                <w:szCs w:val="20"/>
                <w:color w:val="auto"/>
              </w:rPr>
            </w:pPr>
            <w:r>
              <w:rPr>
                <w:rFonts w:ascii="Arial" w:cs="Arial" w:eastAsia="Arial" w:hAnsi="Arial"/>
                <w:sz w:val="18"/>
                <w:szCs w:val="18"/>
                <w:color w:val="auto"/>
                <w:w w:val="89"/>
              </w:rPr>
              <w:t>99</w:t>
            </w:r>
          </w:p>
        </w:tc>
      </w:tr>
      <w:tr>
        <w:trPr>
          <w:trHeight w:val="216"/>
        </w:trPr>
        <w:tc>
          <w:tcPr>
            <w:tcW w:w="8620" w:type="dxa"/>
            <w:vAlign w:val="bottom"/>
            <w:shd w:val="clear" w:color="auto" w:fill="CCEEFF"/>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Financial Statements</w:t>
              </w:r>
            </w:hyperlink>
          </w:p>
        </w:tc>
        <w:tc>
          <w:tcPr>
            <w:tcW w:w="262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F-1</w:t>
            </w:r>
          </w:p>
        </w:tc>
      </w:tr>
    </w:tbl>
    <w:p>
      <w:pPr>
        <w:spacing w:after="0" w:line="19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You should rely only on the information contained in this prospectus or in any free writing prospectus we may authorize to be delivered or made available to you. Neither we, nor the underwriters have authorized anyone to provide you with different information. The information in this prospectus is accurate only as of the date of this prospectus, regardless of the time of delivery of this prospectus, or any free writing prospectus, as the case may be, or any sale of shares in the Company.</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For investors outside the United States: </w:t>
      </w:r>
      <w:r>
        <w:rPr>
          <w:rFonts w:ascii="Arial" w:cs="Arial" w:eastAsia="Arial" w:hAnsi="Arial"/>
          <w:sz w:val="18"/>
          <w:szCs w:val="18"/>
          <w:color w:val="auto"/>
        </w:rPr>
        <w:t>Neither we, nor the underwriters have done anything that would permit this offering or possession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shares and the distribution of this prospectus outside the United States.</w:t>
      </w:r>
    </w:p>
    <w:p>
      <w:pPr>
        <w:spacing w:after="0" w:line="18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various tables may not be arithmetic aggregations of the figures that precede them. Certain market data and other statistical information contained in this prospectus is based on information from independent industry organizations, publications, surveys and forecasts. Some market data and statistical information contained in this prospectus are also based on management’s estimates and calculations, which are derived from our review and interpretation of the independent sources listed above, our internal research and our knowledge of the PRC information technology industry. While we believe such information is reliable, we have not independently verified any third-party information and our internal data has not been verified by any independent source.</w:t>
      </w:r>
    </w:p>
    <w:p>
      <w:pPr>
        <w:spacing w:after="0" w:line="19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For the sake of clarity, this prospectus follows the English naming convention of first name followed by last name, regardless of whether an individual’s name is Chinese or English.</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225" w:lineRule="exact"/>
        <w:rPr>
          <w:sz w:val="20"/>
          <w:szCs w:val="20"/>
          <w:color w:val="auto"/>
        </w:rPr>
      </w:pPr>
    </w:p>
    <w:p>
      <w:pPr>
        <w:ind w:left="660" w:right="4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Depending on the context, the terms “we,” “us,” “our company,” and “our” refer to CLPS Incorporation, a Cayman Islands company, and its subsidiary and affiliated companies: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“Qinheng” refers to Qinheng Co.,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“Qiner” refers to Qiner Co.,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“CLIVST” refers to CLIVST Ltd., a British Virgin Islands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“FDT-CL” refers to FDT-CL Financial Technology Services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“JQ” refers to JQ Technology Co.,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“JL” refers to JIALIN Technology Limited, a Taiwan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“CLPS QC (WOFE)” refers to Shanghai Qincheng Information Technology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“CLPS Shanghai” refers to ChinaLink Professional Services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“CLPS Dalian” refers to CLPS Dalian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“CLPS RC” refers to CLPS Ruicheng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“CLPS Beijing” refers to CLPS Beijing Hengtong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“Judge China” refers to Judge (Shanghai)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“Judge HR” refers to Judge (Shanghai) Human Resource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“CLPS AU” refers to CLPS Technology (Australia) Pty. Ltd., an Australian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“CLPS SG” refers to CLPS Technology (Singapore) Pte. Ltd., a Singaporean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“CLPS Hong Kong” refers to CLPS Technology (HK) Co., Ltd.,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“CLPS Shenzhen” refers to CLPS Shenzhen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“Huanyu” refers to Tianjin Huanyu Qinshang Network Technology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“CLPS Guangzhou” refers to CLPS Guangzhou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“shares” and “common shares” refer to our shares, $0.0001 par value per share;</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“China” and “PRC” refer to the People’s Republic of China, excluding, for the purposes of this prospectus only, Macau, Taiwan and Hong Kong;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references to “RMB,” “yuan” and “Renminbi” are to the legal currency of China, and all references to “USD,” and “U.S. dollars” are to the legal currency of the United States.</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Unless otherwise noted, all currency figures in this filing are in U.S. dollars. Any discrepancies in any table between the amounts identified as total amounts and the sum of the amounts listed therein are due to rounding.</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reporting currency is U.S. dollar and our functional currency is Renminbi. This prospectus contains translations of certain foreign currency amounts into U.S. dollars for the convenience of the reader. Other than in accordance with relevant accounting rules and as otherwise stated, all translations of Renminbi into U.S. dollars in this prospectus were made at the rate of RMB6.7793 to USD1.00, the noon buying rate on June 30, 2017, as set forth in the H.10 statistical release of the U.S. Federal Reserve Board. Where we make period-on-period comparisons of operational metrics, such calculations are based on the Renminbi amount and not the translated U.S. dollar equivalent. We make no representation that the Renminbi or U.S. dollar amounts referred to in this prospectus could have been or could be converted into U.S. dollars or Renminbi, as the case may be, at any particular rate or at all.</w:t>
      </w:r>
    </w:p>
    <w:p>
      <w:pPr>
        <w:sectPr>
          <w:pgSz w:w="11900" w:h="16838" w:orient="portrait"/>
          <w:cols w:equalWidth="0" w:num="1">
            <w:col w:w="11240"/>
          </w:cols>
          <w:pgMar w:left="320" w:top="226" w:right="3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01840" cy="5876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1840" cy="58762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00" w:right="180" w:firstLine="648"/>
        <w:spacing w:after="0" w:line="290" w:lineRule="auto"/>
        <w:rPr>
          <w:sz w:val="20"/>
          <w:szCs w:val="20"/>
          <w:color w:val="auto"/>
        </w:rPr>
      </w:pPr>
      <w:r>
        <w:rPr>
          <w:rFonts w:ascii="Arial" w:cs="Arial" w:eastAsia="Arial" w:hAnsi="Arial"/>
          <w:sz w:val="16"/>
          <w:szCs w:val="16"/>
          <w:i w:val="1"/>
          <w:iCs w:val="1"/>
          <w:color w:val="auto"/>
        </w:rPr>
        <w:t>This summary highlights information that we present more fully in the rest of this prospectus. This summary does not contain all of the information you should consider before buying common shares in this offering. This summary contains forward-looking statements that involve risks and uncertainties, such as statements about our plans, objectives, expectations, assumptions or future events. In some cases, you can identify forward-looking statements by terminology such as “anticipate,” “estimate,” “plan,” “project,” “continuing,” “ongoing,” “expect,” “we believe,” “we intend,” “may,” “should,” “will,” “could,” and similar expressions denoting uncertainty or an action that may, will or is expected to occur in the future. These statements involve estimates, assumptions, known and unknown risks, uncertainties and other factors that could cause actual results to differ materially from any future results, performances or achievements expressed or implied by the forward-looking statements. You should read the entire prospectus carefully, including the “Risk Factors” section and the financial statements and the notes to those statements.</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100" w:firstLine="648"/>
        <w:spacing w:after="0" w:line="285" w:lineRule="auto"/>
        <w:rPr>
          <w:sz w:val="20"/>
          <w:szCs w:val="20"/>
          <w:color w:val="auto"/>
        </w:rPr>
      </w:pPr>
      <w:r>
        <w:rPr>
          <w:rFonts w:ascii="Arial" w:cs="Arial" w:eastAsia="Arial" w:hAnsi="Arial"/>
          <w:sz w:val="16"/>
          <w:szCs w:val="16"/>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and Hong Kong and their PRC-based IT centers. We have created and developed a particular market niche by providing turn-key financial solutions. Since our inception, we have aimed to build one of the largest sales and service delivery platforms for IT services and solutions in China. We maintain eleven delivery and or research</w:t>
      </w:r>
    </w:p>
    <w:p>
      <w:pPr>
        <w:spacing w:after="0" w:line="2" w:lineRule="exact"/>
        <w:rPr>
          <w:sz w:val="20"/>
          <w:szCs w:val="20"/>
          <w:color w:val="auto"/>
        </w:rPr>
      </w:pPr>
    </w:p>
    <w:p>
      <w:pPr>
        <w:ind w:left="100" w:right="40" w:firstLine="2"/>
        <w:spacing w:after="0" w:line="288" w:lineRule="auto"/>
        <w:tabs>
          <w:tab w:leader="none" w:pos="285" w:val="left"/>
        </w:tabs>
        <w:numPr>
          <w:ilvl w:val="0"/>
          <w:numId w:val="4"/>
        </w:numPr>
        <w:rPr>
          <w:rFonts w:ascii="Arial" w:cs="Arial" w:eastAsia="Arial" w:hAnsi="Arial"/>
          <w:sz w:val="16"/>
          <w:szCs w:val="16"/>
          <w:color w:val="auto"/>
        </w:rPr>
      </w:pPr>
      <w:r>
        <w:rPr>
          <w:rFonts w:ascii="Arial" w:cs="Arial" w:eastAsia="Arial" w:hAnsi="Arial"/>
          <w:sz w:val="16"/>
          <w:szCs w:val="16"/>
          <w:color w:val="auto"/>
        </w:rPr>
        <w:t>development (“R&amp;D”) centers to serve different customers in various geographic locations. Seven centers are located in China including cities of Shanghai, Beijing, Dalian, Tianjin, Chengdu, Guangzhou and Shenzhen. The remaining four centers are located in Hong Kong, Taiwan, Singapore and Australia.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clients include large corporations headquartered in China and globally which include, among others:</w:t>
      </w:r>
    </w:p>
    <w:p>
      <w:pPr>
        <w:spacing w:after="0" w:line="225" w:lineRule="exact"/>
        <w:rPr>
          <w:sz w:val="20"/>
          <w:szCs w:val="20"/>
          <w:color w:val="auto"/>
        </w:rPr>
      </w:pPr>
    </w:p>
    <w:p>
      <w:pPr>
        <w:jc w:val="both"/>
        <w:ind w:left="100" w:firstLine="650"/>
        <w:spacing w:after="0" w:line="286" w:lineRule="auto"/>
        <w:tabs>
          <w:tab w:leader="none" w:pos="125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Banking or their China-based IT centers – </w:t>
      </w:r>
      <w:r>
        <w:rPr>
          <w:rFonts w:ascii="Arial" w:cs="Arial" w:eastAsia="Arial" w:hAnsi="Arial"/>
          <w:sz w:val="17"/>
          <w:szCs w:val="17"/>
          <w:color w:val="auto"/>
        </w:rPr>
        <w:t>Citibank, HSBC, Standard Chartered Bank, SPD (Shanghai Pudong Development Bank),</w:t>
      </w:r>
      <w:r>
        <w:rPr>
          <w:rFonts w:ascii="Arial" w:cs="Arial" w:eastAsia="Arial" w:hAnsi="Arial"/>
          <w:sz w:val="17"/>
          <w:szCs w:val="17"/>
          <w:i w:val="1"/>
          <w:iCs w:val="1"/>
          <w:color w:val="auto"/>
        </w:rPr>
        <w:t xml:space="preserve"> </w:t>
      </w:r>
      <w:r>
        <w:rPr>
          <w:rFonts w:ascii="Arial" w:cs="Arial" w:eastAsia="Arial" w:hAnsi="Arial"/>
          <w:sz w:val="17"/>
          <w:szCs w:val="17"/>
          <w:color w:val="auto"/>
        </w:rPr>
        <w:t>Shanghai Silicon Valley Bank (SSVB), ANZ Bank, Commonwealth Bank of Australia, Morgan Stanley, Commerzbank, Bank of China, Bank of Communications, Ping An Bank, Industrial Bank, OneBank (Internet Bank) and MYbank (a division of Ant Financial).</w:t>
      </w:r>
    </w:p>
    <w:p>
      <w:pPr>
        <w:spacing w:after="0" w:line="165" w:lineRule="exact"/>
        <w:rPr>
          <w:rFonts w:ascii="Arial" w:cs="Arial" w:eastAsia="Arial" w:hAnsi="Arial"/>
          <w:sz w:val="17"/>
          <w:szCs w:val="17"/>
          <w:color w:val="auto"/>
        </w:rPr>
      </w:pPr>
    </w:p>
    <w:p>
      <w:pPr>
        <w:ind w:left="100" w:firstLine="650"/>
        <w:spacing w:after="0" w:line="277"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Financial Industry – </w:t>
      </w:r>
      <w:r>
        <w:rPr>
          <w:rFonts w:ascii="Arial" w:cs="Arial" w:eastAsia="Arial" w:hAnsi="Arial"/>
          <w:sz w:val="18"/>
          <w:szCs w:val="18"/>
          <w:color w:val="auto"/>
        </w:rPr>
        <w:t>AIA, AnBang Insurance Group, Principal Trust Company, China Life Insurance, Fidelity, PayPal, FirstData, Haitong</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Orient Securities, China Finance Corporation and China Universal Asset Management Company.</w:t>
      </w:r>
    </w:p>
    <w:p>
      <w:pPr>
        <w:spacing w:after="0" w:line="170" w:lineRule="exact"/>
        <w:rPr>
          <w:rFonts w:ascii="Arial" w:cs="Arial" w:eastAsia="Arial" w:hAnsi="Arial"/>
          <w:sz w:val="18"/>
          <w:szCs w:val="18"/>
          <w:color w:val="auto"/>
        </w:rPr>
      </w:pPr>
    </w:p>
    <w:p>
      <w:pPr>
        <w:ind w:left="100" w:firstLine="650"/>
        <w:spacing w:after="0" w:line="277" w:lineRule="auto"/>
        <w:tabs>
          <w:tab w:leader="none" w:pos="1377"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Technology - </w:t>
      </w:r>
      <w:r>
        <w:rPr>
          <w:rFonts w:ascii="Arial" w:cs="Arial" w:eastAsia="Arial" w:hAnsi="Arial"/>
          <w:sz w:val="18"/>
          <w:szCs w:val="18"/>
          <w:color w:val="auto"/>
        </w:rPr>
        <w:t>eBay, Fair Isaac Information Technology(FICO), CRIF, Experian, Sony, Novartis, AGFA, Henkel, Goldpac, Tieto,</w:t>
      </w:r>
      <w:r>
        <w:rPr>
          <w:rFonts w:ascii="Arial" w:cs="Arial" w:eastAsia="Arial" w:hAnsi="Arial"/>
          <w:sz w:val="18"/>
          <w:szCs w:val="18"/>
          <w:i w:val="1"/>
          <w:iCs w:val="1"/>
          <w:color w:val="auto"/>
        </w:rPr>
        <w:t xml:space="preserve"> </w:t>
      </w:r>
      <w:r>
        <w:rPr>
          <w:rFonts w:ascii="Arial" w:cs="Arial" w:eastAsia="Arial" w:hAnsi="Arial"/>
          <w:sz w:val="18"/>
          <w:szCs w:val="18"/>
          <w:color w:val="auto"/>
        </w:rPr>
        <w:t>Capgemini, Accenture and Neusoft.</w:t>
      </w:r>
    </w:p>
    <w:p>
      <w:pPr>
        <w:spacing w:after="0" w:line="170" w:lineRule="exact"/>
        <w:rPr>
          <w:sz w:val="20"/>
          <w:szCs w:val="20"/>
          <w:color w:val="auto"/>
        </w:rPr>
      </w:pPr>
    </w:p>
    <w:p>
      <w:pPr>
        <w:ind w:left="100" w:right="640" w:firstLine="648"/>
        <w:spacing w:after="0" w:line="277" w:lineRule="auto"/>
        <w:rPr>
          <w:sz w:val="20"/>
          <w:szCs w:val="20"/>
          <w:color w:val="auto"/>
        </w:rPr>
      </w:pPr>
      <w:r>
        <w:rPr>
          <w:rFonts w:ascii="Arial" w:cs="Arial" w:eastAsia="Arial" w:hAnsi="Arial"/>
          <w:sz w:val="18"/>
          <w:szCs w:val="18"/>
          <w:color w:val="auto"/>
        </w:rPr>
        <w:t>By serving both Chinese and global clients on a common platform, we are able to leverage the shared resources, management, industry expertise and technological know-how to attract new business and remain cost competitive.</w:t>
      </w: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01840" cy="8070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1840" cy="807085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primary focus is in the following key operational areas: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Consulting Services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Credit Card services</w:t>
      </w:r>
    </w:p>
    <w:p>
      <w:pPr>
        <w:spacing w:after="0" w:line="225" w:lineRule="exact"/>
        <w:rPr>
          <w:sz w:val="20"/>
          <w:szCs w:val="20"/>
          <w:color w:val="auto"/>
        </w:rPr>
      </w:pPr>
    </w:p>
    <w:p>
      <w:pPr>
        <w:ind w:left="100" w:firstLine="648"/>
        <w:spacing w:after="0" w:line="259" w:lineRule="auto"/>
        <w:rPr>
          <w:sz w:val="20"/>
          <w:szCs w:val="20"/>
          <w:color w:val="auto"/>
        </w:rPr>
      </w:pPr>
      <w:r>
        <w:rPr>
          <w:rFonts w:ascii="Arial" w:cs="Arial" w:eastAsia="Arial" w:hAnsi="Arial"/>
          <w:sz w:val="18"/>
          <w:szCs w:val="18"/>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w:t>
      </w:r>
    </w:p>
    <w:p>
      <w:pPr>
        <w:spacing w:after="0" w:line="187" w:lineRule="exact"/>
        <w:rPr>
          <w:sz w:val="20"/>
          <w:szCs w:val="20"/>
          <w:color w:val="auto"/>
        </w:rPr>
      </w:pPr>
    </w:p>
    <w:p>
      <w:pPr>
        <w:ind w:left="100" w:right="20" w:firstLine="648"/>
        <w:spacing w:after="0" w:line="301" w:lineRule="auto"/>
        <w:rPr>
          <w:sz w:val="20"/>
          <w:szCs w:val="20"/>
          <w:color w:val="auto"/>
        </w:rPr>
      </w:pPr>
      <w:r>
        <w:rPr>
          <w:rFonts w:ascii="Arial" w:cs="Arial" w:eastAsia="Arial" w:hAnsi="Arial"/>
          <w:sz w:val="16"/>
          <w:szCs w:val="16"/>
          <w:color w:val="auto"/>
        </w:rPr>
        <w:t>We offer more than ten years of experience in IT consulting services across key credit card business areas, including credit card applications, account setup, authorization and activation, settlement, collecting, promotion, point system, anti-fraud, statement, reporting and risk management. In the past years, we have successfully helped our China and global clients manage their credit card IT systems such as VisionPLUS, a credit card processing solution. We offer expertise in customizing these credit card tools and platforms to suit a variety of business models.</w:t>
      </w:r>
    </w:p>
    <w:p>
      <w:pPr>
        <w:spacing w:after="0" w:line="157" w:lineRule="exact"/>
        <w:rPr>
          <w:sz w:val="20"/>
          <w:szCs w:val="20"/>
          <w:color w:val="auto"/>
        </w:rPr>
      </w:pPr>
    </w:p>
    <w:p>
      <w:pPr>
        <w:ind w:left="100" w:right="320" w:firstLine="648"/>
        <w:spacing w:after="0" w:line="279" w:lineRule="auto"/>
        <w:rPr>
          <w:sz w:val="20"/>
          <w:szCs w:val="20"/>
          <w:color w:val="auto"/>
        </w:rPr>
      </w:pPr>
      <w:r>
        <w:rPr>
          <w:rFonts w:ascii="Arial" w:cs="Arial" w:eastAsia="Arial" w:hAnsi="Arial"/>
          <w:sz w:val="17"/>
          <w:szCs w:val="17"/>
          <w:color w:val="auto"/>
        </w:rPr>
        <w:t>Our highly experienced team possesses the requisite expertise in providing these comprehensive credit card services. The IT consulting professional teams provide credit card services from Shanghai, Dalian and Hong Kong. We offer this experience and expertise in various currencies, across different geographical regions, including, but not limited to China, Singapore, UK, Philippine, Indonesia, and Latin America. In addition, we have developed a series of credit card solutions in order to better meet the needs of our clients.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Core Banking services</w:t>
      </w:r>
    </w:p>
    <w:p>
      <w:pPr>
        <w:spacing w:after="0" w:line="225" w:lineRule="exact"/>
        <w:rPr>
          <w:sz w:val="20"/>
          <w:szCs w:val="20"/>
          <w:color w:val="auto"/>
        </w:rPr>
      </w:pPr>
    </w:p>
    <w:p>
      <w:pPr>
        <w:ind w:left="100" w:firstLine="648"/>
        <w:spacing w:after="0" w:line="269" w:lineRule="auto"/>
        <w:rPr>
          <w:sz w:val="20"/>
          <w:szCs w:val="20"/>
          <w:color w:val="auto"/>
        </w:rPr>
      </w:pPr>
      <w:r>
        <w:rPr>
          <w:rFonts w:ascii="Arial" w:cs="Arial" w:eastAsia="Arial" w:hAnsi="Arial"/>
          <w:sz w:val="17"/>
          <w:szCs w:val="17"/>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 including business analysis, system design, developing,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were recently engaged by a US-based clients to transform its centralized core banking system to a service-oriented architecture and integrate it into a global unified version, which successfully satisfied its business needs in various markets. In addition, we engage the cloud-native solution of core banking system with micro services architecture, which can service both Chinese and global banks meet the ever-changing demands of the market with high flexibility, high scalability, high reliability and multichannel connectivity.</w:t>
      </w:r>
    </w:p>
    <w:p>
      <w:pPr>
        <w:spacing w:after="0" w:line="185" w:lineRule="exact"/>
        <w:rPr>
          <w:sz w:val="20"/>
          <w:szCs w:val="20"/>
          <w:color w:val="auto"/>
        </w:rPr>
      </w:pPr>
    </w:p>
    <w:p>
      <w:pPr>
        <w:ind w:left="100" w:right="240" w:firstLine="648"/>
        <w:spacing w:after="0" w:line="263" w:lineRule="auto"/>
        <w:rPr>
          <w:sz w:val="20"/>
          <w:szCs w:val="20"/>
          <w:color w:val="auto"/>
        </w:rPr>
      </w:pPr>
      <w:r>
        <w:rPr>
          <w:rFonts w:ascii="Arial" w:cs="Arial" w:eastAsia="Arial" w:hAnsi="Arial"/>
          <w:sz w:val="18"/>
          <w:szCs w:val="18"/>
          <w:color w:val="auto"/>
        </w:rPr>
        <w:t>For the years ended June 30, 2017 and 2016, revenues from our IT consulting service were approximately USD$29.1 million and USD$28.0 million, respectively. Revenues from our IT consulting service accounted for 92.9% and 96.5% of our total revenues in fiscal 2017 and 2016, respectively.</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Solution Services</w:t>
      </w:r>
    </w:p>
    <w:p>
      <w:pPr>
        <w:spacing w:after="0" w:line="225" w:lineRule="exact"/>
        <w:rPr>
          <w:sz w:val="20"/>
          <w:szCs w:val="20"/>
          <w:color w:val="auto"/>
        </w:rPr>
      </w:pPr>
    </w:p>
    <w:p>
      <w:pPr>
        <w:ind w:left="100" w:right="260" w:firstLine="648"/>
        <w:spacing w:after="0" w:line="301" w:lineRule="auto"/>
        <w:rPr>
          <w:sz w:val="20"/>
          <w:szCs w:val="20"/>
          <w:color w:val="auto"/>
        </w:rPr>
      </w:pPr>
      <w:r>
        <w:rPr>
          <w:rFonts w:ascii="Arial" w:cs="Arial" w:eastAsia="Arial" w:hAnsi="Arial"/>
          <w:sz w:val="16"/>
          <w:szCs w:val="16"/>
          <w:color w:val="auto"/>
        </w:rPr>
        <w:t>We are also an IT solution services provider for China and global financial institutions. We offer our clients over a decade of experience proving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our ability to offer our clients creative solution design, especially in the areas of new information technology such as block chain.</w:t>
      </w:r>
    </w:p>
    <w:p>
      <w:pPr>
        <w:spacing w:after="0" w:line="157" w:lineRule="exact"/>
        <w:rPr>
          <w:sz w:val="20"/>
          <w:szCs w:val="20"/>
          <w:color w:val="auto"/>
        </w:rPr>
      </w:pPr>
    </w:p>
    <w:p>
      <w:pPr>
        <w:ind w:left="100" w:right="80" w:firstLine="648"/>
        <w:spacing w:after="0" w:line="257" w:lineRule="auto"/>
        <w:rPr>
          <w:sz w:val="20"/>
          <w:szCs w:val="20"/>
          <w:color w:val="auto"/>
        </w:rPr>
      </w:pPr>
      <w:r>
        <w:rPr>
          <w:rFonts w:ascii="Arial" w:cs="Arial" w:eastAsia="Arial" w:hAnsi="Arial"/>
          <w:sz w:val="18"/>
          <w:szCs w:val="18"/>
          <w:color w:val="auto"/>
        </w:rPr>
        <w:t>We offer software project development and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quality and efficiency testing, and (iii) providing onshore and offshore IT solution services to ensure turn-key delivery.</w:t>
      </w:r>
    </w:p>
    <w:p>
      <w:pPr>
        <w:spacing w:after="0" w:line="188" w:lineRule="exact"/>
        <w:rPr>
          <w:sz w:val="20"/>
          <w:szCs w:val="20"/>
          <w:color w:val="auto"/>
        </w:rPr>
      </w:pPr>
    </w:p>
    <w:p>
      <w:pPr>
        <w:ind w:left="100" w:right="160" w:firstLine="648"/>
        <w:spacing w:after="0" w:line="257" w:lineRule="auto"/>
        <w:rPr>
          <w:sz w:val="20"/>
          <w:szCs w:val="20"/>
          <w:color w:val="auto"/>
        </w:rPr>
      </w:pPr>
      <w:r>
        <w:rPr>
          <w:rFonts w:ascii="Arial" w:cs="Arial" w:eastAsia="Arial" w:hAnsi="Arial"/>
          <w:sz w:val="18"/>
          <w:szCs w:val="18"/>
          <w:color w:val="auto"/>
        </w:rPr>
        <w:t>We have been working with multiple Chinese domestic banks to assist them to leverage block chain technology. We have developed a loyalty reward solution built on block chain technology, which allows domestic banks to track and trace transactions in real-time. Through the use of this technology, the banks offer their consumers the ability to combine loyalty points from various promotions and redeem them in spending. We will continue to develop new IT solutions to meet the evolving needs of our Chinese and global financial institutional clientele, drawing upon the forward-looking research of our R&amp;D center.</w:t>
      </w:r>
    </w:p>
    <w:p>
      <w:pPr>
        <w:sectPr>
          <w:pgSz w:w="11900" w:h="16838" w:orient="portrait"/>
          <w:cols w:equalWidth="0" w:num="1">
            <w:col w:w="11100"/>
          </w:cols>
          <w:pgMar w:left="320" w:top="226" w:right="47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01840" cy="92538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1840" cy="92538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both"/>
        <w:ind w:left="100" w:right="320" w:firstLine="648"/>
        <w:spacing w:after="0" w:line="263" w:lineRule="auto"/>
        <w:rPr>
          <w:sz w:val="20"/>
          <w:szCs w:val="20"/>
          <w:color w:val="auto"/>
        </w:rPr>
      </w:pPr>
      <w:r>
        <w:rPr>
          <w:rFonts w:ascii="Arial" w:cs="Arial" w:eastAsia="Arial" w:hAnsi="Arial"/>
          <w:sz w:val="18"/>
          <w:szCs w:val="18"/>
          <w:color w:val="auto"/>
        </w:rPr>
        <w:t>For the years ended June 30, 2017 and 2016, revenues from our customized IT solution services were approximately USD$1.8 million and USD$0.9 million, respectively. Revenues from our customized IT solution service accounted for 5.9% and 3.2% of our total revenues in fiscal years 2017 and 2016, respectively.</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Other Services</w:t>
      </w:r>
    </w:p>
    <w:p>
      <w:pPr>
        <w:spacing w:after="0" w:line="225" w:lineRule="exact"/>
        <w:rPr>
          <w:sz w:val="20"/>
          <w:szCs w:val="20"/>
          <w:color w:val="auto"/>
        </w:rPr>
      </w:pPr>
    </w:p>
    <w:p>
      <w:pPr>
        <w:ind w:left="100" w:firstLine="648"/>
        <w:spacing w:after="0" w:line="296" w:lineRule="auto"/>
        <w:rPr>
          <w:sz w:val="20"/>
          <w:szCs w:val="20"/>
          <w:color w:val="auto"/>
        </w:rPr>
      </w:pPr>
      <w:r>
        <w:rPr>
          <w:rFonts w:ascii="Arial" w:cs="Arial" w:eastAsia="Arial" w:hAnsi="Arial"/>
          <w:sz w:val="16"/>
          <w:szCs w:val="16"/>
          <w:i w:val="1"/>
          <w:iCs w:val="1"/>
          <w:color w:val="auto"/>
        </w:rPr>
        <w:t xml:space="preserve">CLPS Virtual Banking Platform (CLB) – </w:t>
      </w:r>
      <w:r>
        <w:rPr>
          <w:rFonts w:ascii="Arial" w:cs="Arial" w:eastAsia="Arial" w:hAnsi="Arial"/>
          <w:sz w:val="16"/>
          <w:szCs w:val="16"/>
          <w:color w:val="auto"/>
        </w:rPr>
        <w:t>CLB is a unique and successful talent training IT platform owned by CLPS. For the past ten years,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focusing on recruiting, training, developing and retaining human capital and talent. We have been developing and continuously upgrading our CLB to train specialized financial IT personnel in order to differentiate ourselves from general IT developers. CLB is one of the crucial components of our Talent Creation Program (“TCP”). It contains a full set of banking application modules covering areas such as core banking, credit cards, and wealth management and incorporating the cutting-edge technologies, such as JAVA, Android &amp; iOS, HTML, block chain, cloud computing and big data.</w:t>
      </w:r>
    </w:p>
    <w:p>
      <w:pPr>
        <w:spacing w:after="0" w:line="161" w:lineRule="exact"/>
        <w:rPr>
          <w:sz w:val="20"/>
          <w:szCs w:val="20"/>
          <w:color w:val="auto"/>
        </w:rPr>
      </w:pPr>
    </w:p>
    <w:p>
      <w:pPr>
        <w:ind w:left="100" w:firstLine="648"/>
        <w:spacing w:after="0" w:line="308" w:lineRule="auto"/>
        <w:rPr>
          <w:sz w:val="20"/>
          <w:szCs w:val="20"/>
          <w:color w:val="auto"/>
        </w:rPr>
      </w:pPr>
      <w:r>
        <w:rPr>
          <w:rFonts w:ascii="Arial" w:cs="Arial" w:eastAsia="Arial" w:hAnsi="Arial"/>
          <w:sz w:val="17"/>
          <w:szCs w:val="17"/>
          <w:color w:val="auto"/>
        </w:rPr>
        <w:t>In fiscal years 2017 and 2016, revenue from other services was approximately USD$0.4 million and USD$0.08 million, respectively. Revenues from other services accounted for 1.2% and 0.3% of our total revenues in fiscal years 2017 and 2016, respectively.</w:t>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100" w:right="260" w:firstLine="648"/>
        <w:spacing w:after="0" w:line="277" w:lineRule="auto"/>
        <w:rPr>
          <w:sz w:val="20"/>
          <w:szCs w:val="20"/>
          <w:color w:val="auto"/>
        </w:rPr>
      </w:pPr>
      <w:r>
        <w:rPr>
          <w:rFonts w:ascii="Arial" w:cs="Arial" w:eastAsia="Arial" w:hAnsi="Arial"/>
          <w:sz w:val="18"/>
          <w:szCs w:val="18"/>
          <w:color w:val="auto"/>
        </w:rPr>
        <w:t>R&amp;D is an integral part of our continued growth. In order to better service our Chinese and global clients’ needs, we focus on exploring and researching new and advanced technologies and how to best integrate them into our existing and new solutions.</w:t>
      </w:r>
    </w:p>
    <w:p>
      <w:pPr>
        <w:spacing w:after="0" w:line="170" w:lineRule="exact"/>
        <w:rPr>
          <w:sz w:val="20"/>
          <w:szCs w:val="20"/>
          <w:color w:val="auto"/>
        </w:rPr>
      </w:pPr>
    </w:p>
    <w:p>
      <w:pPr>
        <w:ind w:left="100" w:firstLine="648"/>
        <w:spacing w:after="0" w:line="270" w:lineRule="auto"/>
        <w:rPr>
          <w:sz w:val="20"/>
          <w:szCs w:val="20"/>
          <w:color w:val="auto"/>
        </w:rPr>
      </w:pPr>
      <w:r>
        <w:rPr>
          <w:rFonts w:ascii="Arial" w:cs="Arial" w:eastAsia="Arial" w:hAnsi="Arial"/>
          <w:sz w:val="17"/>
          <w:szCs w:val="17"/>
          <w:color w:val="auto"/>
        </w:rPr>
        <w:t>Currently, we are working on applying new and advanced technologies and tools to enhance our project delivery capability and efficiency. For instance, we applied the DevOps methodology and tools in our project delivery process and platform. This methodology has greatly enhanced the development, operational efficiency and project quality. We focus on block chain, big data and cloud native applications. We have developed a loyalty reward solution based on block 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offerings by improving existing solutions and inventing new solutions, which drive new revenue opportunities and improve our core competency.</w:t>
      </w:r>
    </w:p>
    <w:p>
      <w:pPr>
        <w:spacing w:after="0" w:line="181" w:lineRule="exact"/>
        <w:rPr>
          <w:sz w:val="20"/>
          <w:szCs w:val="20"/>
          <w:color w:val="auto"/>
        </w:rPr>
      </w:pPr>
    </w:p>
    <w:p>
      <w:pPr>
        <w:ind w:left="100" w:right="180" w:firstLine="648"/>
        <w:spacing w:after="0" w:line="277" w:lineRule="auto"/>
        <w:rPr>
          <w:sz w:val="20"/>
          <w:szCs w:val="20"/>
          <w:color w:val="auto"/>
        </w:rPr>
      </w:pPr>
      <w:r>
        <w:rPr>
          <w:rFonts w:ascii="Arial" w:cs="Arial" w:eastAsia="Arial" w:hAnsi="Arial"/>
          <w:sz w:val="18"/>
          <w:szCs w:val="18"/>
          <w:color w:val="auto"/>
        </w:rPr>
        <w:t>During years fiscal 2017 and 2016, our R&amp;D expense were approximately USD$4.2 million and USD$5.6 million, respectively, representing 13.5% and 19.2% of our total revenues for fiscal years 2017 and 2016, respectively.</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Industry and Market Background</w:t>
      </w:r>
    </w:p>
    <w:p>
      <w:pPr>
        <w:spacing w:after="0" w:line="229" w:lineRule="exact"/>
        <w:rPr>
          <w:sz w:val="20"/>
          <w:szCs w:val="20"/>
          <w:color w:val="auto"/>
        </w:rPr>
      </w:pPr>
    </w:p>
    <w:p>
      <w:pPr>
        <w:jc w:val="both"/>
        <w:ind w:left="100" w:right="220" w:firstLine="648"/>
        <w:spacing w:after="0" w:line="277" w:lineRule="auto"/>
        <w:rPr>
          <w:sz w:val="20"/>
          <w:szCs w:val="20"/>
          <w:color w:val="auto"/>
        </w:rPr>
      </w:pPr>
      <w:r>
        <w:rPr>
          <w:rFonts w:ascii="Arial" w:cs="Arial" w:eastAsia="Arial" w:hAnsi="Arial"/>
          <w:sz w:val="18"/>
          <w:szCs w:val="18"/>
          <w:color w:val="auto"/>
        </w:rPr>
        <w:t>Businesses, both domestically in China and globally, are outsourcing a growing portion of their IT services and business processes to China-based IT providers.</w:t>
      </w:r>
    </w:p>
    <w:p>
      <w:pPr>
        <w:spacing w:after="0" w:line="170" w:lineRule="exact"/>
        <w:rPr>
          <w:sz w:val="20"/>
          <w:szCs w:val="20"/>
          <w:color w:val="auto"/>
        </w:rPr>
      </w:pPr>
    </w:p>
    <w:p>
      <w:pPr>
        <w:jc w:val="both"/>
        <w:ind w:left="100" w:right="220" w:firstLine="648"/>
        <w:spacing w:after="0" w:line="263" w:lineRule="auto"/>
        <w:rPr>
          <w:sz w:val="20"/>
          <w:szCs w:val="20"/>
          <w:color w:val="auto"/>
        </w:rPr>
      </w:pPr>
      <w:r>
        <w:rPr>
          <w:rFonts w:ascii="Arial" w:cs="Arial" w:eastAsia="Arial" w:hAnsi="Arial"/>
          <w:sz w:val="18"/>
          <w:szCs w:val="18"/>
          <w:color w:val="auto"/>
        </w:rPr>
        <w:t>According to PRC’s Ministry of Industry and Information Technology (MIIT) data, the software industry revenues reached RMB 4.9 trillion (USD$723 billion) in 2016. IT service market has developed and grown rapidly in recent years with the revenue reached RMB 2.5 trillion (USD$369 billion) in 2016, accounting for 51.8% of the whole software industry.</w:t>
      </w:r>
    </w:p>
    <w:p>
      <w:pPr>
        <w:sectPr>
          <w:pgSz w:w="11900" w:h="16838" w:orient="portrait"/>
          <w:cols w:equalWidth="0" w:num="1">
            <w:col w:w="11080"/>
          </w:cols>
          <w:pgMar w:left="320" w:top="226" w:right="499" w:bottom="5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26" w:right="499" w:bottom="597"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01840" cy="68446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1840" cy="68446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00" w:right="280" w:firstLine="648"/>
        <w:spacing w:after="0" w:line="277" w:lineRule="auto"/>
        <w:rPr>
          <w:sz w:val="20"/>
          <w:szCs w:val="20"/>
          <w:color w:val="auto"/>
        </w:rPr>
      </w:pPr>
      <w:r>
        <w:rPr>
          <w:rFonts w:ascii="Arial" w:cs="Arial" w:eastAsia="Arial" w:hAnsi="Arial"/>
          <w:sz w:val="18"/>
          <w:szCs w:val="18"/>
          <w:color w:val="auto"/>
        </w:rPr>
        <w:t>Financial institutions/banking IT solutions can be divided into four categories: channel banking IT solutions, business banking IT solutions, management banking IT solutions and other solutions, which are shown as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Data source: Wind Terminal</w:t>
      </w:r>
    </w:p>
    <w:p>
      <w:pPr>
        <w:spacing w:after="0" w:line="225" w:lineRule="exact"/>
        <w:rPr>
          <w:sz w:val="20"/>
          <w:szCs w:val="20"/>
          <w:color w:val="auto"/>
        </w:rPr>
      </w:pPr>
    </w:p>
    <w:p>
      <w:pPr>
        <w:ind w:left="100" w:right="60" w:firstLine="648"/>
        <w:spacing w:after="0" w:line="269" w:lineRule="auto"/>
        <w:rPr>
          <w:sz w:val="20"/>
          <w:szCs w:val="20"/>
          <w:color w:val="auto"/>
        </w:rPr>
      </w:pPr>
      <w:r>
        <w:rPr>
          <w:rFonts w:ascii="Arial" w:cs="Arial" w:eastAsia="Arial" w:hAnsi="Arial"/>
          <w:sz w:val="17"/>
          <w:szCs w:val="17"/>
          <w:color w:val="auto"/>
        </w:rPr>
        <w:t>In 2015, the overall banking IT solution market reached RMB 22.5 billion (USD$3.3 billion). Subsectors include: business solutions, which accounts for RMB 9.0 billion (USD$1.3 billion), or 39.9% of the total market; management solutions, which accounts for RMB 7.7 billion (USD$1.1 billion), or 34.10% of the total markets; channel solutions, which account for RMB 5.4 billion (USD$797 million), or 23.8% of the total market; and other solutions, which account for RMB 495 million (USD$73.0 million), or 2.2% of the total market (IDC China Banking IT Solution Market Forecast and Analysis 2016-2020). According to IDC data, China's integrated banking IT solution market increased from RMB 7.1 billion (USD$1.0 billion) to RMB 22.5 billion (USD$3.3 billion) from 2009 to 2015, growing at a compound annual growth rate of 21.2%. According to IDC forecast, China's integrated banking IT solution market is expected to increase to RMB 61.2 billion (USD$9.0 billion) in 2020, growing at compound annual growth rate of 22.1% compared with 2015. In 2015, these services still comprised the largest proportion in China's banking IT solution market, reaching 81.8%. We believe that the IDC research suggests that the current Chinese banking IT solution market is gradually transforming from a “software plus service” delivery model to a service-oriented delivery model. It is expected that services will account for a higher proportion of the entire banking industry's application solutions in 2020.</w:t>
      </w:r>
    </w:p>
    <w:p>
      <w:pPr>
        <w:spacing w:after="0" w:line="182" w:lineRule="exact"/>
        <w:rPr>
          <w:sz w:val="20"/>
          <w:szCs w:val="20"/>
          <w:color w:val="auto"/>
        </w:rPr>
      </w:pPr>
    </w:p>
    <w:p>
      <w:pPr>
        <w:ind w:left="100" w:firstLine="648"/>
        <w:spacing w:after="0" w:line="273" w:lineRule="auto"/>
        <w:rPr>
          <w:sz w:val="20"/>
          <w:szCs w:val="20"/>
          <w:color w:val="auto"/>
        </w:rPr>
      </w:pPr>
      <w:r>
        <w:rPr>
          <w:rFonts w:ascii="Arial" w:cs="Arial" w:eastAsia="Arial" w:hAnsi="Arial"/>
          <w:sz w:val="17"/>
          <w:szCs w:val="17"/>
          <w:color w:val="auto"/>
        </w:rPr>
        <w:t>There are several factors driving the overall growth of China’s IT services industry, including the rapid growth of China’s economy and domestic demand for IT services, the strategic importance of China as a target market for global clients, strong offshore outsourcing demand, availability of low-cost qualified IT professionals with global and regional language skills, well-developed infrastructure in China and strong government support and spending. We believe that the market development trends include a growing emphasis on big data services, innovation in channel solutions, risk management and prevention, more customer-oriented services, and globalization of the financial services industry. We believe we are well positioned to capture the significant market opportunities in the IT services industry both in China and globally.</w:t>
      </w: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01840" cy="6150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1840" cy="615061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developed and intend to implement the following strategies to expand and grow the size of our Company:</w:t>
      </w:r>
    </w:p>
    <w:p>
      <w:pPr>
        <w:spacing w:after="0" w:line="225" w:lineRule="exact"/>
        <w:rPr>
          <w:sz w:val="20"/>
          <w:szCs w:val="20"/>
          <w:color w:val="auto"/>
        </w:rPr>
      </w:pPr>
    </w:p>
    <w:p>
      <w:pPr>
        <w:ind w:left="100" w:right="80" w:firstLine="650"/>
        <w:spacing w:after="0" w:line="273" w:lineRule="auto"/>
        <w:tabs>
          <w:tab w:leader="none" w:pos="1082"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Grow revenue with existing and new clients </w:t>
      </w:r>
      <w:r>
        <w:rPr>
          <w:rFonts w:ascii="Arial" w:cs="Arial" w:eastAsia="Arial" w:hAnsi="Arial"/>
          <w:sz w:val="17"/>
          <w:szCs w:val="17"/>
          <w:color w:val="auto"/>
        </w:rPr>
        <w:t>- We intend to pursue additional revenue opportunities from existing Chinese and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clients, 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Chinese and global markets to benefit both groups of clients.</w:t>
      </w:r>
    </w:p>
    <w:p>
      <w:pPr>
        <w:spacing w:after="0" w:line="177" w:lineRule="exact"/>
        <w:rPr>
          <w:rFonts w:ascii="Arial" w:cs="Arial" w:eastAsia="Arial" w:hAnsi="Arial"/>
          <w:sz w:val="17"/>
          <w:szCs w:val="17"/>
          <w:color w:val="auto"/>
        </w:rPr>
      </w:pPr>
    </w:p>
    <w:p>
      <w:pPr>
        <w:ind w:left="100" w:firstLine="650"/>
        <w:spacing w:after="0" w:line="275" w:lineRule="auto"/>
        <w:tabs>
          <w:tab w:leader="none" w:pos="1082"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invest in research and development, deepen domain expertise and develop specific solutions for target industry verticals </w:t>
      </w:r>
      <w:r>
        <w:rPr>
          <w:rFonts w:ascii="Arial" w:cs="Arial" w:eastAsia="Arial" w:hAnsi="Arial"/>
          <w:sz w:val="17"/>
          <w:szCs w:val="17"/>
          <w:color w:val="auto"/>
        </w:rPr>
        <w:t>- We</w:t>
      </w:r>
      <w:r>
        <w:rPr>
          <w:rFonts w:ascii="Arial" w:cs="Arial" w:eastAsia="Arial" w:hAnsi="Arial"/>
          <w:sz w:val="17"/>
          <w:szCs w:val="17"/>
          <w:i w:val="1"/>
          <w:iCs w:val="1"/>
          <w:color w:val="auto"/>
        </w:rPr>
        <w:t xml:space="preserve"> </w:t>
      </w:r>
      <w:r>
        <w:rPr>
          <w:rFonts w:ascii="Arial" w:cs="Arial" w:eastAsia="Arial" w:hAnsi="Arial"/>
          <w:sz w:val="17"/>
          <w:szCs w:val="17"/>
          <w:color w:val="auto"/>
        </w:rPr>
        <w:t>will continue to enhance our domain 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76" w:lineRule="exact"/>
        <w:rPr>
          <w:rFonts w:ascii="Arial" w:cs="Arial" w:eastAsia="Arial" w:hAnsi="Arial"/>
          <w:sz w:val="17"/>
          <w:szCs w:val="17"/>
          <w:color w:val="auto"/>
        </w:rPr>
      </w:pPr>
    </w:p>
    <w:p>
      <w:pPr>
        <w:ind w:left="100" w:right="20" w:firstLine="650"/>
        <w:spacing w:after="0" w:line="287" w:lineRule="auto"/>
        <w:tabs>
          <w:tab w:leader="none" w:pos="1082"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Continue to invest in training and development of our world-class human capital base </w:t>
      </w:r>
      <w:r>
        <w:rPr>
          <w:rFonts w:ascii="Arial" w:cs="Arial" w:eastAsia="Arial" w:hAnsi="Arial"/>
          <w:sz w:val="16"/>
          <w:szCs w:val="16"/>
          <w:color w:val="auto"/>
        </w:rPr>
        <w:t>- We place a high priority on attracting, training,</w:t>
      </w:r>
      <w:r>
        <w:rPr>
          <w:rFonts w:ascii="Arial" w:cs="Arial" w:eastAsia="Arial" w:hAnsi="Arial"/>
          <w:sz w:val="16"/>
          <w:szCs w:val="16"/>
          <w:i w:val="1"/>
          <w:iCs w:val="1"/>
          <w:color w:val="auto"/>
        </w:rPr>
        <w:t xml:space="preserve"> </w:t>
      </w:r>
      <w:r>
        <w:rPr>
          <w:rFonts w:ascii="Arial" w:cs="Arial" w:eastAsia="Arial" w:hAnsi="Arial"/>
          <w:sz w:val="16"/>
          <w:szCs w:val="16"/>
          <w:color w:val="auto"/>
        </w:rPr>
        <w:t>developing and retaining our human capital base to be increasingly competitive. We will continue to build our professional talent pool through our Talent Creation Program (“TCP”) and Talent Development Program (“TDP”) to ensure the sustainable supply of financial IT talent resources. These programs are the results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college,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The strength of our TCP/TDP program adds to our recognition in the industry by competitors and customers alike.</w:t>
      </w:r>
    </w:p>
    <w:p>
      <w:pPr>
        <w:spacing w:after="0" w:line="171" w:lineRule="exact"/>
        <w:rPr>
          <w:rFonts w:ascii="Arial" w:cs="Arial" w:eastAsia="Arial" w:hAnsi="Arial"/>
          <w:sz w:val="16"/>
          <w:szCs w:val="16"/>
          <w:color w:val="auto"/>
        </w:rPr>
      </w:pPr>
    </w:p>
    <w:p>
      <w:pPr>
        <w:ind w:left="100" w:right="40" w:firstLine="650"/>
        <w:spacing w:after="0" w:line="254" w:lineRule="auto"/>
        <w:tabs>
          <w:tab w:leader="none" w:pos="1082"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Drive efficiencies through ongoing improvements in operational excellence </w:t>
      </w:r>
      <w:r>
        <w:rPr>
          <w:rFonts w:ascii="Arial" w:cs="Arial" w:eastAsia="Arial" w:hAnsi="Arial"/>
          <w:sz w:val="18"/>
          <w:szCs w:val="18"/>
          <w:color w:val="auto"/>
        </w:rPr>
        <w:t>- We strive to gain significant operating efficiencies by</w:t>
      </w:r>
      <w:r>
        <w:rPr>
          <w:rFonts w:ascii="Arial" w:cs="Arial" w:eastAsia="Arial" w:hAnsi="Arial"/>
          <w:sz w:val="18"/>
          <w:szCs w:val="18"/>
          <w:i w:val="1"/>
          <w:iCs w:val="1"/>
          <w:color w:val="auto"/>
        </w:rPr>
        <w:t xml:space="preserve"> </w:t>
      </w:r>
      <w:r>
        <w:rPr>
          <w:rFonts w:ascii="Arial" w:cs="Arial" w:eastAsia="Arial" w:hAnsi="Arial"/>
          <w:sz w:val="18"/>
          <w:szCs w:val="18"/>
          <w:color w:val="auto"/>
        </w:rPr>
        <w:t>leveraging 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94" w:lineRule="exact"/>
        <w:rPr>
          <w:rFonts w:ascii="Arial" w:cs="Arial" w:eastAsia="Arial" w:hAnsi="Arial"/>
          <w:sz w:val="18"/>
          <w:szCs w:val="18"/>
          <w:color w:val="auto"/>
        </w:rPr>
      </w:pPr>
    </w:p>
    <w:p>
      <w:pPr>
        <w:ind w:left="100" w:right="40" w:firstLine="650"/>
        <w:spacing w:after="0" w:line="257" w:lineRule="auto"/>
        <w:tabs>
          <w:tab w:leader="none" w:pos="1082"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Capture new growth opportunities through strategic alliances and acquisitions </w:t>
      </w:r>
      <w:r>
        <w:rPr>
          <w:rFonts w:ascii="Arial" w:cs="Arial" w:eastAsia="Arial" w:hAnsi="Arial"/>
          <w:sz w:val="18"/>
          <w:szCs w:val="18"/>
          <w:color w:val="auto"/>
        </w:rPr>
        <w:t>- We will continue to pursue selective alliances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200" w:lineRule="exact"/>
        <w:rPr>
          <w:sz w:val="20"/>
          <w:szCs w:val="20"/>
          <w:color w:val="auto"/>
        </w:rPr>
      </w:pP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226" w:right="51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01840" cy="8808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1840" cy="880808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100" w:right="240" w:firstLine="648"/>
        <w:spacing w:after="0" w:line="277" w:lineRule="auto"/>
        <w:rPr>
          <w:sz w:val="20"/>
          <w:szCs w:val="20"/>
          <w:color w:val="auto"/>
        </w:rPr>
      </w:pPr>
      <w:r>
        <w:rPr>
          <w:rFonts w:ascii="Arial" w:cs="Arial" w:eastAsia="Arial" w:hAnsi="Arial"/>
          <w:sz w:val="18"/>
          <w:szCs w:val="18"/>
          <w:color w:val="auto"/>
        </w:rPr>
        <w:t>We believe that the principal competitive factors in our markets are industry expertise, breadth and depth of service offerings, quality of the services offered, reputation and track record, marketing and selling skills, scalability of infrastructure and price.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believe that there are several key strengths that differentiate us from our competitors and will continue to contribute to our growth and</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success.</w:t>
      </w:r>
    </w:p>
    <w:p>
      <w:pPr>
        <w:spacing w:after="0" w:line="211" w:lineRule="exact"/>
        <w:rPr>
          <w:sz w:val="20"/>
          <w:szCs w:val="20"/>
          <w:color w:val="auto"/>
        </w:rPr>
      </w:pPr>
    </w:p>
    <w:p>
      <w:pPr>
        <w:ind w:left="100" w:right="120" w:firstLine="648"/>
        <w:spacing w:after="0" w:line="286" w:lineRule="auto"/>
        <w:rPr>
          <w:sz w:val="20"/>
          <w:szCs w:val="20"/>
          <w:color w:val="auto"/>
        </w:rPr>
      </w:pPr>
      <w:r>
        <w:rPr>
          <w:rFonts w:ascii="Arial" w:cs="Arial" w:eastAsia="Arial" w:hAnsi="Arial"/>
          <w:sz w:val="16"/>
          <w:szCs w:val="16"/>
          <w:color w:val="auto"/>
        </w:rPr>
        <w:t>We have established employee loyalty through the core engine of TCP and TDP programs, integral parts of our supply chain which supports our service lines. Since 2008, our talent training services have offered training courses in five areas, including domain knowledge, technology skills, data security and management compliance training, soft skills for personnel; and all levels of English language skills including verbal and writing, especially for those who need to communicate with global customers directly on daily basis. We believe the depth and comprehensive nature of our talent training services is one of the key features that distinguishes us from our competition. For the past more than ten years, the Company has been recruiting, training, developing and retaining human capital and talent.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wealth management and incorporating the cutting-edge technologies, such as JAVA, Android &amp; iOS, HTML and big data. Under the program, each year we select more than 200 students to participate in our training program. During their Junior or Senior year of university, the students in this program learn to implement the concepts covered by our TCP platform along with their other computer science theory and coursework. Later, the students join us as interns and continue improving their software development skills eventually becoming members of our development teams. As a result, the program graduates have an equivalent of nine months’ worth of “on the job” training and experience. In 2017, we collaborated with Global Business College of Australia (GCBA) to set up a Financial Innovation Center (FIC) on its campus to offer our TCP training program to GCBA students with a specific interest in the banking industry.</w:t>
      </w:r>
    </w:p>
    <w:p>
      <w:pPr>
        <w:spacing w:after="0" w:line="171" w:lineRule="exact"/>
        <w:rPr>
          <w:sz w:val="20"/>
          <w:szCs w:val="20"/>
          <w:color w:val="auto"/>
        </w:rPr>
      </w:pPr>
    </w:p>
    <w:p>
      <w:pPr>
        <w:ind w:left="100" w:right="120" w:firstLine="648"/>
        <w:spacing w:after="0" w:line="279" w:lineRule="auto"/>
        <w:rPr>
          <w:sz w:val="20"/>
          <w:szCs w:val="20"/>
          <w:color w:val="auto"/>
        </w:rPr>
      </w:pPr>
      <w:r>
        <w:rPr>
          <w:rFonts w:ascii="Arial" w:cs="Arial" w:eastAsia="Arial" w:hAnsi="Arial"/>
          <w:sz w:val="17"/>
          <w:szCs w:val="17"/>
          <w:color w:val="auto"/>
        </w:rPr>
        <w:t>Our TDP program is a continuous internal training course for skilled-professionals in our company in order to better service our clients. The TDP program increases our professionals’ skillsets and business knowledge in their respective domain and technical fields. We have joined our efforts with Fudan University to support senior staff in completing their master’s degrees in their respective fields. Since 2005, through our TCP and TDP programs, we have trained and retained a large pool of specialized personnel skilled in serving financial-related industry clients.</w:t>
      </w:r>
    </w:p>
    <w:p>
      <w:pPr>
        <w:spacing w:after="0" w:line="171" w:lineRule="exact"/>
        <w:rPr>
          <w:sz w:val="20"/>
          <w:szCs w:val="20"/>
          <w:color w:val="auto"/>
        </w:rPr>
      </w:pPr>
    </w:p>
    <w:p>
      <w:pPr>
        <w:ind w:left="100" w:right="240" w:firstLine="648"/>
        <w:spacing w:after="0" w:line="311" w:lineRule="auto"/>
        <w:rPr>
          <w:sz w:val="20"/>
          <w:szCs w:val="20"/>
          <w:color w:val="auto"/>
        </w:rPr>
      </w:pPr>
      <w:r>
        <w:rPr>
          <w:rFonts w:ascii="Arial" w:cs="Arial" w:eastAsia="Arial" w:hAnsi="Arial"/>
          <w:sz w:val="16"/>
          <w:szCs w:val="16"/>
          <w:color w:val="auto"/>
        </w:rPr>
        <w:t>Benefiting from our employee loyally programs, we have established an eco-system of loyal client relationships. Employee satisfaction and enhanced career development has resulted in better service to our clients. Client satisfaction in turn motivates our employees to continue to provide superior service to our clients. In addition to employee and client satisfaction, our Company’s strengths include the following:</w:t>
      </w:r>
    </w:p>
    <w:p>
      <w:pPr>
        <w:spacing w:after="0" w:line="149" w:lineRule="exact"/>
        <w:rPr>
          <w:sz w:val="20"/>
          <w:szCs w:val="20"/>
          <w:color w:val="auto"/>
        </w:rPr>
      </w:pPr>
    </w:p>
    <w:p>
      <w:pPr>
        <w:ind w:left="760" w:hanging="33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deep sector specialization, particularly, in the banking and insurance industry;</w:t>
      </w:r>
    </w:p>
    <w:p>
      <w:pPr>
        <w:spacing w:after="0" w:line="225" w:lineRule="exact"/>
        <w:rPr>
          <w:rFonts w:ascii="Arial" w:cs="Arial" w:eastAsia="Arial" w:hAnsi="Arial"/>
          <w:sz w:val="18"/>
          <w:szCs w:val="18"/>
          <w:color w:val="auto"/>
        </w:rPr>
      </w:pPr>
    </w:p>
    <w:p>
      <w:pPr>
        <w:ind w:left="760" w:hanging="33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deep domain knowledge and solutions in financial industry verticals;</w:t>
      </w:r>
    </w:p>
    <w:p>
      <w:pPr>
        <w:spacing w:after="0" w:line="225" w:lineRule="exact"/>
        <w:rPr>
          <w:rFonts w:ascii="Arial" w:cs="Arial" w:eastAsia="Arial" w:hAnsi="Arial"/>
          <w:sz w:val="18"/>
          <w:szCs w:val="18"/>
          <w:color w:val="auto"/>
        </w:rPr>
      </w:pPr>
    </w:p>
    <w:p>
      <w:pPr>
        <w:ind w:left="760" w:hanging="33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engagements with financial blue-chip clients most of which have been with us since our inception;</w:t>
      </w:r>
    </w:p>
    <w:p>
      <w:pPr>
        <w:spacing w:after="0" w:line="225" w:lineRule="exact"/>
        <w:rPr>
          <w:rFonts w:ascii="Arial" w:cs="Arial" w:eastAsia="Arial" w:hAnsi="Arial"/>
          <w:sz w:val="18"/>
          <w:szCs w:val="18"/>
          <w:color w:val="auto"/>
        </w:rPr>
      </w:pPr>
    </w:p>
    <w:p>
      <w:pPr>
        <w:ind w:left="760" w:hanging="33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comprehensive service offerings including financial IT solutions &amp; consulting as well as other services;</w:t>
      </w:r>
    </w:p>
    <w:p>
      <w:pPr>
        <w:spacing w:after="0" w:line="225" w:lineRule="exact"/>
        <w:rPr>
          <w:rFonts w:ascii="Arial" w:cs="Arial" w:eastAsia="Arial" w:hAnsi="Arial"/>
          <w:sz w:val="18"/>
          <w:szCs w:val="18"/>
          <w:color w:val="auto"/>
        </w:rPr>
      </w:pPr>
    </w:p>
    <w:p>
      <w:pPr>
        <w:ind w:left="760" w:hanging="33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experienced senior management team with proven track record of success.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prospects should be considered in light of the risks, uncertainties, expenses and difficulties frequently encountered by similar companies.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Our ability to realize our business objectives and execute our strategies is subject to risks and uncertainties, including, among others, the following:</w:t>
      </w:r>
    </w:p>
    <w:p>
      <w:pPr>
        <w:spacing w:after="0" w:line="234" w:lineRule="exact"/>
        <w:rPr>
          <w:sz w:val="20"/>
          <w:szCs w:val="20"/>
          <w:color w:val="auto"/>
        </w:rPr>
      </w:pPr>
    </w:p>
    <w:p>
      <w:pPr>
        <w:ind w:left="760" w:hanging="334"/>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inability to effectively manage our rapid growth, which could place significant strain on our management personnel, systems and resources</w:t>
      </w:r>
    </w:p>
    <w:p>
      <w:pPr>
        <w:spacing w:after="0" w:line="126" w:lineRule="exact"/>
        <w:rPr>
          <w:rFonts w:ascii="Arial" w:cs="Arial" w:eastAsia="Arial" w:hAnsi="Arial"/>
          <w:sz w:val="16"/>
          <w:szCs w:val="16"/>
          <w:color w:val="auto"/>
        </w:rPr>
      </w:pPr>
    </w:p>
    <w:p>
      <w:pPr>
        <w:ind w:left="760" w:hanging="33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changes in the economic environment either in China or globally</w:t>
      </w:r>
    </w:p>
    <w:p>
      <w:pPr>
        <w:spacing w:after="0" w:line="103" w:lineRule="exact"/>
        <w:rPr>
          <w:rFonts w:ascii="Arial" w:cs="Arial" w:eastAsia="Arial" w:hAnsi="Arial"/>
          <w:sz w:val="18"/>
          <w:szCs w:val="18"/>
          <w:color w:val="auto"/>
        </w:rPr>
      </w:pPr>
    </w:p>
    <w:p>
      <w:pPr>
        <w:ind w:left="760" w:hanging="33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intense competition from onshore and offshore IT services companies</w:t>
      </w:r>
    </w:p>
    <w:p>
      <w:pPr>
        <w:spacing w:after="0" w:line="103" w:lineRule="exact"/>
        <w:rPr>
          <w:rFonts w:ascii="Arial" w:cs="Arial" w:eastAsia="Arial" w:hAnsi="Arial"/>
          <w:sz w:val="18"/>
          <w:szCs w:val="18"/>
          <w:color w:val="auto"/>
        </w:rPr>
      </w:pPr>
    </w:p>
    <w:p>
      <w:pPr>
        <w:ind w:left="760" w:hanging="33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intense competition for highly skilled personnel</w:t>
      </w:r>
    </w:p>
    <w:p>
      <w:pPr>
        <w:spacing w:after="0" w:line="103" w:lineRule="exact"/>
        <w:rPr>
          <w:rFonts w:ascii="Arial" w:cs="Arial" w:eastAsia="Arial" w:hAnsi="Arial"/>
          <w:sz w:val="18"/>
          <w:szCs w:val="18"/>
          <w:color w:val="auto"/>
        </w:rPr>
      </w:pPr>
    </w:p>
    <w:p>
      <w:pPr>
        <w:ind w:left="760" w:hanging="33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a relatively small number of major clients</w:t>
      </w:r>
    </w:p>
    <w:p>
      <w:pPr>
        <w:spacing w:after="0" w:line="103" w:lineRule="exact"/>
        <w:rPr>
          <w:rFonts w:ascii="Arial" w:cs="Arial" w:eastAsia="Arial" w:hAnsi="Arial"/>
          <w:sz w:val="18"/>
          <w:szCs w:val="18"/>
          <w:color w:val="auto"/>
        </w:rPr>
      </w:pPr>
    </w:p>
    <w:p>
      <w:pPr>
        <w:ind w:left="760" w:hanging="33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anticipate and develop new services and enhance existing services to keep pace with rapid changes in technology</w:t>
      </w:r>
    </w:p>
    <w:p>
      <w:pPr>
        <w:spacing w:after="0" w:line="103" w:lineRule="exact"/>
        <w:rPr>
          <w:rFonts w:ascii="Arial" w:cs="Arial" w:eastAsia="Arial" w:hAnsi="Arial"/>
          <w:sz w:val="18"/>
          <w:szCs w:val="18"/>
          <w:color w:val="auto"/>
        </w:rPr>
      </w:pPr>
    </w:p>
    <w:p>
      <w:pPr>
        <w:ind w:left="760" w:hanging="33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integrate or manage acquired companies efficiently</w:t>
      </w:r>
    </w:p>
    <w:p>
      <w:pPr>
        <w:spacing w:after="0" w:line="103" w:lineRule="exact"/>
        <w:rPr>
          <w:rFonts w:ascii="Arial" w:cs="Arial" w:eastAsia="Arial" w:hAnsi="Arial"/>
          <w:sz w:val="18"/>
          <w:szCs w:val="18"/>
          <w:color w:val="auto"/>
        </w:rPr>
      </w:pPr>
    </w:p>
    <w:p>
      <w:pPr>
        <w:ind w:left="760" w:hanging="33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new clients for our services and/or growing revenues from existing clients</w:t>
      </w:r>
    </w:p>
    <w:p>
      <w:pPr>
        <w:spacing w:after="0" w:line="103" w:lineRule="exact"/>
        <w:rPr>
          <w:rFonts w:ascii="Arial" w:cs="Arial" w:eastAsia="Arial" w:hAnsi="Arial"/>
          <w:sz w:val="18"/>
          <w:szCs w:val="18"/>
          <w:color w:val="auto"/>
        </w:rPr>
      </w:pPr>
    </w:p>
    <w:p>
      <w:pPr>
        <w:ind w:left="760" w:hanging="334"/>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having a long selling and implementation cycle for our services that require us to make significant resource commitments prior to realizing revenues for those services</w:t>
      </w:r>
    </w:p>
    <w:p>
      <w:pPr>
        <w:spacing w:after="0" w:line="48" w:lineRule="exact"/>
        <w:rPr>
          <w:rFonts w:ascii="Arial" w:cs="Arial" w:eastAsia="Arial" w:hAnsi="Arial"/>
          <w:sz w:val="18"/>
          <w:szCs w:val="18"/>
          <w:color w:val="auto"/>
        </w:rPr>
      </w:pPr>
    </w:p>
    <w:p>
      <w:pPr>
        <w:ind w:left="760" w:hanging="33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wages for professionals in China</w:t>
      </w:r>
    </w:p>
    <w:p>
      <w:pPr>
        <w:spacing w:after="0" w:line="103" w:lineRule="exact"/>
        <w:rPr>
          <w:rFonts w:ascii="Arial" w:cs="Arial" w:eastAsia="Arial" w:hAnsi="Arial"/>
          <w:sz w:val="18"/>
          <w:szCs w:val="18"/>
          <w:color w:val="auto"/>
        </w:rPr>
      </w:pPr>
    </w:p>
    <w:p>
      <w:pPr>
        <w:ind w:left="760" w:hanging="33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international nature of our business</w:t>
      </w:r>
    </w:p>
    <w:p>
      <w:pPr>
        <w:sectPr>
          <w:pgSz w:w="11900" w:h="16838" w:orient="portrait"/>
          <w:cols w:equalWidth="0" w:num="1">
            <w:col w:w="11040"/>
          </w:cols>
          <w:pgMar w:left="320" w:top="226" w:right="5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226" w:right="539" w:bottom="1440" w:gutter="0" w:footer="0" w:header="0"/>
          <w:type w:val="continuous"/>
        </w:sectPr>
      </w:pPr>
    </w:p>
    <w:bookmarkStart w:id="11" w:name="page12"/>
    <w:bookmarkEnd w:id="1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01840" cy="84480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1840" cy="8448040"/>
                    </a:xfrm>
                    <a:prstGeom prst="rect">
                      <a:avLst/>
                    </a:prstGeom>
                    <a:noFill/>
                  </pic:spPr>
                </pic:pic>
              </a:graphicData>
            </a:graphic>
          </wp:anchor>
        </w:drawing>
      </w:r>
    </w:p>
    <w:p>
      <w:pPr>
        <w:spacing w:after="0" w:line="288" w:lineRule="exact"/>
        <w:rPr>
          <w:sz w:val="20"/>
          <w:szCs w:val="20"/>
          <w:color w:val="auto"/>
        </w:rPr>
      </w:pPr>
    </w:p>
    <w:p>
      <w:pPr>
        <w:ind w:left="760" w:hanging="33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unauthorized disclosure of sensitive and confidential information</w:t>
      </w:r>
    </w:p>
    <w:p>
      <w:pPr>
        <w:spacing w:after="0" w:line="225" w:lineRule="exact"/>
        <w:rPr>
          <w:rFonts w:ascii="Arial" w:cs="Arial" w:eastAsia="Arial" w:hAnsi="Arial"/>
          <w:sz w:val="18"/>
          <w:szCs w:val="18"/>
          <w:color w:val="auto"/>
        </w:rPr>
      </w:pPr>
    </w:p>
    <w:p>
      <w:pPr>
        <w:ind w:left="760" w:hanging="33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intellectual property infringement claims</w:t>
      </w:r>
    </w:p>
    <w:p>
      <w:pPr>
        <w:spacing w:after="0" w:line="225" w:lineRule="exact"/>
        <w:rPr>
          <w:rFonts w:ascii="Arial" w:cs="Arial" w:eastAsia="Arial" w:hAnsi="Arial"/>
          <w:sz w:val="18"/>
          <w:szCs w:val="18"/>
          <w:color w:val="auto"/>
        </w:rPr>
      </w:pPr>
    </w:p>
    <w:p>
      <w:pPr>
        <w:ind w:left="760" w:hanging="334"/>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losses resulting from business interruptions resulting from occurrence of natural disasters, health epidemics and other outbreaks or events</w:t>
      </w:r>
    </w:p>
    <w:p>
      <w:pPr>
        <w:spacing w:after="0" w:line="248" w:lineRule="exact"/>
        <w:rPr>
          <w:rFonts w:ascii="Arial" w:cs="Arial" w:eastAsia="Arial" w:hAnsi="Arial"/>
          <w:sz w:val="16"/>
          <w:szCs w:val="16"/>
          <w:color w:val="auto"/>
        </w:rPr>
      </w:pPr>
    </w:p>
    <w:p>
      <w:pPr>
        <w:ind w:left="760" w:hanging="33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 in the value of the Renminbi and other currencies</w:t>
      </w:r>
    </w:p>
    <w:p>
      <w:pPr>
        <w:spacing w:after="0" w:line="225" w:lineRule="exact"/>
        <w:rPr>
          <w:rFonts w:ascii="Arial" w:cs="Arial" w:eastAsia="Arial" w:hAnsi="Arial"/>
          <w:sz w:val="18"/>
          <w:szCs w:val="18"/>
          <w:color w:val="auto"/>
        </w:rPr>
      </w:pPr>
    </w:p>
    <w:p>
      <w:pPr>
        <w:ind w:left="760" w:hanging="33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in telecommunications or significant failure in our IT systems that could harm our service model</w:t>
      </w:r>
    </w:p>
    <w:p>
      <w:pPr>
        <w:spacing w:after="0" w:line="225" w:lineRule="exact"/>
        <w:rPr>
          <w:rFonts w:ascii="Arial" w:cs="Arial" w:eastAsia="Arial" w:hAnsi="Arial"/>
          <w:sz w:val="18"/>
          <w:szCs w:val="18"/>
          <w:color w:val="auto"/>
        </w:rPr>
      </w:pPr>
    </w:p>
    <w:p>
      <w:pPr>
        <w:ind w:left="760" w:hanging="33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vulnerabilities to security risks that could disrupt our services and adversely affect our results of operations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addition, we face other risks and uncertainties that may materially affect our business prospect, financial condition, and results of operations.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You should consider the risks discussed in “Risk Factors” and elsewhere in this prospectus before investing in our common shares.</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left="100" w:firstLine="648"/>
        <w:spacing w:after="0" w:line="263" w:lineRule="auto"/>
        <w:rPr>
          <w:sz w:val="20"/>
          <w:szCs w:val="20"/>
          <w:color w:val="auto"/>
        </w:rPr>
      </w:pPr>
      <w:r>
        <w:rPr>
          <w:rFonts w:ascii="Arial" w:cs="Arial" w:eastAsia="Arial" w:hAnsi="Arial"/>
          <w:sz w:val="18"/>
          <w:szCs w:val="18"/>
          <w:color w:val="auto"/>
        </w:rPr>
        <w:t xml:space="preserve">Our principal executive office is located on the 2nd Floor, Building 18, Shanghai Pudong Software Park, 498 Guoshoujing Road, Pudong, Shanghai 201203, PRC. Our telephone number is (+86)21-31268010. Our websites is as follows www.clpsglobal.com. </w:t>
      </w:r>
      <w:r>
        <w:rPr>
          <w:rFonts w:ascii="Arial" w:cs="Arial" w:eastAsia="Arial" w:hAnsi="Arial"/>
          <w:sz w:val="18"/>
          <w:szCs w:val="18"/>
          <w:b w:val="1"/>
          <w:bCs w:val="1"/>
          <w:color w:val="auto"/>
        </w:rPr>
        <w:t>The information on our</w:t>
      </w:r>
      <w:r>
        <w:rPr>
          <w:rFonts w:ascii="Arial" w:cs="Arial" w:eastAsia="Arial" w:hAnsi="Arial"/>
          <w:sz w:val="18"/>
          <w:szCs w:val="18"/>
          <w:color w:val="auto"/>
        </w:rPr>
        <w:t xml:space="preserve"> </w:t>
      </w:r>
      <w:r>
        <w:rPr>
          <w:rFonts w:ascii="Arial" w:cs="Arial" w:eastAsia="Arial" w:hAnsi="Arial"/>
          <w:sz w:val="18"/>
          <w:szCs w:val="18"/>
          <w:b w:val="1"/>
          <w:bCs w:val="1"/>
          <w:color w:val="auto"/>
        </w:rPr>
        <w:t>websites is not part of this prospectus.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Corporate Structure</w:t>
      </w:r>
    </w:p>
    <w:p>
      <w:pPr>
        <w:spacing w:after="0" w:line="229" w:lineRule="exact"/>
        <w:rPr>
          <w:sz w:val="20"/>
          <w:szCs w:val="20"/>
          <w:color w:val="auto"/>
        </w:rPr>
      </w:pPr>
    </w:p>
    <w:p>
      <w:pPr>
        <w:ind w:left="100" w:right="100" w:firstLine="648"/>
        <w:spacing w:after="0" w:line="277" w:lineRule="auto"/>
        <w:rPr>
          <w:sz w:val="20"/>
          <w:szCs w:val="20"/>
          <w:color w:val="auto"/>
        </w:rPr>
      </w:pPr>
      <w:r>
        <w:rPr>
          <w:rFonts w:ascii="Arial" w:cs="Arial" w:eastAsia="Arial" w:hAnsi="Arial"/>
          <w:sz w:val="18"/>
          <w:szCs w:val="18"/>
          <w:color w:val="auto"/>
        </w:rPr>
        <w:t>The following diagram illustrates our corporate structure as of the date of this prospectus. For more detail on our corporate history please refer to “Our Corporate Structure” appearing on p. [_] of this prospectus.</w:t>
      </w:r>
    </w:p>
    <w:p>
      <w:pPr>
        <w:sectPr>
          <w:pgSz w:w="11900" w:h="16838" w:orient="portrait"/>
          <w:cols w:equalWidth="0" w:num="1">
            <w:col w:w="11100"/>
          </w:cols>
          <w:pgMar w:left="320" w:top="22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type w:val="continuous"/>
        </w:sectPr>
      </w:pPr>
    </w:p>
    <w:bookmarkStart w:id="12" w:name="page13"/>
    <w:bookmarkEnd w:id="1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01840" cy="53276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1840" cy="532765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100" w:firstLine="648"/>
        <w:spacing w:after="0" w:line="263"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or JOBS Act, enacted in April 2012, and may take advantage of reduced reporting requirements that are otherwise applicable to public companies. These provisions include, but are not limited to:</w:t>
      </w:r>
    </w:p>
    <w:p>
      <w:pPr>
        <w:spacing w:after="0" w:line="184" w:lineRule="exact"/>
        <w:rPr>
          <w:sz w:val="20"/>
          <w:szCs w:val="20"/>
          <w:color w:val="auto"/>
        </w:rPr>
      </w:pPr>
    </w:p>
    <w:p>
      <w:pPr>
        <w:ind w:left="760" w:right="40" w:hanging="334"/>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our SEC filings;</w:t>
      </w:r>
    </w:p>
    <w:p>
      <w:pPr>
        <w:spacing w:after="0" w:line="170" w:lineRule="exact"/>
        <w:rPr>
          <w:rFonts w:ascii="Arial" w:cs="Arial" w:eastAsia="Arial" w:hAnsi="Arial"/>
          <w:sz w:val="18"/>
          <w:szCs w:val="18"/>
          <w:color w:val="auto"/>
        </w:rPr>
      </w:pPr>
    </w:p>
    <w:p>
      <w:pPr>
        <w:ind w:left="760" w:hanging="33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225" w:lineRule="exact"/>
        <w:rPr>
          <w:rFonts w:ascii="Arial" w:cs="Arial" w:eastAsia="Arial" w:hAnsi="Arial"/>
          <w:sz w:val="18"/>
          <w:szCs w:val="18"/>
          <w:color w:val="auto"/>
        </w:rPr>
      </w:pPr>
    </w:p>
    <w:p>
      <w:pPr>
        <w:ind w:left="760" w:hanging="334"/>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periodic reports, proxy statements and registration statements; and</w:t>
      </w:r>
    </w:p>
    <w:p>
      <w:pPr>
        <w:spacing w:after="0" w:line="236" w:lineRule="exact"/>
        <w:rPr>
          <w:rFonts w:ascii="Arial" w:cs="Arial" w:eastAsia="Arial" w:hAnsi="Arial"/>
          <w:sz w:val="17"/>
          <w:szCs w:val="17"/>
          <w:color w:val="auto"/>
        </w:rPr>
      </w:pPr>
    </w:p>
    <w:p>
      <w:pPr>
        <w:ind w:left="760" w:right="160" w:hanging="334"/>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100" w:right="60" w:firstLine="648"/>
        <w:spacing w:after="0" w:line="257"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However, if certain events occur before the end of such five-year period, including if we become a “large accelerated filer,” our annual gross revenues exceed $1.07 billion or we issue more than $1.00 billion of non-convertible debt in any three-year period, we will cease to be an emerging growth company before the end of such five-year period.</w:t>
      </w:r>
    </w:p>
    <w:p>
      <w:pPr>
        <w:spacing w:after="0" w:line="188" w:lineRule="exact"/>
        <w:rPr>
          <w:sz w:val="20"/>
          <w:szCs w:val="20"/>
          <w:color w:val="auto"/>
        </w:rPr>
      </w:pPr>
    </w:p>
    <w:p>
      <w:pPr>
        <w:ind w:left="100" w:right="140" w:firstLine="648"/>
        <w:spacing w:after="0" w:line="259" w:lineRule="auto"/>
        <w:rPr>
          <w:sz w:val="20"/>
          <w:szCs w:val="20"/>
          <w:color w:val="auto"/>
        </w:rPr>
      </w:pPr>
      <w:r>
        <w:rPr>
          <w:rFonts w:ascii="Arial" w:cs="Arial" w:eastAsia="Arial" w:hAnsi="Arial"/>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We have elected to take advantage of the extended transition period for complying with new or revised accounting standards and acknowledge such election is irrevocable pursuant to Section 107 of the JOBS Act.</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Foreign Private Issuer Status</w:t>
      </w:r>
    </w:p>
    <w:p>
      <w:pPr>
        <w:spacing w:after="0" w:line="229" w:lineRule="exact"/>
        <w:rPr>
          <w:sz w:val="20"/>
          <w:szCs w:val="20"/>
          <w:color w:val="auto"/>
        </w:rPr>
      </w:pPr>
    </w:p>
    <w:p>
      <w:pPr>
        <w:ind w:left="100" w:right="40" w:firstLine="648"/>
        <w:spacing w:after="0" w:line="272" w:lineRule="auto"/>
        <w:rPr>
          <w:sz w:val="20"/>
          <w:szCs w:val="20"/>
          <w:color w:val="auto"/>
        </w:rPr>
      </w:pPr>
      <w:r>
        <w:rPr>
          <w:rFonts w:ascii="Arial" w:cs="Arial" w:eastAsia="Arial" w:hAnsi="Arial"/>
          <w:sz w:val="17"/>
          <w:szCs w:val="17"/>
          <w:color w:val="auto"/>
        </w:rPr>
        <w:t>We are incorporated in the Cayman Islands, and more than 50 percent of our outstanding voting securities are not directly or indirectly held by residents of the United States. Therefore, we are a “foreign private issuer,” as defined in Rule 405 under the Securities Act and Rule 3b-4(c) under the Exchange Act.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w:t>
      </w: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146685</wp:posOffset>
            </wp:positionV>
            <wp:extent cx="7033260" cy="68364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3260" cy="683641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Offering</w:t>
      </w:r>
    </w:p>
    <w:p>
      <w:pPr>
        <w:spacing w:after="0" w:line="225" w:lineRule="exact"/>
        <w:rPr>
          <w:sz w:val="20"/>
          <w:szCs w:val="20"/>
          <w:color w:val="auto"/>
        </w:rPr>
      </w:pPr>
    </w:p>
    <w:p>
      <w:pPr>
        <w:ind w:left="180"/>
        <w:spacing w:after="0"/>
        <w:tabs>
          <w:tab w:leader="none" w:pos="5060" w:val="left"/>
        </w:tabs>
        <w:rPr>
          <w:sz w:val="20"/>
          <w:szCs w:val="20"/>
          <w:color w:val="auto"/>
        </w:rPr>
      </w:pPr>
      <w:r>
        <w:rPr>
          <w:rFonts w:ascii="Arial" w:cs="Arial" w:eastAsia="Arial" w:hAnsi="Arial"/>
          <w:sz w:val="18"/>
          <w:szCs w:val="18"/>
          <w:b w:val="1"/>
          <w:bCs w:val="1"/>
          <w:color w:val="auto"/>
        </w:rPr>
        <w:t>Shares Offered</w:t>
      </w:r>
      <w:r>
        <w:rPr>
          <w:sz w:val="20"/>
          <w:szCs w:val="20"/>
          <w:color w:val="auto"/>
        </w:rPr>
        <w:tab/>
      </w:r>
      <w:r>
        <w:rPr>
          <w:rFonts w:ascii="Arial" w:cs="Arial" w:eastAsia="Arial" w:hAnsi="Arial"/>
          <w:sz w:val="16"/>
          <w:szCs w:val="16"/>
          <w:color w:val="auto"/>
        </w:rPr>
        <w:t>[_] common shares</w:t>
      </w:r>
    </w:p>
    <w:p>
      <w:pPr>
        <w:spacing w:after="0" w:line="225" w:lineRule="exact"/>
        <w:rPr>
          <w:sz w:val="20"/>
          <w:szCs w:val="20"/>
          <w:color w:val="auto"/>
        </w:rPr>
      </w:pPr>
    </w:p>
    <w:p>
      <w:pPr>
        <w:ind w:left="180"/>
        <w:spacing w:after="0"/>
        <w:tabs>
          <w:tab w:leader="none" w:pos="5060" w:val="left"/>
        </w:tabs>
        <w:rPr>
          <w:sz w:val="20"/>
          <w:szCs w:val="20"/>
          <w:color w:val="auto"/>
        </w:rPr>
      </w:pPr>
      <w:r>
        <w:rPr>
          <w:rFonts w:ascii="Arial" w:cs="Arial" w:eastAsia="Arial" w:hAnsi="Arial"/>
          <w:sz w:val="18"/>
          <w:szCs w:val="18"/>
          <w:b w:val="1"/>
          <w:bCs w:val="1"/>
          <w:color w:val="auto"/>
        </w:rPr>
        <w:t>Over-allotment Option</w:t>
      </w:r>
      <w:r>
        <w:rPr>
          <w:sz w:val="20"/>
          <w:szCs w:val="20"/>
          <w:color w:val="auto"/>
        </w:rPr>
        <w:tab/>
      </w:r>
      <w:r>
        <w:rPr>
          <w:rFonts w:ascii="Arial" w:cs="Arial" w:eastAsia="Arial" w:hAnsi="Arial"/>
          <w:sz w:val="16"/>
          <w:szCs w:val="16"/>
          <w:color w:val="auto"/>
        </w:rPr>
        <w:t>We have granted the underwriters 45 days from the date of this prospectus, to</w:t>
      </w:r>
    </w:p>
    <w:p>
      <w:pPr>
        <w:spacing w:after="0" w:line="27" w:lineRule="exact"/>
        <w:rPr>
          <w:sz w:val="20"/>
          <w:szCs w:val="20"/>
          <w:color w:val="auto"/>
        </w:rPr>
      </w:pPr>
    </w:p>
    <w:p>
      <w:pPr>
        <w:ind w:left="5080" w:right="40"/>
        <w:spacing w:after="0" w:line="260" w:lineRule="auto"/>
        <w:rPr>
          <w:sz w:val="20"/>
          <w:szCs w:val="20"/>
          <w:color w:val="auto"/>
        </w:rPr>
      </w:pPr>
      <w:r>
        <w:rPr>
          <w:rFonts w:ascii="Arial" w:cs="Arial" w:eastAsia="Arial" w:hAnsi="Arial"/>
          <w:sz w:val="18"/>
          <w:szCs w:val="18"/>
          <w:color w:val="auto"/>
        </w:rPr>
        <w:t>purchase up to an additional [_] shares on the same terms as the other shares being purchased by the underwriters from us.</w:t>
      </w:r>
    </w:p>
    <w:p>
      <w:pPr>
        <w:sectPr>
          <w:pgSz w:w="11900" w:h="16838" w:orient="portrait"/>
          <w:cols w:equalWidth="0" w:num="1">
            <w:col w:w="11060"/>
          </w:cols>
          <w:pgMar w:left="320" w:top="226" w:right="519" w:bottom="1440" w:gutter="0" w:footer="0" w:header="0"/>
        </w:sectPr>
      </w:pPr>
    </w:p>
    <w:p>
      <w:pPr>
        <w:spacing w:after="0" w:line="181" w:lineRule="exact"/>
        <w:rPr>
          <w:sz w:val="20"/>
          <w:szCs w:val="20"/>
          <w:color w:val="auto"/>
        </w:rPr>
      </w:pPr>
    </w:p>
    <w:p>
      <w:pPr>
        <w:ind w:left="180" w:right="1200"/>
        <w:spacing w:after="0" w:line="516" w:lineRule="auto"/>
        <w:rPr>
          <w:sz w:val="20"/>
          <w:szCs w:val="20"/>
          <w:color w:val="auto"/>
        </w:rPr>
      </w:pPr>
      <w:r>
        <w:rPr>
          <w:rFonts w:ascii="Arial" w:cs="Arial" w:eastAsia="Arial" w:hAnsi="Arial"/>
          <w:sz w:val="18"/>
          <w:szCs w:val="18"/>
          <w:b w:val="1"/>
          <w:bCs w:val="1"/>
          <w:color w:val="auto"/>
        </w:rPr>
        <w:t>Shares outstanding before this offering Shares outstanding after this offering Use of Proceeds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[_]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 shares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estimate that our net proceeds from this offering will be approximately $[_] million, based on an assumed initial public offering price of $[_] per share, which is the midpoint of the range set forth on the cover page of this prospectus, and after deducting estimated underwriting discounts and commissions and estimated offering expenses and assuming no exercise of the over-allotment option granted to the underwriters. We intend to use the net proceeds from this offering for global expansion, R&amp;D, talent development and working capital and general corporate purposes. See “Use of Proceeds” for more information.</w:t>
      </w:r>
    </w:p>
    <w:p>
      <w:pPr>
        <w:spacing w:after="0" w:line="161" w:lineRule="exact"/>
        <w:rPr>
          <w:sz w:val="20"/>
          <w:szCs w:val="20"/>
          <w:color w:val="auto"/>
        </w:rPr>
      </w:pPr>
    </w:p>
    <w:p>
      <w:pPr>
        <w:sectPr>
          <w:pgSz w:w="11900" w:h="16838" w:orient="portrait"/>
          <w:cols w:equalWidth="0" w:num="2">
            <w:col w:w="4360" w:space="720"/>
            <w:col w:w="5980"/>
          </w:cols>
          <w:pgMar w:left="320" w:top="226" w:right="519" w:bottom="1440" w:gutter="0" w:footer="0" w:header="0"/>
          <w:type w:val="continuous"/>
        </w:sectPr>
      </w:pPr>
    </w:p>
    <w:p>
      <w:pPr>
        <w:ind w:left="180"/>
        <w:spacing w:after="0"/>
        <w:tabs>
          <w:tab w:leader="none" w:pos="5060" w:val="left"/>
        </w:tabs>
        <w:rPr>
          <w:sz w:val="20"/>
          <w:szCs w:val="20"/>
          <w:color w:val="auto"/>
        </w:rPr>
      </w:pPr>
      <w:r>
        <w:rPr>
          <w:rFonts w:ascii="Arial" w:cs="Arial" w:eastAsia="Arial" w:hAnsi="Arial"/>
          <w:sz w:val="18"/>
          <w:szCs w:val="18"/>
          <w:b w:val="1"/>
          <w:bCs w:val="1"/>
          <w:color w:val="auto"/>
        </w:rPr>
        <w:t>Underwriters’ Warrants</w:t>
      </w:r>
      <w:r>
        <w:rPr>
          <w:sz w:val="20"/>
          <w:szCs w:val="20"/>
          <w:color w:val="auto"/>
        </w:rPr>
        <w:tab/>
      </w:r>
      <w:r>
        <w:rPr>
          <w:rFonts w:ascii="Arial" w:cs="Arial" w:eastAsia="Arial" w:hAnsi="Arial"/>
          <w:sz w:val="16"/>
          <w:szCs w:val="16"/>
          <w:color w:val="auto"/>
        </w:rPr>
        <w:t>Upon the closing of this offering, we will issue to Cuttone &amp; Co., LLC and The</w:t>
      </w:r>
    </w:p>
    <w:p>
      <w:pPr>
        <w:spacing w:after="0" w:line="27" w:lineRule="exact"/>
        <w:rPr>
          <w:sz w:val="20"/>
          <w:szCs w:val="20"/>
          <w:color w:val="auto"/>
        </w:rPr>
      </w:pPr>
    </w:p>
    <w:p>
      <w:pPr>
        <w:ind w:left="5080" w:right="20"/>
        <w:spacing w:after="0" w:line="253" w:lineRule="auto"/>
        <w:rPr>
          <w:sz w:val="20"/>
          <w:szCs w:val="20"/>
          <w:color w:val="auto"/>
        </w:rPr>
      </w:pPr>
      <w:r>
        <w:rPr>
          <w:rFonts w:ascii="Arial" w:cs="Arial" w:eastAsia="Arial" w:hAnsi="Arial"/>
          <w:sz w:val="18"/>
          <w:szCs w:val="18"/>
          <w:color w:val="auto"/>
        </w:rPr>
        <w:t>Benchmark Company, as representatives of the underwriters, warrants entitling the representatives to purchase [_]% of the aggregate number of shares issued in this offering. The warrants shall be exercisable for a period of five years from the effective date of the Registration Statement on Form F-1 of which this prospectus forms a part.</w:t>
      </w:r>
    </w:p>
    <w:p>
      <w:pPr>
        <w:spacing w:after="0" w:line="187" w:lineRule="exact"/>
        <w:rPr>
          <w:sz w:val="20"/>
          <w:szCs w:val="20"/>
          <w:color w:val="auto"/>
        </w:rPr>
      </w:pPr>
    </w:p>
    <w:p>
      <w:pPr>
        <w:ind w:left="180"/>
        <w:spacing w:after="0"/>
        <w:tabs>
          <w:tab w:leader="none" w:pos="5060" w:val="left"/>
        </w:tabs>
        <w:rPr>
          <w:sz w:val="20"/>
          <w:szCs w:val="20"/>
          <w:color w:val="auto"/>
        </w:rPr>
      </w:pPr>
      <w:r>
        <w:rPr>
          <w:rFonts w:ascii="Arial" w:cs="Arial" w:eastAsia="Arial" w:hAnsi="Arial"/>
          <w:sz w:val="18"/>
          <w:szCs w:val="18"/>
          <w:b w:val="1"/>
          <w:bCs w:val="1"/>
          <w:color w:val="auto"/>
        </w:rPr>
        <w:t>NASDAQ Trading symbol</w:t>
      </w:r>
      <w:r>
        <w:rPr>
          <w:sz w:val="20"/>
          <w:szCs w:val="20"/>
          <w:color w:val="auto"/>
        </w:rPr>
        <w:tab/>
      </w:r>
      <w:r>
        <w:rPr>
          <w:rFonts w:ascii="Arial" w:cs="Arial" w:eastAsia="Arial" w:hAnsi="Arial"/>
          <w:sz w:val="16"/>
          <w:szCs w:val="16"/>
          <w:color w:val="auto"/>
        </w:rPr>
        <w:t>We intend to apply for listing of our common shares on the NASDAQ Capital</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Market under the symbol “CLPS”.</w:t>
      </w:r>
    </w:p>
    <w:p>
      <w:pPr>
        <w:spacing w:after="0" w:line="207" w:lineRule="exact"/>
        <w:rPr>
          <w:sz w:val="20"/>
          <w:szCs w:val="20"/>
          <w:color w:val="auto"/>
        </w:rPr>
      </w:pPr>
    </w:p>
    <w:p>
      <w:pPr>
        <w:ind w:left="180"/>
        <w:spacing w:after="0"/>
        <w:tabs>
          <w:tab w:leader="none" w:pos="506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5"/>
          <w:szCs w:val="15"/>
          <w:b w:val="1"/>
          <w:bCs w:val="1"/>
          <w:color w:val="auto"/>
        </w:rPr>
        <w:t xml:space="preserve">Investing in these securities involves a high degree of risk. </w:t>
      </w:r>
      <w:r>
        <w:rPr>
          <w:rFonts w:ascii="Arial" w:cs="Arial" w:eastAsia="Arial" w:hAnsi="Arial"/>
          <w:sz w:val="15"/>
          <w:szCs w:val="15"/>
          <w:color w:val="auto"/>
        </w:rPr>
        <w:t>As an investor, you</w:t>
      </w:r>
    </w:p>
    <w:p>
      <w:pPr>
        <w:spacing w:after="0" w:line="27" w:lineRule="exact"/>
        <w:rPr>
          <w:sz w:val="20"/>
          <w:szCs w:val="20"/>
          <w:color w:val="auto"/>
        </w:rPr>
      </w:pPr>
    </w:p>
    <w:p>
      <w:pPr>
        <w:ind w:left="5080" w:right="140"/>
        <w:spacing w:after="0" w:line="255" w:lineRule="auto"/>
        <w:rPr>
          <w:sz w:val="20"/>
          <w:szCs w:val="20"/>
          <w:color w:val="auto"/>
        </w:rPr>
      </w:pPr>
      <w:r>
        <w:rPr>
          <w:rFonts w:ascii="Arial" w:cs="Arial" w:eastAsia="Arial" w:hAnsi="Arial"/>
          <w:sz w:val="18"/>
          <w:szCs w:val="18"/>
          <w:color w:val="auto"/>
        </w:rPr>
        <w:t>should be able to bear a complete loss of your investment. You should carefully consider the information set forth in the “Risk Factors” section of this prospectus before deciding to invest in our common shares.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180" w:right="80" w:firstLine="648"/>
        <w:spacing w:after="0" w:line="293" w:lineRule="auto"/>
        <w:rPr>
          <w:sz w:val="20"/>
          <w:szCs w:val="20"/>
          <w:color w:val="auto"/>
        </w:rPr>
      </w:pPr>
      <w:r>
        <w:rPr>
          <w:rFonts w:ascii="Arial" w:cs="Arial" w:eastAsia="Arial" w:hAnsi="Arial"/>
          <w:sz w:val="16"/>
          <w:szCs w:val="16"/>
          <w:color w:val="auto"/>
        </w:rPr>
        <w:t>The following summary consolidated statements of operations and cash flow data for the years ended June 30, 2017 and 2016 and the summary consolidated balance sheet data as of June 30, 2017 and June 30, 2016 have been derived from our audited consolidated financial statements included elsewhere in this prospectus. You should read the summary consolidated financial data in conjunction with those financial statements and the accompanying notes and “Management’s Discussion and Analysis of Financial Condition and Results of Operations.” Our consolidated financial statements are prepared and presented in accordance with United States generally accepted accounting principles, or U.S. GAAP, our consolidated financial statements have been prepared as if the current corporate structure had been in existence throughout the periods presented.</w:t>
      </w:r>
    </w:p>
    <w:p>
      <w:pPr>
        <w:spacing w:after="0" w:line="164" w:lineRule="exact"/>
        <w:rPr>
          <w:sz w:val="20"/>
          <w:szCs w:val="20"/>
          <w:color w:val="auto"/>
        </w:rPr>
      </w:pPr>
    </w:p>
    <w:p>
      <w:pPr>
        <w:ind w:left="180" w:right="100" w:firstLine="648"/>
        <w:spacing w:after="0" w:line="311" w:lineRule="auto"/>
        <w:rPr>
          <w:sz w:val="20"/>
          <w:szCs w:val="20"/>
          <w:color w:val="auto"/>
        </w:rPr>
      </w:pPr>
      <w:r>
        <w:rPr>
          <w:rFonts w:ascii="Arial" w:cs="Arial" w:eastAsia="Arial" w:hAnsi="Arial"/>
          <w:sz w:val="16"/>
          <w:szCs w:val="16"/>
          <w:color w:val="auto"/>
        </w:rPr>
        <w:t>Our management believes that the assumptions underlying our financial statements and the above allocations are reasonable. Our financial statements, however, may not necessarily reflect our results of operations, financial position and cash flows as if we had operated as a separate, stand-alone company during the periods presented. You should not view our historical results as an indicator of our future performance.</w:t>
      </w:r>
    </w:p>
    <w:p>
      <w:pPr>
        <w:spacing w:after="0" w:line="200" w:lineRule="exact"/>
        <w:rPr>
          <w:sz w:val="20"/>
          <w:szCs w:val="20"/>
          <w:color w:val="auto"/>
        </w:rPr>
      </w:pP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226" w:right="519" w:bottom="1440"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326390</wp:posOffset>
            </wp:positionV>
            <wp:extent cx="7033260" cy="8259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3260" cy="825944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presents our summary consolidated statements of comprehensive income for the fiscal years ended June 30, 2017 and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2016.</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Statement of Comprehensive Income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U.S. dollars, except number of shares)</w:t>
      </w:r>
    </w:p>
    <w:p>
      <w:pPr>
        <w:spacing w:after="0" w:line="211"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For the years ended</w:t>
      </w:r>
    </w:p>
    <w:p>
      <w:pPr>
        <w:spacing w:after="0" w:line="23" w:lineRule="exact"/>
        <w:rPr>
          <w:sz w:val="20"/>
          <w:szCs w:val="20"/>
          <w:color w:val="auto"/>
        </w:rPr>
      </w:pPr>
    </w:p>
    <w:p>
      <w:pPr>
        <w:ind w:left="9460"/>
        <w:spacing w:after="0"/>
        <w:rPr>
          <w:sz w:val="20"/>
          <w:szCs w:val="20"/>
          <w:color w:val="auto"/>
        </w:rPr>
      </w:pPr>
      <w:r>
        <w:rPr>
          <w:rFonts w:ascii="Arial" w:cs="Arial" w:eastAsia="Arial" w:hAnsi="Arial"/>
          <w:sz w:val="18"/>
          <w:szCs w:val="18"/>
          <w:color w:val="auto"/>
        </w:rPr>
        <w:t>June 30,</w:t>
      </w:r>
    </w:p>
    <w:p>
      <w:pPr>
        <w:spacing w:after="0" w:line="9" w:lineRule="exact"/>
        <w:rPr>
          <w:sz w:val="20"/>
          <w:szCs w:val="20"/>
          <w:color w:val="auto"/>
        </w:rPr>
      </w:pPr>
    </w:p>
    <w:tbl>
      <w:tblPr>
        <w:tblLayout w:type="fixed"/>
        <w:tblInd w:w="160" w:type="dxa"/>
        <w:tblCellMar>
          <w:top w:w="0" w:type="dxa"/>
          <w:left w:w="0" w:type="dxa"/>
          <w:bottom w:w="0" w:type="dxa"/>
          <w:right w:w="0" w:type="dxa"/>
        </w:tblCellMar>
      </w:tblPr>
      <w:tr>
        <w:trPr>
          <w:trHeight w:val="243"/>
        </w:trPr>
        <w:tc>
          <w:tcPr>
            <w:tcW w:w="8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31,361,976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29,024,178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Less: Cost of revenues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w w:val="94"/>
              </w:rPr>
              <w:t>(18,669,812)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5"/>
              </w:rPr>
              <w:t>(17,463,416)</w:t>
            </w:r>
          </w:p>
        </w:tc>
        <w:tc>
          <w:tcPr>
            <w:tcW w:w="0" w:type="dxa"/>
            <w:vAlign w:val="bottom"/>
          </w:tcPr>
          <w:p>
            <w:pPr>
              <w:spacing w:after="0"/>
              <w:rPr>
                <w:sz w:val="1"/>
                <w:szCs w:val="1"/>
                <w:color w:val="auto"/>
              </w:rPr>
            </w:pPr>
          </w:p>
        </w:tc>
      </w:tr>
      <w:tr>
        <w:trPr>
          <w:trHeight w:val="223"/>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12,692,164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1,206,493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413,016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4,232,788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5,579,058</w:t>
            </w:r>
          </w:p>
        </w:tc>
        <w:tc>
          <w:tcPr>
            <w:tcW w:w="0" w:type="dxa"/>
            <w:vAlign w:val="bottom"/>
          </w:tcPr>
          <w:p>
            <w:pPr>
              <w:spacing w:after="0"/>
              <w:rPr>
                <w:sz w:val="1"/>
                <w:szCs w:val="1"/>
                <w:color w:val="auto"/>
              </w:rPr>
            </w:pPr>
          </w:p>
        </w:tc>
      </w:tr>
      <w:tr>
        <w:trPr>
          <w:trHeight w:val="237"/>
        </w:trPr>
        <w:tc>
          <w:tcPr>
            <w:tcW w:w="83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5,647,790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4,955,037</w:t>
            </w:r>
          </w:p>
        </w:tc>
        <w:tc>
          <w:tcPr>
            <w:tcW w:w="0" w:type="dxa"/>
            <w:vAlign w:val="bottom"/>
          </w:tcPr>
          <w:p>
            <w:pPr>
              <w:spacing w:after="0"/>
              <w:rPr>
                <w:sz w:val="1"/>
                <w:szCs w:val="1"/>
                <w:color w:val="auto"/>
              </w:rPr>
            </w:pPr>
          </w:p>
        </w:tc>
      </w:tr>
      <w:tr>
        <w:trPr>
          <w:trHeight w:val="236"/>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11,087,071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10,947,111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20"/>
              <w:spacing w:after="0" w:line="203" w:lineRule="exact"/>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1,605,093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613,651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Subsidies and other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508,187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1,446,408</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(10,469)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216"/>
        </w:trPr>
        <w:tc>
          <w:tcPr>
            <w:tcW w:w="8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0"/>
              <w:spacing w:after="0"/>
              <w:rPr>
                <w:sz w:val="20"/>
                <w:szCs w:val="20"/>
                <w:color w:val="auto"/>
              </w:rPr>
            </w:pPr>
            <w:r>
              <w:rPr>
                <w:rFonts w:ascii="Arial" w:cs="Arial" w:eastAsia="Arial" w:hAnsi="Arial"/>
                <w:sz w:val="18"/>
                <w:szCs w:val="18"/>
                <w:color w:val="auto"/>
              </w:rPr>
              <w:t>Income before income tax</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2,102,811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2,054,124</w:t>
            </w:r>
          </w:p>
        </w:tc>
        <w:tc>
          <w:tcPr>
            <w:tcW w:w="0" w:type="dxa"/>
            <w:vAlign w:val="bottom"/>
          </w:tcPr>
          <w:p>
            <w:pPr>
              <w:spacing w:after="0"/>
              <w:rPr>
                <w:sz w:val="1"/>
                <w:szCs w:val="1"/>
                <w:color w:val="auto"/>
              </w:rPr>
            </w:pPr>
          </w:p>
        </w:tc>
      </w:tr>
      <w:tr>
        <w:trPr>
          <w:trHeight w:val="25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(118,546)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269,153</w:t>
            </w:r>
          </w:p>
        </w:tc>
        <w:tc>
          <w:tcPr>
            <w:tcW w:w="0" w:type="dxa"/>
            <w:vAlign w:val="bottom"/>
          </w:tcPr>
          <w:p>
            <w:pPr>
              <w:spacing w:after="0"/>
              <w:rPr>
                <w:sz w:val="1"/>
                <w:szCs w:val="1"/>
                <w:color w:val="auto"/>
              </w:rPr>
            </w:pPr>
          </w:p>
        </w:tc>
      </w:tr>
      <w:tr>
        <w:trPr>
          <w:trHeight w:val="203"/>
        </w:trPr>
        <w:tc>
          <w:tcPr>
            <w:tcW w:w="832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2,221,357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1,784,971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173,912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(41,141)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attributable to CLPS Incorporation's shareholders</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2,047,445</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1,826,112</w:t>
            </w:r>
          </w:p>
        </w:tc>
        <w:tc>
          <w:tcPr>
            <w:tcW w:w="0" w:type="dxa"/>
            <w:vAlign w:val="bottom"/>
          </w:tcPr>
          <w:p>
            <w:pPr>
              <w:spacing w:after="0"/>
              <w:rPr>
                <w:sz w:val="1"/>
                <w:szCs w:val="1"/>
                <w:color w:val="auto"/>
              </w:rPr>
            </w:pPr>
          </w:p>
        </w:tc>
      </w:tr>
      <w:tr>
        <w:trPr>
          <w:trHeight w:val="216"/>
        </w:trPr>
        <w:tc>
          <w:tcPr>
            <w:tcW w:w="8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(loss) gain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(93,177)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(387,100)</w:t>
            </w:r>
          </w:p>
        </w:tc>
        <w:tc>
          <w:tcPr>
            <w:tcW w:w="0" w:type="dxa"/>
            <w:vAlign w:val="bottom"/>
          </w:tcPr>
          <w:p>
            <w:pPr>
              <w:spacing w:after="0"/>
              <w:rPr>
                <w:sz w:val="1"/>
                <w:szCs w:val="1"/>
                <w:color w:val="auto"/>
              </w:rPr>
            </w:pPr>
          </w:p>
        </w:tc>
      </w:tr>
      <w:tr>
        <w:trPr>
          <w:trHeight w:val="162"/>
        </w:trPr>
        <w:tc>
          <w:tcPr>
            <w:tcW w:w="8320" w:type="dxa"/>
            <w:vAlign w:val="bottom"/>
            <w:vMerge w:val="restart"/>
          </w:tcPr>
          <w:p>
            <w:pPr>
              <w:ind w:left="20"/>
              <w:spacing w:after="0"/>
              <w:rPr>
                <w:sz w:val="20"/>
                <w:szCs w:val="20"/>
                <w:color w:val="auto"/>
              </w:rPr>
            </w:pPr>
            <w:r>
              <w:rPr>
                <w:rFonts w:ascii="Arial" w:cs="Arial" w:eastAsia="Arial" w:hAnsi="Arial"/>
                <w:sz w:val="18"/>
                <w:szCs w:val="18"/>
                <w:color w:val="auto"/>
              </w:rPr>
              <w:t>Less: foreign currency translation (loss) gain attributable to Non-controlling interest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61"/>
              <w:spacing w:after="0"/>
              <w:rPr>
                <w:sz w:val="20"/>
                <w:szCs w:val="20"/>
                <w:color w:val="auto"/>
              </w:rPr>
            </w:pPr>
            <w:r>
              <w:rPr>
                <w:rFonts w:ascii="Arial" w:cs="Arial" w:eastAsia="Arial" w:hAnsi="Arial"/>
                <w:sz w:val="18"/>
                <w:szCs w:val="18"/>
                <w:color w:val="auto"/>
              </w:rPr>
              <w:t>1,732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8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tcPr>
          <w:p>
            <w:pPr>
              <w:jc w:val="right"/>
              <w:ind w:right="21"/>
              <w:spacing w:after="0" w:line="68" w:lineRule="exact"/>
              <w:rPr>
                <w:sz w:val="20"/>
                <w:szCs w:val="20"/>
                <w:color w:val="auto"/>
              </w:rPr>
            </w:pPr>
            <w:r>
              <w:rPr>
                <w:rFonts w:ascii="Arial" w:cs="Arial" w:eastAsia="Arial" w:hAnsi="Arial"/>
                <w:sz w:val="7"/>
                <w:szCs w:val="7"/>
                <w:color w:val="auto"/>
              </w:rPr>
              <w:t>(1,471</w:t>
            </w:r>
          </w:p>
        </w:tc>
        <w:tc>
          <w:tcPr>
            <w:tcW w:w="0" w:type="dxa"/>
            <w:vAlign w:val="bottom"/>
          </w:tcPr>
          <w:p>
            <w:pPr>
              <w:spacing w:after="0"/>
              <w:rPr>
                <w:sz w:val="1"/>
                <w:szCs w:val="1"/>
                <w:color w:val="auto"/>
              </w:rPr>
            </w:pPr>
          </w:p>
        </w:tc>
      </w:tr>
      <w:tr>
        <w:trPr>
          <w:trHeight w:val="27"/>
        </w:trPr>
        <w:tc>
          <w:tcPr>
            <w:tcW w:w="8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Other comprehensive loss attributable to CLPS Incorporation’s shareholders</w:t>
            </w: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8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(94,909</w:t>
            </w:r>
          </w:p>
        </w:tc>
        <w:tc>
          <w:tcPr>
            <w:tcW w:w="140" w:type="dxa"/>
            <w:vAlign w:val="bottom"/>
            <w:vMerge w:val="continue"/>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(385,629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0"/>
              <w:spacing w:after="0"/>
              <w:rPr>
                <w:sz w:val="20"/>
                <w:szCs w:val="20"/>
                <w:color w:val="auto"/>
              </w:rPr>
            </w:pPr>
            <w:r>
              <w:rPr>
                <w:rFonts w:ascii="Arial" w:cs="Arial" w:eastAsia="Arial" w:hAnsi="Arial"/>
                <w:sz w:val="18"/>
                <w:szCs w:val="18"/>
                <w:color w:val="auto"/>
              </w:rPr>
              <w:t>CLPS Incorporation shareholders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1,952,536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1,440,483</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175,644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(42,612)</w:t>
            </w:r>
          </w:p>
        </w:tc>
        <w:tc>
          <w:tcPr>
            <w:tcW w:w="0" w:type="dxa"/>
            <w:vAlign w:val="bottom"/>
          </w:tcPr>
          <w:p>
            <w:pPr>
              <w:spacing w:after="0"/>
              <w:rPr>
                <w:sz w:val="1"/>
                <w:szCs w:val="1"/>
                <w:color w:val="auto"/>
              </w:rPr>
            </w:pPr>
          </w:p>
        </w:tc>
      </w:tr>
      <w:tr>
        <w:trPr>
          <w:trHeight w:val="27"/>
        </w:trPr>
        <w:tc>
          <w:tcPr>
            <w:tcW w:w="8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2,128,180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1,397,871</w:t>
            </w:r>
          </w:p>
        </w:tc>
        <w:tc>
          <w:tcPr>
            <w:tcW w:w="0" w:type="dxa"/>
            <w:vAlign w:val="bottom"/>
          </w:tcPr>
          <w:p>
            <w:pPr>
              <w:spacing w:after="0"/>
              <w:rPr>
                <w:sz w:val="1"/>
                <w:szCs w:val="1"/>
                <w:color w:val="auto"/>
              </w:rPr>
            </w:pPr>
          </w:p>
        </w:tc>
      </w:tr>
      <w:tr>
        <w:trPr>
          <w:trHeight w:val="216"/>
        </w:trPr>
        <w:tc>
          <w:tcPr>
            <w:tcW w:w="8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320" w:type="dxa"/>
            <w:vAlign w:val="bottom"/>
          </w:tcPr>
          <w:p>
            <w:pPr>
              <w:ind w:left="20"/>
              <w:spacing w:after="0"/>
              <w:rPr>
                <w:sz w:val="20"/>
                <w:szCs w:val="20"/>
                <w:color w:val="auto"/>
              </w:rPr>
            </w:pPr>
            <w:r>
              <w:rPr>
                <w:rFonts w:ascii="Arial" w:cs="Arial" w:eastAsia="Arial" w:hAnsi="Arial"/>
                <w:sz w:val="18"/>
                <w:szCs w:val="18"/>
                <w:color w:val="auto"/>
              </w:rPr>
              <w:t>Basic and diluted earnings per common share *</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8320" w:type="dxa"/>
            <w:vAlign w:val="bottom"/>
            <w:tcBorders>
              <w:top w:val="single" w:sz="8" w:color="CCEEFF"/>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Weighted average number of share outstanding – basic and diluted</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11,290,000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320" w:type="dxa"/>
            <w:vAlign w:val="bottom"/>
            <w:vMerge w:val="restart"/>
          </w:tcPr>
          <w:p>
            <w:pPr>
              <w:ind w:left="20"/>
              <w:spacing w:after="0"/>
              <w:rPr>
                <w:sz w:val="20"/>
                <w:szCs w:val="20"/>
                <w:color w:val="auto"/>
              </w:rPr>
            </w:pPr>
            <w:r>
              <w:rPr>
                <w:rFonts w:ascii="Arial" w:cs="Arial" w:eastAsia="Arial" w:hAnsi="Arial"/>
                <w:sz w:val="18"/>
                <w:szCs w:val="18"/>
                <w:color w:val="auto"/>
                <w:w w:val="97"/>
              </w:rPr>
              <w:t>* The shares and per share data are presented on a retroactive basis to reflect the nominal share issuance.</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20" w:type="dxa"/>
            <w:vAlign w:val="bottom"/>
          </w:tcPr>
          <w:p>
            <w:pPr>
              <w:ind w:left="660"/>
              <w:spacing w:after="0"/>
              <w:rPr>
                <w:sz w:val="20"/>
                <w:szCs w:val="20"/>
                <w:color w:val="auto"/>
              </w:rPr>
            </w:pPr>
            <w:r>
              <w:rPr>
                <w:rFonts w:ascii="Arial" w:cs="Arial" w:eastAsia="Arial" w:hAnsi="Arial"/>
                <w:sz w:val="18"/>
                <w:szCs w:val="18"/>
                <w:color w:val="auto"/>
                <w:w w:val="90"/>
              </w:rPr>
              <w:t>The following table presents our summary consolidated balance sheet data as of June 30, 2017 and 2016.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6"/>
          </w:tcPr>
          <w:p>
            <w:pPr>
              <w:jc w:val="right"/>
              <w:ind w:right="701"/>
              <w:spacing w:after="0"/>
              <w:rPr>
                <w:sz w:val="20"/>
                <w:szCs w:val="20"/>
                <w:color w:val="auto"/>
              </w:rPr>
            </w:pPr>
            <w:r>
              <w:rPr>
                <w:rFonts w:ascii="Arial" w:cs="Arial" w:eastAsia="Arial" w:hAnsi="Arial"/>
                <w:sz w:val="18"/>
                <w:szCs w:val="18"/>
                <w:color w:val="auto"/>
              </w:rPr>
              <w:t>As of June 30,</w:t>
            </w:r>
          </w:p>
        </w:tc>
        <w:tc>
          <w:tcPr>
            <w:tcW w:w="0" w:type="dxa"/>
            <w:vAlign w:val="bottom"/>
          </w:tcPr>
          <w:p>
            <w:pPr>
              <w:spacing w:after="0"/>
              <w:rPr>
                <w:sz w:val="1"/>
                <w:szCs w:val="1"/>
                <w:color w:val="auto"/>
              </w:rPr>
            </w:pPr>
          </w:p>
        </w:tc>
      </w:tr>
      <w:tr>
        <w:trPr>
          <w:trHeight w:val="236"/>
        </w:trPr>
        <w:tc>
          <w:tcPr>
            <w:tcW w:w="8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4,814,568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12,325,296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9,910,841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13,521,923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10,471,529</w:t>
            </w:r>
          </w:p>
        </w:tc>
        <w:tc>
          <w:tcPr>
            <w:tcW w:w="0" w:type="dxa"/>
            <w:vAlign w:val="bottom"/>
          </w:tcPr>
          <w:p>
            <w:pPr>
              <w:spacing w:after="0"/>
              <w:rPr>
                <w:sz w:val="1"/>
                <w:szCs w:val="1"/>
                <w:color w:val="auto"/>
              </w:rPr>
            </w:pPr>
          </w:p>
        </w:tc>
      </w:tr>
      <w:tr>
        <w:trPr>
          <w:trHeight w:val="216"/>
        </w:trPr>
        <w:tc>
          <w:tcPr>
            <w:tcW w:w="83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8,210,625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6,264,005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CLPS Incorporation’s Shareholders'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4,834,188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4,203,490</w:t>
            </w:r>
          </w:p>
        </w:tc>
        <w:tc>
          <w:tcPr>
            <w:tcW w:w="0" w:type="dxa"/>
            <w:vAlign w:val="bottom"/>
          </w:tcPr>
          <w:p>
            <w:pPr>
              <w:spacing w:after="0"/>
              <w:rPr>
                <w:sz w:val="1"/>
                <w:szCs w:val="1"/>
                <w:color w:val="auto"/>
              </w:rPr>
            </w:pPr>
          </w:p>
        </w:tc>
      </w:tr>
      <w:tr>
        <w:trPr>
          <w:trHeight w:val="216"/>
        </w:trPr>
        <w:tc>
          <w:tcPr>
            <w:tcW w:w="83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477,110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5,311,298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4,207,524</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13,521,923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10,471,529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320" w:top="226" w:right="519" w:bottom="1440" w:gutter="0" w:footer="0" w:header="0"/>
        </w:sectPr>
      </w:pPr>
    </w:p>
    <w:p>
      <w:pPr>
        <w:spacing w:after="0" w:line="75"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226" w:right="519" w:bottom="1440"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jc w:val="both"/>
        <w:ind w:right="220" w:firstLine="648"/>
        <w:spacing w:after="0" w:line="301" w:lineRule="auto"/>
        <w:rPr>
          <w:sz w:val="20"/>
          <w:szCs w:val="20"/>
          <w:color w:val="auto"/>
        </w:rPr>
      </w:pPr>
      <w:r>
        <w:rPr>
          <w:rFonts w:ascii="Arial" w:cs="Arial" w:eastAsia="Arial" w:hAnsi="Arial"/>
          <w:sz w:val="16"/>
          <w:szCs w:val="16"/>
          <w:i w:val="1"/>
          <w:iCs w:val="1"/>
          <w:color w:val="auto"/>
        </w:rPr>
        <w:t>Investment in our securities involves a high degree of risk. You should carefully consider the risks described below together with all of the other information included in this prospectus before making an investment decision. The risks and uncertainties described below represent our known material risks to our business. If any of the following risks actually occurs, our business, financial condition or results of operations could suffer. In that case, you may lose all or part of your investment. You should not invest in this offering unless you can afford to lose your entire investment.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effectively manage our rapid growth, which could place significant strain on our management personnel, systems and resources.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achieve anticipated growth, which could materially and adversely affect our business and prospects.</w:t>
      </w:r>
    </w:p>
    <w:p>
      <w:pPr>
        <w:spacing w:after="0" w:line="14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have experienced rapid growth and significantly expanded our business recently. Our revenues grew from $29.0 million in fiscal 2016 to $31.4 million in fiscal 2017. As of the date of this prospectus, we maintain eleven delivery and or R&amp;D centers, of which seven are located in China (Shanghai, Beijing, Dalian, Tianjin, Chengdu, Guangzhou and Shezhen) and four are located globally (Hong Kong, Taiwan, Singapore and Australia), to serve different customers in various geographic locations. The number of our total employees grew from 1,055 in fiscal 2016 to 1,248 in fiscal 2017. As of November 30, 2017 we have 1,487 full-time employees. We are actively looking at additional locations to establish new offices and expand our current offices and sales and delivery centers. We intend to continue our expansion in the foreseeable future to pursue existing and potential market opportunities. Our rapid growth has placed and will continue to place significant demands on our management and our administrative, operational and financial infrastructure. Continued expansion increases the challenges we face in:</w:t>
      </w:r>
    </w:p>
    <w:p>
      <w:pPr>
        <w:spacing w:after="0" w:line="9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recruiting, training, developing and retaining sufficient skilled technical, sales and management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creating and capitalizing upon economies of scale;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managing a larger number of clients in a greater number of industries and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effective oversight of personnel and offices;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coordinating work among offices and project teams and maintaining high resource utilization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new management personnel and expanded operations while preserving our culture and values;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and improving our internal administrative infrastructure, particularly our financial, operational, human resources, communications and other internal systems, procedures and controls;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adhering to and further improving our high quality and process execution standards and maintaining high levels of client satisfaction.</w:t>
      </w:r>
    </w:p>
    <w:p>
      <w:pPr>
        <w:spacing w:after="0" w:line="15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Moreover, as we introduce new services or enter into new markets, we may face new market, technological and operational risks and challenges with which we are unfamiliar, and it may require substantial management efforts and skills to mitigate these risks and challenges. As a result of any of these problems associated with expansion, our business, results of operations and financial condition could be materially and adversely affected. Furthermore, we may not be able to achieve anticipated growth, which could materially and adversely affect our business and prospects.</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Adverse changes in the economic environment, either in China or globally, could reduce our clients’ purchases from us and increase pricing pressure, which could materially and adversely affect our revenues and results of operations.</w:t>
      </w:r>
    </w:p>
    <w:p>
      <w:pPr>
        <w:spacing w:after="0" w:line="89"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The IT services industry is particularly sensitive to the economic environment, either in China or globally, and tends to decline during general economic downturns. Accordingly, our results of operations, financial condition and prospects are subject to a significant degree to the economic environment, especially for regions in which we and our clients operate. During an economic downturn, our clients may cancel, reduce or defer their IT spending or change their IT outsourcing strategy, and reduce their purchases from us. The recent global economic slowdown and any future economic slowdown, and the resulting diminution in IT spending, could also lead to increased pricing pressure from our clients. The occurrence of any of these events could materially and adversely affect our revenues and results of operations.</w:t>
      </w:r>
    </w:p>
    <w:p>
      <w:pPr>
        <w:spacing w:after="0" w:line="1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onshore and offshore IT services companies, and, if we are unable to compete effectively, we may lose clients and our revenues may decline.</w:t>
      </w:r>
    </w:p>
    <w:p>
      <w:pPr>
        <w:spacing w:after="0" w:line="10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market for IT services is highly competitive and we expect competition to persist and intensify. We believe that the principal competitive factors in our markets are industry expertise, breadth and depth of service offerings, quality of the services offered, reputation and track record, marketing and selling skills, scalability of infrastructure and price. In addition, the trend towards offshore outsourcing, international expansion by foreign and domestic competitors and continuing technological changes will result in new and different competitors entering our markets. In the IT outsourcing market, clients tend to engage multiple outsourcing service providers instead of using an exclusive service provider, which could reduce our revenues to the extent that clients obtain services from other competing providers. Clients may prefer service providers that have facilities located globally or that are based in countries more cost-competitive than China. Our ability to compete also depends in part on a number of factors beyond our control, including the ability of our competitors to recruit, train, develop and retain highly skilled professionals, the price at which our competitors offer comparable services and our competitors’ responsiveness to client needs. Therefore, we cannot assure you that we will be able to retain our clients while competing against such competitors. Increased competition, our inability to compete successfully against competitors, pricing pressures or loss of market share could harm our business, financial condition and results of operations.</w:t>
      </w:r>
    </w:p>
    <w:p>
      <w:pPr>
        <w:sectPr>
          <w:pgSz w:w="11900" w:h="16838" w:orient="portrait"/>
          <w:cols w:equalWidth="0" w:num="1">
            <w:col w:w="11240"/>
          </w:cols>
          <w:pgMar w:left="320" w:top="226" w:right="3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b w:val="1"/>
          <w:bCs w:val="1"/>
          <w:i w:val="1"/>
          <w:iCs w:val="1"/>
          <w:color w:val="auto"/>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p>
      <w:pPr>
        <w:spacing w:after="0" w:line="12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IT services industry relies on skilled personnel, and our success depends to a significant extent on our ability to recruit, train, develop and retain qualified personnel, especially experienced middle and senior level management. The IT services industry in China has experienced significant levels of employee attrition. Our attrition rates were 18% and 15% per annum in 2016 and 2017, respectively. We may encounter higher attrition rates in the future, particularly if China continues to experience strong economic growth. There is significant competition in China for skilled personnel, especially experienced middle and senior level management, with the skills necessary to perform the services we offer to our clients. Increased competition for these personnel, in the IT industry or otherwise, could have an adverse effect on us. We have established TCP and TDP programs to increase our human capital and employee loyalty, however, a significant increase in our attrition rate could decrease our operating efficiency and productivity and could lead to a decline in demand for our services. Additionally, failure to recruit, train, develop and retain personnel with the qualifications necessary to fulfill the needs of our existing and future clients or to assimilate new personnel successfully could have a material adverse effect on our business, financial condition and results of operations. Failure to retain our key personnel on client projects or find suitable replacements for key personnel upon their departure may lead to termination of some of our client contracts or cancellation of some of our projects, which could materially and adversely affect our business.</w:t>
      </w:r>
    </w:p>
    <w:p>
      <w:pPr>
        <w:spacing w:after="0" w:line="17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success depends substantially on the continuing efforts of our senior executives and other key personnel, and our business may be severely disrupted if we lose their services.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future success heavily depends upon the continued services of our senior executives and other key employees. In particular, we rely on the expertise, experience, client relationships and reputation of Xiao Feng Yang, our founder, chairman, president and director. We currently do not maintain key man life insurance for any of the senior members of our management team or other key personnel. If one or more of our senior executives or key employees are unable or unwilling to continue in their present positions, it could disrupt our business operations, and we may not be able to replace them easily or at all. In addition, competition for senior executives and key personnel in our industry is intense, and we may be unable to retain our senior executives and key personnel or attract and retain new senior executive and key personnel in the future, in which case our business may be severely disrupted, and our financial condition and results of operations may be materially and adversely affected. If any of our senior executives or key personnel joins a competitor or forms a competing company, we may lose clients, suppliers, know-how and key professionals and staff members to them. Also, if any of our business development managers, who generally keep a close relationship with our clients, joins a competitor or forms a competing company, we may lose clients, and our revenues may be materially and adversely affected. Additionally, there could be unauthorized disclosure or use of our technical knowledge, practices or procedures by such personnel. Most of our executives and key personnel have entered into employment agreements with us that contain non-competition provisions, non-solicitation and nondisclosure covenants. However, if any dispute arises between our executive officers and key personnel and us, such non-competition, non-solicitation and nondisclosure provisions might not provide effective protection to us, especially in China, where most of these executive officers and key employees reside, in light of the uncertainties with China’s legal system.</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generate a significant portion of our revenues from a relatively small number of major clients and loss of business from these clients could reduce our revenues and significantly harm our business.</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have derived, and believe that in the foreseeable future we will continue to derive, a significant portion of our revenues from a small number of major clients. For the years ended June 30, 2017 and 2016, one customer with its affiliates accounted for 38.6% and 59.2% of the Company’s total revenues, respectively. Our ability to maintain close relationships with these and other major clients is essential to the growth and profitability of our business. However, the volume of work performed for a specific client is likely to vary from year to year, especially since we are generally not our clients’ exclusive IT services provider and we do not have long-term commitments from any of our clients to purchase our services. The typical team for our service agreements is between 1 and 3 years. A major client in one year may not provide the same level of revenues for us in any subsequent year. The IT services we provide to our clients, and the revenues and income from those services, may decline or vary as the type and quantity of IT services we provide changes over time. In addition, our reliance on any individual client for a significant portion of our revenues may give that client a certain degree of pricing leverage against us when negotiating contracts and terms of service. In addition, a number of factors other than our performance could cause the loss of or reduction in business or revenues from a client, and these factors are not predictable. These factors may include corporate restructuring, pricing pressure, changes to its outsourcing strategy, switching to another services provider or returning work in-house. The loss of any of our major clients could adversely affect our financial condition and results of operations.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collect our receivables from our clients, our results of operations and cash flows could be adversely affected.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business depends on our ability to successfully obtain payment from our clients of the amounts they owe us for work performed. As of June 30, 2017 and 2016, our accounts receivable balance, net of allowance, amounted to approximately $6.6 million and $4.4 million, respectively. For the year ended June 30, 2017, one customer and its affiliates accounted for 39.1% of the Company’s total accounts receivable balance. For the year ended June 30, 2016, two customers and its affiliates accounted for 47.3% and 10.0% of the Company’s total accounts receivable balance, respectively. Since we generally do not require collateral or other security from our clients, we establish an allowance for doubtful accounts based upon estimates, historical experience and other factors surrounding the credit risk of specific clients. However, actual losses on client receivables balance could differ from those that we anticipate and as a result we might need to adjust our allowance. There is no guarantee that we will accurately assess the creditworthiness of our clients. Macroeconomic conditions, including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As a result, an extended delay or default in payment relating to a significant account will have a material and adverse effect on the aging schedule and turnover days of our accounts receivable. If we are unable to collect our receivables from our clients in accordance with the contracts with our clients, our results of operations and cash flows could be adversely affected.</w:t>
      </w:r>
    </w:p>
    <w:p>
      <w:pPr>
        <w:spacing w:after="0" w:line="1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growth and success of our business depends on our ability to anticipate and develop new services and enhance existing services in order to keep pace with rapid changes in technology and in the industries we focus on.</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market for our services is characterized by rapid technological change, evolving industry standards, changing client preferences and new product and service introductions. Our future growth and success depend significantly on our ability to anticipate developments in IT services, and develop and offer new product and service lines to meet our clients’ evolving needs. We may not be successful in anticipating or responding to these developments in a timely manner, or if we do respond, the services or technologies we develop may not be successful in the marketplace. The development of some of the services and technologies may involve significant upfront investments and the failure of these services and technologies may result in our being unable to recover these investments, in part or in full. Further, services or technologies that are developed by our competitors may render our services uncompetitive or obsolete. In addition, new technologies may be developed that allow our clients to more cost-effectively perform the services that we provide, thereby reducing demand for our services. Should we fail to adapt to the rapidly changing IT services market or if we fail to develop suitable services to meet the evolving and increasingly sophisticated requirements of our clients in a timely manner, our business and results of operations could be materially and adversely affected.</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be unsuccessful in entering into strategic alliances or identifying and acquiring suitable acquisition candidates, which could impede our growth and negatively affect our revenues and net income.</w:t>
      </w:r>
    </w:p>
    <w:p>
      <w:pPr>
        <w:spacing w:after="0" w:line="170"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We have pursued and may continue to pursue strategic alliances and strategic acquisition opportunities to increase our scale and geographic presence, expand our service offerings and capabilities and enhance our industry and technical expertise. However, it is possible that in the future we may not succeed in identifying suitable alliances or acquisition candidates. Even if we identify suitable candidates, we may not be able to consummate these arrangements on terms commercially acceptable to us or to obtain necessary regulatory approvals in the case of acquisitions. Many of our competitors are likely to be seeking to enter into similar arrangements or acquire the same targets that we are looking to enter into or acquire. Such competitors may have substantially greater financial resources than we do and may be more attractive to our strategic partners or be able to outbid us for the targets. In addition, we may also be unable to timely deploy our existing cash balances to effect a potential acquisition, as use of cash balances located onshore in China may require specific governmental approvals or result in withholding and other tax payments. If we are unable to enter into suitable strategic alliances or complete suitable acquisitions, our growth strategy may be impeded and our revenues and net income could be negatively affected.</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p>
      <w:pPr>
        <w:spacing w:after="0" w:line="12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Historically, we have expanded our service capabilities and gained new clients through selective acquisitions. Our ability to successfully integrate an acquired entity and realize the benefits of any acquisition requires, among other things, successful integration of technologies, operations and personnel. Challenges we face in the acquisition and integration process include:</w:t>
      </w:r>
    </w:p>
    <w:p>
      <w:pPr>
        <w:spacing w:after="0" w:line="18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integrating operations, services and personnel in a timely and efficient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or undisclosed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generating sufficient revenue and net income to offset acquisition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 of, or harm to, employee or client relationships;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properly structuring our acquisition consideration and any related post-acquisition earn-outs and successfully monitoring any earn-out calculations and payments;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retaining key senior management and key sales and marketing and research and development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incompatibility of solutions, services and technology or corporate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consolidating and rationalizing corporate, information technology and administrative infrastructures;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integrating and documenting processes and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entry into unfamiliar markets; and</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complexity from potentially operating additional geographically dispersed sites, particularly if we acquire a company or business with facilities or operations outside of China.</w:t>
      </w:r>
    </w:p>
    <w:p>
      <w:pPr>
        <w:spacing w:after="0" w:line="170"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In addition, the primary value of many potential targets in the outsourcing industry lies in their skilled professionals and established client relationships. Transitioning these types of assets to our business can be particularly difficult due to different corporate cultures and values, geographic distance and other intangible factors. For example, some newly acquired employees may decide not to work with us or to leave shortly after their move to our company and some acquired clients may decide to discontinue their commercial relationships with us. These challenges could disrupt our ongoing business, distract our management and employees and increase our expenses, including causing us to incur significant one-time expenses and write-offs, and make it more difficult and complex for our management to effectively manage our operations. If we are not able to successfully integrate an acquired entity and its operations and to realize the benefits envisioned for such acquisition, our overall growth and profitability plans may be adversely affected.</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do not succeed in attracting new clients for our services and or growing revenues from existing clients, we may not achieve our revenue growth goals.</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plan to significantly expand the number of clients we serve to diversify our client base and grow our revenues. Revenues from a new client often rise quickly over the first several years following our initial engagement as we expand the services that we provide to that client. Therefore, obtaining new clients is important for us to achieve rapid revenue growth. We also plan to grow revenues from our existing clients by identifying and selling additional services to them. Our ability to attract new clients, as well as our ability to grow revenues from existing clients, depends on a number of factors, including our ability to offer high quality services at competitive prices, the strength of our competitors and the capabilities of our sales and marketing teams. If we are not able to continue to attract new clients or to grow revenues from our existing clients in the future, we may not be able to grow our revenues as quickly as we anticipate or at all.</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As a result of our significant recent growth, evaluating our business and prospects may be difficult and our past results may not be indicative of our future performance.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future success depends on our ability to significantly increase revenue and maintain profitability from our operations. Our business has grown and evolved significantly in recent years. Our growth in recent years makes it difficult to evaluate our historical performance and make a period-to-period comparison of our historical operating results less meaningful. We may not be able to achieve a similar growth rate or maintain profitability in future periods. Therefore, you should not rely on our past results or our historic rate of growth as an indication of our future performance. You should consider our future prospects in light of the risks and challenges encountered by a company seeking to grow and expand in a competitive industry that is characterized by rapid technological change, evolving industry standards, changing client preferences and new product and service introductions. These risks and challenges include, among others:</w:t>
      </w:r>
    </w:p>
    <w:p>
      <w:pPr>
        <w:spacing w:after="0" w:line="19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uncertainties associated with our ability to continue our growth and maintain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preserving our competitive position in the IT services industry in China;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offering consistent and high-quality services to retain and attract clients;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our strategy and modifying it from time to time to respond effectively to competition and changes in client preferences;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our expanding operations and successfully expanding our solution and service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responding in a timely manner to technological or other changes in the IT services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risks associated with intellectual property;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recruiting, training, developing and retaining qualified managerial and other personnel.</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If we are unsuccessful in addressing any of these risks or challenges, our business may be materially and adversely affected.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face risks associated with having a long selling and implementation cycle for our services that require us to make significant resource commitments prior to realizing revenues for those services.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a long selling cycle for our technology services, which requires significant investment of capital, human resources and time by both our clients and us. In our consulting service request, we collect service fees on monthly and quarterly basis; in our solution services segment – by performance obligation fulfillment. Before committing to use our services, potential clients require us to expend substantial time and resources educating them on the value of our services and our ability to meet their requirements. Therefore, our selling cycle is subject to many risks and delays over which we have little or no control, including our clients’ decision to choose alternatives to our services (such as other providers or in-house resources) and the timing of our clients’ budget cycles and approval processes.</w:t>
      </w:r>
    </w:p>
    <w:p>
      <w:pPr>
        <w:spacing w:after="0" w:line="19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Implementing our services also involves a significant commitment of resources over an extended period of time from both our clients and us. Our clients may experience delays in obtaining internal approvals or delays associated with technology, thereby further delaying the implementation process. Our current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profitability will suffer if we are not able to maintain our resource utilization levels and continue to improve our productivity levels.</w:t>
      </w:r>
    </w:p>
    <w:p>
      <w:pPr>
        <w:spacing w:after="0" w:line="23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gross margin and profitability are significantly impacted by our utilization levels of human resources as well as other resources, such as computers, IT infrastructure and office space, and our ability to increase our productivity levels. We have expanded our operations significantly in recent years through organic growth and external acquisitions, which has resulted in a significant increase in our headcount and fixed overhead costs. We may face difficulties maintaining high levels of utilization, especially for our newly established or newly acquired businesses and resources. The master service agreements with our clients typically do not impose a minimum or maximum purchase amount and allow our clients to place service orders from time to time at their discretion. Client demand may fall to zero or surge to a level that we cannot cost-effectively satisfy. Although we try to use all commercially reasonable efforts to accurately estimate service orders and resource requirements from our clients, we may overestimate or underestimate, which may result in unexpected cost and strain or redundancy of our human capital and adversely impact our utilization levels. In addition, some of our professionals are specially trained to work for specific clients or on specific projects and some of our sales and delivery center facilities are dedicated to specific clients or specific projects. Our ability to continually increase our productivity levels depends significantly on our ability to recruit, train, develop and retain high-performing professionals, staff projects appropriately and optimize our mix of services and delivery methods. If we experience a slowdown or stoppage of work for any client or on any project for which we have dedicated professionals or facilities, we may not be able to efficiently reallocate these professionals and facilities to other clients and projects to keep their utilization and productivity levels high. If we are not able to maintain high resource utilization levels without corresponding cost reductions or price increases, our profitability will suffer.</w:t>
      </w:r>
    </w:p>
    <w:p>
      <w:pPr>
        <w:sectPr>
          <w:pgSz w:w="11900" w:h="16838" w:orient="portrait"/>
          <w:cols w:equalWidth="0" w:num="1">
            <w:col w:w="11240"/>
          </w:cols>
          <w:pgMar w:left="320" w:top="226"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20" w:name="page21"/>
    <w:bookmarkEnd w:id="2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20"/>
        <w:spacing w:after="0" w:line="381" w:lineRule="auto"/>
        <w:rPr>
          <w:sz w:val="20"/>
          <w:szCs w:val="20"/>
          <w:color w:val="auto"/>
        </w:rPr>
      </w:pPr>
      <w:r>
        <w:rPr>
          <w:rFonts w:ascii="Arial" w:cs="Arial" w:eastAsia="Arial" w:hAnsi="Arial"/>
          <w:sz w:val="15"/>
          <w:szCs w:val="15"/>
          <w:b w:val="1"/>
          <w:bCs w:val="1"/>
          <w:i w:val="1"/>
          <w:iCs w:val="1"/>
          <w:color w:val="auto"/>
        </w:rPr>
        <w:t>A significant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p>
      <w:pPr>
        <w:spacing w:after="0" w:line="10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 significant portion of our income is generated, and will in the future continue to be generated, from fees we receive for our projects with a fixed price. Our projects often involve complex technologies, entail the coordination of operations and workforces in multiple locations, utilizing workforces with different skill sets and competencies and geographically distributed service centers, and must be completed within compressed timeframes and meet client requirements that are subject to change and increasingly stringent. In addition, some of our fixed-price projects are multi-year projects that require us to undertake significant projections and planning related to resource utilization and costs. If we fail to accurately assess the time and resources required for completing projects and to price our projects profitably, our business, results of operations and financial condition could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wages for professionals in China could prevent us from sustaining our competitive advantage and could reduce our profit margins.</w:t>
      </w:r>
    </w:p>
    <w:p>
      <w:pPr>
        <w:spacing w:after="0" w:line="24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most significant costs are the salaries and other compensation expenses for our professionals and other employees. Wage costs for professionals in China are lower than those in more developed countries and India. However, because of rapid economic growth, increased productivity levels, and increased competition for skilled employees in China, wages for highly skilled employees in China, in particular middle- and senior-level managers, are increasing at a faster rate than in the past. We may need to increase the levels of employee compensation more rapidly than in the past to remain competitive in attracting and retaining the quality and number of employees that our business requires. Increases in the wages and other compensation we pay our employees in China could reduce our competitive advantage unless we are able to increase the efficiency and productivity of our professionals as well as the prices we can charge for our services. In addition, any appreciation in the value of the Renminbi relative to U.S. dollar and other foreign currencies will cause an increase in the relative wage levels in China, which could further reduce our competitive advantage and adversely impact our profit margin.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international nature of our business exposes us to risks that could adversely affect our financial condition and results of operations.</w:t>
      </w:r>
    </w:p>
    <w:p>
      <w:pPr>
        <w:spacing w:after="0" w:line="23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conduct our business throughout the world in multiple locations. As a result, we are exposed to risks typically associated with conducting business internationally, many of which are beyond our control. These risks include:</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currency fluctuations between the Renminbi and the U.S. dollar and other currencies in which we transact business;</w:t>
      </w:r>
    </w:p>
    <w:p>
      <w:pPr>
        <w:spacing w:after="0" w:line="225" w:lineRule="exact"/>
        <w:rPr>
          <w:rFonts w:ascii="Arial" w:cs="Arial" w:eastAsia="Arial" w:hAnsi="Arial"/>
          <w:sz w:val="18"/>
          <w:szCs w:val="18"/>
          <w:color w:val="auto"/>
        </w:rPr>
      </w:pPr>
    </w:p>
    <w:p>
      <w:pPr>
        <w:ind w:left="660" w:right="4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legal uncertainty owing to the overlap and inconsistencies of different legal regimes, problems in asserting contractual or other rights across international borders and the burden and expense of complying with the laws and regulations of various jurisdictions;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potentially adverse tax consequences, such as scrutiny of transfer pricing arrangements by authorities in the countries in which we operate;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and future tariffs and other trade barriers, including restrictions on technology and data transfers;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regulatory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terrorist attacks and other acts of violence or war.</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occurrence of any of these events could have a material adverse effect on our results of operations and financial condition.</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 revenues and results of operations are affected by seasonal trends.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business is affected by seasonal trends. In particular, our net revenues are typically progressively higher in the second, third and fourth quarters of each year compared to the first quarter of each year due to seasonal trends, such as: (i) a general slowdown in business activities and a reduced number of working days for our professionals during the first quarter of each year as a result of the Chinese New Year holiday period, and (ii) our customers in general tend to spend their IT budgets in the second half of the year and in particular the fourth quarter. Other factors that may cause our quarterly operating results to fluctuate include, among others, changes in general economic conditions in China and the impact of unforeseen events. We believe that our net revenues will continue to be affected in the future by seasonal trends. As a result, you may not be able to rely on period to period comparisons of our operating results as an indication of our future performance, and we believe it is more meaningful to evaluate our business on an annual basis.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forced to reduce the prices of our services due to increased competition and reduced bargaining power with our clients, which could lead to reduced revenues and profitability.</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services outsourcing industry in China is developing rapidly and related technology trends are constantly evolving. This results in the frequent introduction of new services and significant price competition from our competitors. We may be unable to offset the effect of declining average sales prices through increased sales volumes and or reductions in our costs. Furthermore, we may be forced to reduce the prices of our services in response to offerings made by our competitors. Finally, we may not have the same level of bargaining power we have enjoyed in the past when it comes to negotiating for the prices of our services.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cause disruptions to our clients’ businesses or provide inadequate service, our clients may have claims for substantial damages against us, and as a result our profits may be substantially reduced.</w:t>
      </w:r>
    </w:p>
    <w:p>
      <w:pPr>
        <w:spacing w:after="0" w:line="17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If our professionals make errors in the course of delivering services to our clients or fail to consistently meet service requirements of a client, these errors or failures could disrupt the client’s business, which could result in a reduction in our net revenues or a claim for substantial damages against us. In addition, a failure or inability to meet a contractual requirement could seriously damage our reputation and affect our ability to attract new business.</w:t>
      </w:r>
    </w:p>
    <w:p>
      <w:pPr>
        <w:spacing w:after="0" w:line="14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services we provide are often critical to our clients’ businesses. We generally provide customer support from three months to one year after our customized application is delivered. Certain of our client contracts require us to comply with security obligations including maintaining network security and back-up data, ensuring our network is virus-free, maintaining business continuity planning procedures, and verifying the integrity of employees that work with our clients by conducting background checks. Any failure in a client's system or breach of security relating to the services we provide to the client could damage our reputation or result in a claim for substantial damages against us. Any significant failure of our equipment or systems, or any major disruption to basic infrastructure like power and telecommunications in the locations in which we operate, could impede our ability to provide services to our clients, have a negative impact on our reputation, cause us to lose clients, reduce our revenues and harm our business.</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Under our contracts with our clients, our liability for breach of our obligations is in some cases limited to a certain percentage of contract price. Such limitations may be unenforceable or otherwise may not protect us from liability for damages. In addition, certain liabilities, such as claims of third parties for which we may be required to indemnify our clients, are generally not limited under our contracts. We currently do not have commercial general or public liability insurance. The successful assertion of one or more large claims against us could have a material adverse effect on our business, reputation, results of operations, financial condition and cash flows. Even if such assertions against us are unsuccessful, we may incur reputational harm and substantial legal fees.</w:t>
      </w:r>
    </w:p>
    <w:p>
      <w:pPr>
        <w:spacing w:after="0" w:line="19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may be liable to our clients for damages caused by unauthorized disclosure of sensitive and confidential information, whether through our employees or otherwise.</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typically required to manage, utilize and store sensitive or confidential client data in connection with the services we provide. Under the terms of our client contracts, we are required to keep such information strictly confidential. We use network security technologies, surveillance equipment and other methods to protect sensitive and confidential client data. We also require our employees and subcontractors to enter into confidentiality agreements to limit access to and distribution of our clients’ sensitive and confidential information as well as our own trade secrets. We can give no assurance that the steps taken by us in this regard will be adequate to protect our clients’ confidential information. If our clients’ proprietary rights are misappropriated by our employees or our subcontractors or their employees, in violation of any applicable confidentiality agreements or otherwise, our clients may consider us liable for those acts and seek damages and compensation from us. Any such acts could cause us to lose existing and future business and damage our reputation in the market. In addition, we currently do not have any insurance coverage for mismanagement or misappropriation of such information by our subcontractors or employees. Any litigation with respect to unauthorized disclosure of sensitive and confidential information might result in substantial costs and diversion of resources and management attention.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intellectual property of our clients, which could harm our business and competitive position.</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rely on software licenses from our clients with respect to certain projects. To protect proprietary information and other intellectual property of our clients, we require our employees, subcontractors, consultants, advisors and collaborators to enter into confidentiality agreements with us. These agreements may not provide effective protection for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protection of intellectual property rights and confidentiality in China may not be as effective as that in the United States or other developed countries. Policing unauthorized use of proprietary technology is difficult and expensive. The steps we have taken may be inadequate to prevent the misappropriation of proprietary technology of our clients. Reverse engineering, unauthorized copying or other misappropriation of proprietary technologies of our clients could enable third parties to benefit from our or our clients’ technologies without paying us and our clients for doing so, and our clients may hold us liable for that act and seek damages and compensation from us, which could harm our business and competitive position.</w:t>
      </w:r>
    </w:p>
    <w:p>
      <w:pPr>
        <w:spacing w:after="0" w:line="1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which could cause a loss of clients, reduce our revenues and harm our competitive position.</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rely on a combination of copyright, trademark, software registration, anti-unfair competition and trade secret laws, as well as confidentiality agreements and other methods to protect our intellectual property rights. To protect our trade secrets and other proprietary information, employees, clients, subcontractors, consultants, advisors and collaborators are required to enter into confidentiality agreements. These agreements might not provide effective protection for the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intellectual property rights and confidentiality protections in China may not be as effective as those in the United States or other developed countries, and infringement of intellectual property rights continues to pose a serious risk of doing business in China. Policing unauthorized use of proprietary technology is difficult and expensive. The steps we have taken may be inadequate to prevent the misappropriation of our proprietary technology. Reverse engineering, unauthorized copying, other misappropriation, or negligent or accidental leakage of our proprietary technologies could enable third parties to benefit from our technologies without obtaining our consent or paying us for doing so, which could harm our business and competitive position. Though we are not currently involved in any litigation with respect to intellectual property, we may need to enforce our intellectual property rights through litigation. Litigation relating to our intellectual property may not prove successful and might result in substantial costs and diversion of resources and management attention.</w:t>
      </w:r>
    </w:p>
    <w:p>
      <w:pPr>
        <w:spacing w:after="0" w:line="17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spacing w:after="0" w:line="146"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success largely depends on our ability to use and develop our technology and services without infringing the intellectual property rights of third parties, including copyrights, trade secrets and trademarks. We may be subject to litigation involving claims of violation of other intellectual property rights of third parties. We typically indemnify clients who purchase our services and solutions against potential infringement of intellectual property rights underlying our services and solutions, which subjects us to the risk of indemnification claims. The holders of other intellectual property rights potentially relevant to our service offerings may make it difficult for us to acquire a license on commercially acceptable terms. Also, we may be unaware of intellectual property registrations or applications relating to our services that may give rise to potential infringement claims against us. There may also be technologies licensed to and relied on by us that are subject to infringement or other corresponding allegations or claims by third parties which may damage our ability to rely on such technologies. We are subject to additional risks as a result of our recent and proposed acquisitions and the hiring of new employees who may misappropriate intellectual property from their former employers. Parties making infringement claims may be able to obtain an injunction to prevent us from delivering our services or using technology involving the allegedly infringing intellectual property. Intellectual property litigation is expensive and time-consuming and could divert management’s attention from our business. A successful infringement claim against us, whether with or without merit, could, among others things, require us to pay substantial damages, develop non-infringing technology, or re-brand our name or enter into royalty or license agreements that may not be available on acceptable terms, if at all, and cease making, licensing or using products that have infringed a third party’s intellectual property rights. Protracted litigation could also result in existing or potential clients deferring or limiting their purchase or use of our products until resolution of such litigation, or could require us to indemnify our clients against infringement claims in certain instances. Any intellectual property claim or litigation in this area, whether we ultimately win or lose, could damage our reputation and have a material adverse effect on our business, results of operations or financial condition.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need additional capital and any failure by us to raise additional capital on terms favorable to us, or at all, could limit our ability to grow our business and develop or enhance our service offerings to respond to market demand or competitive challenges.</w:t>
      </w:r>
    </w:p>
    <w:p>
      <w:pPr>
        <w:spacing w:after="0" w:line="14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believe that our current cash, cash flow from operations and the proceeds from this offering should be sufficient to meet our anticipated cash needs for at least the next 12 months. We may, however, require additional cash resources due to changed business conditions or other future developments, including any investments or acquisitions we may decide to pursue. If these resources are insufficient to satisfy our cash requirements, we may seek to sell additional equity or debt securities or obtain a credit facility. The sale of additional equity securities could result in dilution to our shareholders. The incurrence of indebtedness would result in increased debt service obligations and could require us to agree to operating and financing covenants that would restrict our operations. Our ability to obtain additional capital on acceptable terms is subject to a variety of uncertainties, including:</w:t>
      </w:r>
    </w:p>
    <w:p>
      <w:pPr>
        <w:spacing w:after="0" w:line="16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technology services outsourcing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of the U.S. and other capital markets in which we may seek to raise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results of operations and financial condition;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PRC government regulation of foreign investment in China;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political and other conditions in China;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PRC government policies relating to the borrowing and remittance outside China of foreign currency.</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Financing may not be available in amounts or on terms acceptable to us, if at all. Any failure by us to raise additional funds on terms favorable to us, or at all, could limit our ability to grow our business and develop or enhance our product and service offerings to respond to market demand or competitive challenges.</w:t>
      </w:r>
    </w:p>
    <w:p>
      <w:pPr>
        <w:spacing w:after="0" w:line="18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Failure to adhere to regulations that govern our clients’ businesses could result in breaches of contracts with our clients. Failure to adhere to the regulations that govern our business could result in our being unable to effectively perform our services.</w:t>
      </w:r>
    </w:p>
    <w:p>
      <w:pPr>
        <w:spacing w:after="0" w:line="14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clients’ business operations are subject to certain rules and regulations in China or elsewhere. Our clients may contractually require that we perform our services in a manner that would enable them to comply with such rules and regulations. Failure to perform our services in such a manner could result in breaches of contract with our clients and, in some limited circumstances, civil fines and criminal penalties for us. In addition, we are required under various Chinese laws to obtain and maintain permits and licenses to conduct our business. If we do not maintain our licenses or other qualifications to provide our services, we may not be able to provide services to existing clients or be able to attract new clients and could lose revenues, which could have a material adverse effect on our business and results of operations.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incur losses resulting from business interruptions resulting from occurrence of natural disasters, health epidemics and other outbreaks or events.</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operational facilities may be damaged in natural disasters such as earthquakes, floods, heavy rains, sand storms, tsunamis and cyclones, or other events such as fires. Such natural disasters or other events may lead to disruption of information systems and telephone service for sustained periods. Damage or destruction that interrupts our provision of outsourcing services could damage our relationships with our clients and may cause us to incur substantial additional expenses to repair or replace damaged equipment or facilities. We may also be liable to our clients for disruption in service resulting from such damage or destruction. Prolonged disruption of our services as a result of natural disasters or other events may also entitle our clients to terminate their contracts with us. We currently do not have insurance against business interruptions.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the value of the Renminbi and other currencies may have a material adverse effect on the value of your investment.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financial statements are expressed in U.S. dollars. However, a majority of our revenues and expenses are denominated in Renminbi (RMB). Our exposure to foreign exchange risk primarily relates to the limited cash denominated in currencies other than the functional currencies of each entity and limited revenue contracts dominated in Singapore dollar, Hong Kong dollar and Australian dollar in certain PRC operating entities. We do not believe that we currently have any significant direct foreign exchange risk and have not hedged exposures denominated in foreign currencies or any other derivative financial instruments. However, the value of your investment in our common shares will be affected by the foreign exchange rate between U.S. dollars and RMB because the primary value of our business is effectively denominated in RMB, while the common shares will be traded in U.S. dollars.</w:t>
      </w:r>
    </w:p>
    <w:p>
      <w:pPr>
        <w:spacing w:after="0" w:line="164"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The value of the RMB against the U.S. dollar and other currencies is affected by, among other things, changes in China’s political and economic conditions and China’s foreign exchange policies. The People’s Bank of China regularly intervenes in the foreign exchange market to limit fluctuations in RMB exchange rate and achieve certain exchange rate targets, and through such intervention kept the U.S. dollar-RMB exchange rate relatively stable.</w:t>
      </w:r>
    </w:p>
    <w:p>
      <w:pPr>
        <w:spacing w:after="0" w:line="149" w:lineRule="exact"/>
        <w:rPr>
          <w:sz w:val="20"/>
          <w:szCs w:val="20"/>
          <w:color w:val="auto"/>
        </w:rPr>
      </w:pPr>
    </w:p>
    <w:p>
      <w:pPr>
        <w:ind w:right="180" w:firstLine="648"/>
        <w:spacing w:after="0" w:line="269" w:lineRule="auto"/>
        <w:rPr>
          <w:sz w:val="20"/>
          <w:szCs w:val="20"/>
          <w:color w:val="auto"/>
        </w:rPr>
      </w:pPr>
      <w:r>
        <w:rPr>
          <w:rFonts w:ascii="Arial" w:cs="Arial" w:eastAsia="Arial" w:hAnsi="Arial"/>
          <w:sz w:val="17"/>
          <w:szCs w:val="17"/>
          <w:color w:val="auto"/>
        </w:rPr>
        <w:t>As we may rely on dividends paid to us by our PRC subsidiaries, any significant revaluation of the RMB may have a material adverse effect on our revenues and financial condition, and the value of any dividends payable on our common shares in foreign currency terms. For example, to the extent that we need to convert U.S. dollars we receive from this offering into for our operations, appreciation of the RMB against the U.S. dollar would have an adverse effect on the RMB amount we receive from the conversion. Conversely, if we decide to convert our RMB into U.S. dollars for the purpose of making payments for dividends on our common share or for other business purposes, appreciation of the U.S. dollar against the RMB would have a negative effect on the U.S. dollar amount available to us. Furthermore, appreciation or depreciation in the value of the RMB relative to the U.S. dollar would affect our financial results reported in U.S. dollar terms without giving effect to any underlying change in our business or results of operations. We cannot predict the impact of future exchange rate fluctuations on our results of operations and may incur net foreign exchange losses in the future. In addition, our foreign currency exchange losses may be magnified by PRC exchange control regulations that restrict our ability to convert into foreign currencies.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adversely affect our business and the value of our securities.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For example, to the extent that we need to convert U.S. dollar we receive from our offering into RMB for our operations, appreciation of the RMB against the U.S. dollar would have an adverse effect on the RMB amount we would receive from the conversion. Conversely, if we decide to convert our RMB into U.S. dollar for the purpose of paying dividends on our common stock or for other business purposes, appreciation of the U.S. dollar against the RMB would have a negative effect on the U.S. dollar amount available to us.</w:t>
      </w:r>
    </w:p>
    <w:p>
      <w:pPr>
        <w:spacing w:after="0" w:line="1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future, PRC authorities may lift restrictions on fluctuations in the RMB exchange rate and lessen intervention in the foreign exchange market.</w:t>
      </w:r>
    </w:p>
    <w:p>
      <w:pPr>
        <w:spacing w:after="0" w:line="18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Very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in certain countries in which we have clients may restrict companies in those countries from outsourcing work to us.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Offshore outsourcing is a politically sensitive issue in the United States. For example, many organizations and public figures in the United States have publicly expressed concern about a perceived association between offshore outsourcing providers and the loss of jobs in their home countries. A number of U.S. states have passed legislation that restricts state government entities from outsourcing certain work to offshore service providers. Other U.S. federal and state legislation has been proposed that, if enacted, would provide tax disincentives for offshore outsourcing or require disclosure of jobs outsourced abroad. Similar legislation could be in enacted in other countries in which we have clients. Any expansion of existing laws or the enactment of new legislation restricting or discouraging offshore outsourcing by companies in the United States, or other countries in which we have clients could adversely impact our business operations and financial results. In addition, from time to time there has been publicity about negative experiences associated with offshore outsourcing, such as theft and misappropriation of sensitive client data. As a result, current or prospective clients may elect to perform such services themselves or may be discouraged from transferring these services from onshore to offshore providers. Any slowdown or reversal of existing industry trends towards offshore outsourcing in response to political pressure or negative publicity would harm our ability to compete effectively with competitors that operate out of onshore facilities and adversely affect our business and financial results.</w:t>
      </w:r>
    </w:p>
    <w:p>
      <w:pPr>
        <w:sectPr>
          <w:pgSz w:w="11900" w:h="16838" w:orient="portrait"/>
          <w:cols w:equalWidth="0" w:num="1">
            <w:col w:w="11240"/>
          </w:cols>
          <w:pgMar w:left="320" w:top="226" w:right="3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25" w:name="page26"/>
    <w:bookmarkEnd w:id="2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Disruptions in telecommunications or significant failure in our IT systems could harm our service model, which could result in a reduction of our revenue.</w:t>
      </w:r>
    </w:p>
    <w:p>
      <w:pPr>
        <w:spacing w:after="0" w:line="170"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A significant element of our business strategy is to continue to leverage and expand our sales and delivery centers strategically located in China. We believe that the use of a strategically located network of sales and delivery centers will provide us with cost advantages, the ability to attract highly skilled personnel in various regions of the country and the world, and the ability to service clients on a regional and global basis. Part of our service model is to maintain active voice and data communications, financial control, accounting, customer service and other data processing systems between our main offices in Shanghai, our clients’ offices, and our other deliveries centers and support facilities. Our business activities may be materially disrupted in the event of a partial or complete failure of any of these IT or communication systems, which could be caused by, among other things, software malfunction, computer virus attacks, conversion errors due to system upgrading, damage from fire, earthquake, power loss, telecommunications failure, unauthorized entry or other events beyond our control. Loss of all or part of the systems for a period of time could hinder our performance or our ability to complete client projects on time which, in turn, could lead to a reduction of our revenue or otherwise have a material adverse effect on our business and business reputation. We may also be liable to our clients for breach of contract for interruptions in service.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computer networks may be vulnerable to security risks that could disrupt our services and adversely affect our results of operations.</w:t>
      </w:r>
    </w:p>
    <w:p>
      <w:pPr>
        <w:spacing w:after="0" w:line="23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computer networks may be vulnerable to unauthorized access, computer hackers, computer viruses and other security problems caused by unauthorized access to, or improper use of, systems by third parties or employees. A hacker who circumvents security measures could misappropriate proprietary information or cause interruptions or malfunctions in our operations. Although we intend to continue to implement security measures, computer attacks or disruptions may jeopardize the security of information stored in and transmitted through our computer systems. Actual or perceived concerns that our systems may be vulnerable to such attacks or disruptions may deter our clients from using our solutions or services. As a result, we may be required to expend significant resources to protect against the threat of these security breaches or to alleviate problems caused by these breaches.</w:t>
      </w:r>
    </w:p>
    <w:p>
      <w:pPr>
        <w:spacing w:after="0" w:line="16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Data networks are also vulnerable to attacks, unauthorized access and disruptions. For example, in a number of public networks, hackers have bypassed firewalls and misappropriated confidential information. It is possible that, despite existing safeguards, an employee could misappropriate our clients’ proprietary information or data, exposing us to a risk of loss or litigation and possible liability. Losses or liabilities that are incurred as a result of any of the foregoing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to protect us against losses.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Although we maintain professional liability insurance and property insurance coverage for certain of our facilities and equipment, we do not have any loss of data or business interruption insurance coverage for our operations. If any claims for damage are brought against us, or if we experience any business disruption, litigation or natural disaster, we might incur substantial costs and diversion of resources.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likely not pay dividends in the foreseeable future.</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have not previously paid any cash dividends, and we do not anticipate paying any dividends on our common shares in the foreseeable future. Furthermore, there is no assurance that our Board of Directors will declare dividends even if we are profitable. Dividend policy is subject to the discretion of our Board of Directors and will depend on, among other things, our earnings, financial condition, capital requirements and other factors. The payment of dividends by entities organized in China is subject to limitations as described herein. Under Cayman Islands law, we may only pay dividends from profits of the Company, or credits standing in the Company’s share premium account, and we must be solvent before and after the dividend payment in the sense that we will be able to satisfy our liabilities as they become due in the ordinary course of business; and the realizable value of assets of our Company will not be less than the sum of our total liabilities, other than deferred taxes as shown on our books of account, and our capital. Pursuant to the Chinese enterprise income tax law, dividends payable by a foreign investment entity to its foreign investors are subject to a withholding tax of 10%. Similarly, dividends payable by a foreign investment entity to its Hong Kong investor who owns 25% or more of the equity of the foreign investment entity is subject to a withholding tax of 5%. The payment of dividends by entities organized in China is subject to limitations, procedures and formalities. Regulations in China currently permit payment of dividends only out of accumulated profits as determined in accordance with accounting standards and regulations in China. The transfer to this reserve must be made before distribution of any dividend to shareholders.</w:t>
      </w:r>
    </w:p>
    <w:p>
      <w:pPr>
        <w:spacing w:after="0" w:line="1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business may be materially and adversely affected if any of our Chinese subsidiaries declare bankruptcy or become subject to a dissolution or liquidation proceeding.</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Enterprise Bankruptcy Law of China provides that an enterprise may be liquidated if the enterprise fails to settle its debts as and when they fall due and if the enterprise’s assets are, or are demonstrably, insufficient to clear such debts. Our Chinese subsidiaries hold certain assets that are important to our business operations. If any of our Chinese subsidiaries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WOFE is required to allocate a portion of its after-tax profits, to the statutory reserve fund, and as determined by its board of directors, to the staff welfare and bonus funds, which may not be distributed to equity owners.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Pursuant to Company Law of P.R. China (2013 Revision), Wholly Foreign-Owned Enterprise Law of the P.R. China (2000 Revision) and Implementing Rules for the Law of the People’s Republic of China on Wholly Foreign Owned Enterprises (2014 Revision), our WOFE entity is required to allocate a portion of its after-tax profits, to the statutory reserve fund, and in its discretion, to the staff welfare and bonus funds. No lower than 10% of an enterprise’s after tax-profits should be allocated to the statutory reserve fund. When the statutory reserve fund account balance is equal to or greater than 50% of the WOFE’s registered capital, no further allocation to the statutory reserve fund account is required. WOFE determines, in its own discretion, the amount contributed to the staff welfare and bonus funds. These reserves represent appropriations of retained earnings determined according to Chinese law.</w:t>
      </w:r>
    </w:p>
    <w:p>
      <w:pPr>
        <w:spacing w:after="0" w:line="16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Our failure to obtain prior approval of the China Securities Regulatory Commission (“CSRC”) for the listing and trading of our common shares on a foreign stock exchange could delay this offering or could have a material adverse effect upon our business, operating results, reputation and trading price of our common shares.</w:t>
      </w:r>
    </w:p>
    <w:p>
      <w:pPr>
        <w:spacing w:after="0" w:line="18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August 8, 2006, six Chinese regulatory agencies, including the Ministry of Commerce of the People’s Republic of China (“MOFCOM”), jointly issued the Regulations on Mergers and Acquisitions of Domestic Enterprises by Foreign Investors (the “M&amp;A Rule”). The M&amp;A Rule contains provisions that require that an offshore special purpose vehicle (“SPV”) formed for listing purposes and controlled directly or indirectly by Chinese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However, the application of the M&amp;A Rule remains unclear with no consensus currently existing among leading Chinese law firms regarding the scope and applicability of the CSRC approval requirement. The CSRC has not issued any such definitive rule or interpretation, and we have not chosen to voluntarily request approval under the M&amp;A Rule. If the CSRC requires that we obtain its approval prior to the completion of this offering, the offering will be delayed until we obtain CSRC approval, which may take several months. There is also the possibility that we may not be able to obtain such approval. If prior CSRC approval was required, we may face regulatory actions or other sanctions from the CSRC or other Chinese regulatory authorities. These authorities may impose fines and penalties upon our operations in China, limit our operating privileges in China, delay or restrict the repatriation of the proceeds from this offering into China, or take other actions that could have a material adverse effect upon our business, financial condition, results of operations, reputation and prospects, as well as the trading price of our common shares. The CSRC or other Chinese regulatory agencies may also take actions requiring us, or making it advisable for us, to terminate this offering prior to closing.</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Substantial uncertainties exist with respect to the enactment timetable and final content of draft China Foreign Investment Law and how it may impact the viability of our current corporate structure, corporate governance and business operations.</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MOFCOM published a discussion draft of the proposed Foreign Investment Law in January 2015 (the “Draft FIL”). The Draft FIL embodies an expected Chinese regulatory trend to rationalize its foreign investment regulatory regime in line with prevailing international practice and the legislative efforts to unify the corporate legal requirements for both foreign and domestic investments. MOFCOM is currently soliciting comments on this draft and substantial uncertainties exist with respect to its enactment timetable, final content, interpretation and implementation. Among other things, the Draft FIL expands the definition of foreign investment and introduces the principle of “actual control” in determining whether a company is considered a foreign-invested enterprise, or an FIE. The Draft FIL specifically provides that entities established in China but “controlled” by foreign investors will be treated as FIEs, whereas an entity set up in a foreign jurisdiction would nonetheless be, upon market entry clearance, treated as a Chinese domestic investor provided that the entity is “controlled” by Chinese entities and or citizens. Once an entity is determined to be an FIE, it will be subject to the foreign investment restrictions or prohibitions set forth in a “negative list,” to be separately issued by the State Council later. Unless the underlying business of the FIE falls within the negative list, which calls for market entry clearance, prior approval from the government authorities as mandated by the existing foreign investment legal regime would no longer be required for establishment of the FIE. The development, manufacture and sales of wastewater treatment products are not currently subject to foreign investment restrictions set forth in the Catalogue of Industries for Guiding Foreign Investment, or the Catalogue, issued by the National Development and Reform Commission and the Ministry of Commerce that was amended in 2015 and became effective in April 2015. The Draft FIL, if enacted as proposed, will not materially impact the viability of our current corporate structure, corporate governance and business operations in many aspects. However, should the development, manufacture and sales of wastewater treatment products become subject to foreign investment restrictions set forth in the Catalogue of Industries for Guiding Foreign Investment then the viability of our current corporate structure, corporate governance and business operations may be materially impacted in many aspects.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Adverse changes in political, economic and other policies of the Chinese government could have a material adverse effect on the overall economic growth of China, which could materially and adversely affect the growth of our business and our competitive position.</w:t>
      </w:r>
    </w:p>
    <w:p>
      <w:pPr>
        <w:spacing w:after="0" w:line="12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majority of our business operations are conducted in China. Accordingly, our business, financial condition, results of operations and prospects are affected significantly by economic, political and legal developments in China. Although the PRC economy has been transitioning from a planned economy to a more market-oriented economy since the late 1970s,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the Renminbi and foreign currencies, and regulate the growth of the general or specific market. While the Chinese economy has experienced significant growth in the past 30 years, growth has been uneven, both geographically and among various sectors of the economy. Furthermore, the current global economic crisis is adversely affecting economies throughout the world. As the PRC economy has become increasingly linked with the global economy, China is affected in various respects by downturns and recessions of major economies around the world. The various economic and policy measures enacted by the PRC government to forestall economic downturns or bolster China’s economic growth could materially affect our business. Any adverse change in the economic conditions in China, in policies of the PRC government or in laws and regulations in China could have a material adverse effect on the overall economic growth of China and market demand for our outsourcing services. Such developments could adversely affect our businesses, lead to reduction in demand for our services and adversely affect our competitive position.</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have a material adverse effect on us.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PRC legal system is based on written statutes. Prior court decisions may be cited for reference but have limited precedential value. Since the late 1970s, the PRC government has been building a comprehensive system of laws and regulations governing economic matters in general. The overall effect has been to significantly enhance the protections afforded to various forms of foreign investments in China. We conduct our business primarily through our subsidiaries established in China. These subsidiaries are generally subject to laws and regulations applicable to foreign investment in China. However, since these laws and regulations are relatively new and the PRC legal system continues to rapidly evolve, the interpretations of many laws, regulations and rules are not always uniform and enforcement of these laws, regulations and rules involves uncertainties, which may limit legal protections available to us. In addition, some regulatory requirements issued by certain PRC government authorities may not be consistently applied by other government authorities (including local government authorities), thus making strict compliance with all regulatory requirements impractical, or in some circumstances impossible. For example, we may have to resort to administrative and court proceedings to enforce the legal protection that we enjoy either by law or contract. However, since PRC administrative and court authorities have discretion in interpreting and implementing statutory and contractual terms, it may be more difficult to predict the outcome of administrative and court proceedings and the level of legal protection we enjoy than in more developed legal systems. These uncertainties may impede our ability to enforce the contracts we have entered into with our business partners, clients and suppliers. In addition, such uncertainties, including any inability to enforce our contracts, together with any development or interpretation of PRC law that is adverse to us, could materially and adversely affect our business and operations. Furthermore, intellectual property rights and confidentiality protections in China may not be as effective as in the United States or other more developed countries. We cannot predict the effect of future developments in the PRC legal system, including the promulgation of new laws, changes to existing laws or the interpretation or enforcement thereof, or the preemption of local regulations by national laws. These uncertainties could limit the legal protections available to us and other foreign investors, including you. In addition, any litigation in China may be protracted and result in substantial costs and diversion of our resources and management attention.</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approval of the China Securities Regulatory Commission, or the CSRC, may be required in connection with this offering under a recently adopted PRC regulation; any requirement to obtain prior CSRC approval could delay this offering and failure to obtain such approval, if required, could have a material adverse effect on our business, results of operation and reputation and could also create uncertainties for this offering.</w:t>
      </w:r>
    </w:p>
    <w:p>
      <w:pPr>
        <w:spacing w:after="0" w:line="14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2006, the CSRC and five other PRC regulatory agencies jointly promulgated the Provisions Regarding Mergers and Acquisitions of Domestic Enterprises by Foreign Investors, or the M&amp;A Rule, which regulates foreign investment in PRC domestic enterprises. The M&amp;A Rule requires offshore special purpose vehicles formed for the purposes of overseas listing of equity interests in PRC companies and controlled directly or indirectly by PRC companies or individuals to obtain the approval of the CSRC prior to the listing and trading of the special purpose vehicle’s securities on an overseas stock exchange. The interpretation and application of the M&amp;A Rule is currently unclear. If the CSRC or another PRC regulatory agency subsequently determines that prior CSRC approval was required, we may face regulatory actions or other sanctions from the CSRC or other PRC regulatory agencies. These regulatory agencies may impose fines and penalties on our operations, limit our operating privileges, delay or restrict the repatriation of the proceeds from this offering into China or the payment or distribution of dividends by our PRC subsidiaries, or take other actions that could have a material adverse effect on our business, financial condition, results of operations, reputation and prospects.</w:t>
      </w:r>
    </w:p>
    <w:p>
      <w:pPr>
        <w:spacing w:after="0" w:line="16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face uncertainty regarding the PRC tax reporting obligations and consequences for certain indirect transfers of the stock of our operating company.</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Pursuant to the Notice on Strengthening Administration of Enterprise Income Tax for Share Transfers by Non-PRC Resident Enterprises issued by the PRC State Administration of Taxation on December 10, 2009, or Circular 698, where a foreign investor transfers the equity interests of a PRC resident enterprise indirectly by way of the sale of equity interests of an overseas holding company, or an Indirect Transfer, and such overseas holding company is located in a tax jurisdiction that: (i) has an effective tax rate less than 12.5% or (ii) does not tax foreign income of its residents, the foreign investor should report such Indirect Transfer to the competent tax authority of the PRC resident enterprise. The PRC tax authority will examine the true nature of the Indirect Transfer, and if the tax authority considers that the foreign investor has adopted an abusive arrangement in order to avoid PRC tax, they will disregard the existence of the overseas holding company and re-characterize the Indirect Transfer and as a result, gains derived from such Indirect Transfer may be subject to PRC withholding tax at the rate of up to 10%. In addition, the PRC resident enterprise is supposed to provide necessary assistance to support the enforcement of Circular 698. At present, the PRC tax authorities will neither confirm nor deny that they would enforce Circular 698, in conjunction with other tax collection and tax withholding rules, to make claims against our PRC subsidiary as being indirectly liable for unpaid taxes, if any, arising from Indirect Transfers by shareholders who did not obtain their shares in the public offering of our shares.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PRC State Administration of Foreign Exchange, or SAFE, issued a public notice in 2005 known as Circular 75 that requires PRC residents, including both legal persons and natural persons, to register with an appropriate local SAFE branch before establishing or controlling any company outside of China, referred to as an offshore special purpose company, for the purpose of acquiring any assets of or equity interest in PRC companies and raising funds from overseas. When a PRC resident contributes the assets or equity interests it holds in a PRC company into the offshore special purpose company, or engages in overseas financing after contributing such assets or equity interests into the offshore special purpose company, such PRC resident must modify its SAFE registration in light of its interest in the offshore special purpose company and any change thereof. In addition, any PRC resident that is the shareholder of an offshore special purpose company is required to amend its SAFE registration with the local SAFE branch with respect to that offshore special purpose company in connection with any increase or decrease of capital, transfer of shares, merger, division, equity investment or creation of any security interest over any assets located in China. If these shareholders fail to comply, the PRC subsidiaries of the offshore special purpose company may be prohibited from distributing their profits and proceeds from any reduction in capital, share transfer or liquidation to their offshore parent company and the offshore parent company may be restricted in its ability to contribute additional capital into its PRC subsidiaries. Moreover, failure to comply with the above SAFE registration requirements could result in liabilities under PRC laws for evasion of foreign exchange restrictions.</w:t>
      </w:r>
    </w:p>
    <w:p>
      <w:pPr>
        <w:spacing w:after="0" w:line="16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committed to complying with the Circular 75 requirements and to ensuring that our shareholders who are PRC citizens or residents comply with them. We believe that all of our current PRC citizen or resident shareholders and beneficial owners have completed their required registrations with SAFE. However, we may not at all times be fully aware or informed of the identities of all our beneficial owners who are PRC citizens or residents, and we may not always be able to compel our beneficial owners to comply with the Circular 75 requirements. As a result, we cannot assure you that all of our shareholders or beneficial owners who are PRC citizens or residents will at all times comply with, or in the future make or obtain any applicable registrations or approvals required by, Circular 75 or other related regulations. Failure by any such shareholders or beneficial owners to comply with Circular 75 could subject us to fines or legal sanctions, restrict our overseas or cross-border investment activities, limit our PRC subsidiaries’ ability to make distributions or pay dividends or affect our ownership structure, which could adversely affect our business and prospects.</w:t>
      </w:r>
    </w:p>
    <w:p>
      <w:pPr>
        <w:spacing w:after="0" w:line="16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 PRC National Development and Reform Commission promulgated a rule in 2004 requiring its approval for overseas investment projects made by PRC entities. However, there exist extensive uncertainties as to the interpretation of this rule with respect to its application to a PRC individual’s overseas investment and, in practice, we are not aware of any precedents that a PRC individual’s overseas investment has been either approved by the National Development and Reform Commission or challenged by the National Development and Reform Commission based on the absence of its approval. Our current beneficial owners who are PRC individuals did not apply for the approval of the National Development and Reform Commission for their investment in us. We cannot predict how and to what extent this will affect our business operations or future strategy.</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PRC regulation of loans and direct investment by offshore holding companies to PRC entities may delay or prevent us from using the proceeds of this offering to make loans or additional capital contributions to our PRC subsidiaries, which could materially and adversely affect our liquidity and our ability to fund and expand our business.</w:t>
      </w:r>
    </w:p>
    <w:p>
      <w:pPr>
        <w:spacing w:after="0" w:line="184"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In utilizing the proceeds from this public offering or any future offerings, as an offshore holding company of our PRC subsidiaries, we may make loans to our PRC subsidiaries and controlled PRC affiliate, or we may make additional capital contributions to our PRC subsidiaries. Any loans to our PRC subsidiaries or controlled PRC affiliate are subject to PRC regulations and approvals. For example, loans by us to our PRC subsidiaries in China, each of which is a foreign-invested enterprise, to finance their activities cannot exceed statutory limits and must be registered with SAFE or its local counterpart.</w:t>
      </w:r>
    </w:p>
    <w:p>
      <w:pPr>
        <w:spacing w:after="0" w:line="15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may also decide to finance our PRC subsidiaries through capital contributions. These capital contributions must be approved by the Ministry of Commerce in China or its local counterpart. We cannot assure you that we will be able to obtain these government registrations or approvals on a timely basis, if at all, with respect to future loans by us to our PRC subsidiaries or controlled PRC affiliate or capital contributions by us to our subsidiaries or any of their respective subsidiaries. If we fail to receive such registrations or approvals, our ability to use the proceeds of this offering and to capitalize our PRC operations may be negatively affected, which could adversely and materially affect our liquidity and our ability to fund and expand our business.</w:t>
      </w:r>
    </w:p>
    <w:p>
      <w:pPr>
        <w:spacing w:after="0" w:line="16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2008, SAFE promulgated Circular 142, a notice regulating the conversion by a foreign-invested enterprise of foreign currency into Renminbi by restricting how the converted Renminbi may be used. Circular 142 requires that Renminbi converted from the foreign currency-denominated capital of a foreign-invested enterprise may only be used for purposes within the business scope approved by the applicable governmental authority and may not be used for equity investments within the PRC unless specifically provided for otherwise in its business scope. In addition, SAFE strengthened its oversight of the flow and use of Renminbi funds converted from the foreign currency-denominated capital of a foreign-invested enterprise. The use of such Renminbi may not be changed without approval from SAFE, and may not be used to repay Renminbi loans if the proceeds of such loans have not yet been used for purposes within the foreign-invested enterprise’s approved business scope.</w:t>
      </w:r>
    </w:p>
    <w:p>
      <w:pPr>
        <w:spacing w:after="0" w:line="17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cannot assure you that we will be able to complete the necessary government registrations or obtain the necessary government approvals on a timely basis, if at all, with respect to future loans by us to our PRC subsidiaries or controlled PRC affiliate or with respect to future capital contributions by us to our PRC subsidiaries. If we fail to complete such registrations or obtain such approvals, our ability to use the proceeds we receive from this offering and to capitalize or otherwise fund our PRC operations may be negatively affected, which could adversely and materially affect our liquidity and our ability to fund and expand our business.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Governmental control of currency conversion may limit our ability to use our revenues effectively and the ability of our PRC subsidiaries to obtain financing.</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PRC government imposes control on the convertibility of the RMB into foreign currencies and, in certain cases, the remittance of currency out of China. We receive a majority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Our PRC subsidiaries are able to pay dividends in foreign currencies to us without prior approval from SAFE, by complying with certain procedural requirements. Our PRC subsidiaries may also retain foreign currency in their respective current account bank accounts for use in payment of international current account transactions. However, we cannot assure you that the PRC government will not take measures in the future to restrict access to foreign currencies for current account transactions.</w:t>
      </w:r>
    </w:p>
    <w:p>
      <w:pPr>
        <w:spacing w:after="0" w:line="166"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We cannot assure you that the registration process will not delay or prevent our conversion of Renminbi for use outside of China.</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We may be classified as a “resident enterprise” for PRC enterprise income tax purposes; such classification could result in unfavorable tax consequences to us and our non-PRC shareholders.</w:t>
      </w:r>
    </w:p>
    <w:p>
      <w:pPr>
        <w:spacing w:after="0" w:line="17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The Enterprise Income Tax Law provides that enterprises established outside of China whose “de facto management bodies” are located in China are considered PRC tax resident enterprises and will generally be subject to the uniform 25% PRC enterprise income tax rate on their global income. In addition, a tax circular issued by the State Administration of Taxation on April 22, 2009 regarding the standards used to classify certain Chinese-invested enterprises established outside of China as resident enterprises clarified that dividends and other income paid by such resident enterprises will be considered to be PRC source income, subject to PRC withholding tax, currently at a rate of 10%, when recognized by non-PRC enterprise shareholders. This recent circular also subjects such resident enterprises to various reporting requirements with the PRC tax authorities. Under the implementation rules to the Enterprise Income Tax Law, a de facto management body is defined as a body that has material and overall management and control over the manufacturing and business operations, personnel and human resources, finances and other assets of an enterprise. In addition, the tax circular mentioned above details that certain Chinese-invested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w:t>
      </w:r>
    </w:p>
    <w:p>
      <w:pPr>
        <w:spacing w:after="0" w:line="17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Currently, there are no detailed rules or precedents governing the procedures and specific criteria for determining de facto management bodies which are applicable to our company or our overseas subsidiary. If our company or any of our overseas subsidiaries is considered a PRC tax resident enterprise for PRC enterprise income tax purposes, a number of unfavorable PRC tax consequences could follow. First, our company or our overseas subsidiary will be subject to the uniform 25% enterprise income tax rate as to our global income as well as PRC enterprise income tax reporting obligations. Second, although under the Enterprise Income Tax Law and its implementing rules dividends paid to us from our PRC subsidiaries would qualify as tax-exempted income, we cannot assure you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dividends payable by us to our investors and gain on the sale of our shares may become subject to PRC withholding tax. It is possible that future guidance issued with respect to the new resident enterprise classification could result in a situation in which a withholding tax of 10% for our non-PRC enterprise investors or a potential withholding tax of 20% for individual investors is imposed on dividends we pay to them and with respect to gains derived by such investors from transferring our shares. In addition to the uncertainty in how the new resident enterprise classification could apply, it is also possible that the rules may change in the future, possibly with retroactive effect. If we are required under the Enterprise Income Tax law to withhold PRC income tax on our dividends payable to our foreign shareholders, or if you are required to pay PRC income tax on the transfer of our shares under the circumstances mentioned above, the value of your investment in our shares or ADSs may be materially and adversely affected. It is unclear whether, if we are considered a PRC resident enterprise, holders of our shares would be able to claim the benefit of income tax treaties or agreements entered into between China and other countries or areas.</w:t>
      </w:r>
    </w:p>
    <w:p>
      <w:pPr>
        <w:spacing w:after="0" w:line="1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rely on dividends paid by our subsidiaries for our cash needs, and any limitation on the ability of our subsidiaries to make payments to us could have a material adverse effect on our ability to conduct our business.</w:t>
      </w:r>
    </w:p>
    <w:p>
      <w:pPr>
        <w:spacing w:after="0" w:line="170"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As a holding company, we conduct substantially all of our business through our consolidated subsidiaries incorporated in China. We may rely on dividends paid by these PRC subsidiaries for our cash needs, including the funds necessary to pay any dividends and other cash distributions to our shareholders, to service any debt we may incur and to pay our operating expenses. The payment of dividends by entities established in China is subject to limitations. Regulations in China currently permit payment of dividends only out of accumulated profits as determined in accordance with accounting standards and regulations in China. Each of our PRC subsidiaries is required to set aside at least 10% of its after-tax profit based on PRC accounting standards each year to its general reserves or statutory capital reserve fund until the aggregate amount of such reserves reaches 50% of its respective registered capital. As a result, our PRC subsidiaries are restricted in their ability to transfer a portion of their net assets to us in the form of dividends.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employment practices may be restricted under the PRC Labor Contract Law and our labor costs may increase as a result.</w:t>
      </w:r>
    </w:p>
    <w:p>
      <w:pPr>
        <w:spacing w:after="0" w:line="23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PRC Labor Contract Law and its implementing rules impose requirements concerning contracts entered into between an employer and its employees and establishes time limits for probationary periods and for how long an employee can be placed in a fixed-term labor contract. Because the Labor Contract Law and its implementing rules have not been in effect very long and because there is lack of clarity with respect to their implementation and potential penalties and fines, it is uncertain how it will impact our current employment policies and practices. We cannot assure you that our employment policies and practices do not, or will not, violate the Labor Contract Law or its implementing rules and that we will not be subject to related penalties, fines or legal fees. If we are subject to large penalties or fees related to the Labor Contract Law or its implementing rules, our business, financial condition and results of operations may be materially and adversely affected. In addition, according to the Labor Contract Law and its implementing rules, if we intend to enforce the non-compete provision with an employee in a labor contract or non-competition agreement, we have to compensate the employee on a monthly basis during the term of the restriction period after the termination or ending of the labor contract, which may cause extra expenses to us. Furthermore, the Labor Contract Law and its implementation rules require certain terminations to be based upon seniority rather than merit, which significantly affects the cost of reducing workforce for employers. In the event we decide to significantly change or decrease our workforce in the PRC, the Labor Contract Law could adversely affect our ability to enact such changes in a manner that is most advantageous to our circumstances or in a timely and cost effective manner, thus our results of operations could be adversely affected.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Associated with this Offering</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There has been no public market for our common shares prior to this offering, and you may not be able to resell our common shares at or above the price you paid, or at all.</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Prior to this initial public offering, there has been no public market for our shares. We intend to list our common shares on the NASDAQ Capital Market. If an active trading market for our common shares does not develop after this offering, the market price and liquidity of our common shares will be materially and adversely affected. Negotiations with the underwriters will determine the initial public offering price for our common shares which may bear no relationship to their market price after the initial public offering. We cannot assure you that an active trading market for our common shares will develop or that the market price of our common shares will not decline below the initial public offering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comply with certain conditions, our common shares may not trade on the NASDAQ Capital Market.</w:t>
      </w:r>
    </w:p>
    <w:p>
      <w:pPr>
        <w:spacing w:after="0" w:line="221"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We have received approval to list our common shares on the NASDAQ Capital Market provided that we pay the balance of our entry fee</w:t>
      </w:r>
      <w:r>
        <w:rPr>
          <w:rFonts w:ascii="Arial" w:cs="Arial" w:eastAsia="Arial" w:hAnsi="Arial"/>
          <w:sz w:val="16"/>
          <w:szCs w:val="16"/>
          <w:color w:val="auto"/>
        </w:rPr>
        <w:t xml:space="preserve"> </w:t>
      </w:r>
      <w:r>
        <w:rPr>
          <w:rFonts w:ascii="Arial" w:cs="Arial" w:eastAsia="Arial" w:hAnsi="Arial"/>
          <w:sz w:val="16"/>
          <w:szCs w:val="16"/>
          <w:b w:val="1"/>
          <w:bCs w:val="1"/>
          <w:color w:val="auto"/>
        </w:rPr>
        <w:t>and show that we will have 300 round-lot shareholders prior to our first day of trading</w:t>
      </w:r>
      <w:r>
        <w:rPr>
          <w:rFonts w:ascii="Arial" w:cs="Arial" w:eastAsia="Arial" w:hAnsi="Arial"/>
          <w:sz w:val="16"/>
          <w:szCs w:val="16"/>
          <w:color w:val="auto"/>
        </w:rPr>
        <w:t>.] If we are unable to meet these final conditions our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may not trade on the NASDAQ Capital Market. In addition, we have relied on an exemption to the blue sky registration requirements afforded to “covered securities.” Securities listed on the NASDAQ Capital Market are “covered securities.” If we were unable to meet the final conditions for listing, then we would be unable to rely on the covered securities exemption to blue sky registration requirements and we would need to register the offering in each state in which we planned to sell shares. Consequently, we will not complete this offering until we have met the final conditions.</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listed on the NASDAQ Capital Market and our financial condition deteriorates, we may not meet continued listing standards on the NASDAQ Capital Market.</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NASDAQ Capital Market also requires companies to fulfill specific requirements in order for their shares to continue to be listed. If our shares are listed on the NASDAQ Capital Market but are delisted from the NASDAQ Capital Market at some later date, our shareholders could find it difficult to sell our shares. In addition, if our common shares are delisted from the NASDAQ Capital Market at some later date, we may apply to have our common shares quoted on the Bulletin Board or in the “pink sheets” maintained by the National Quotation Bureau, Inc. The Bulletin Board and the “pink sheets” are generally considered to be less efficient markets than the NASDAQ Capital Market. In addition, if our common shares are not so listed or are delisted at some later date, our common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common shares might decline. If our common shares are not so listed or are delisted from the NASDAQ Capital Market at some later date or become subject to the penny stock regulations, it is likely that the price of our shares would decline and that our shareholders would find it difficult to sell their shares.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a limited number of participants in this offering purchase a significant percentage of the offering, the effective public float may be smaller than anticipated and the price of our common shares may be volatile.</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As a company conducting a relatively modest public offering, we are subject to the risk that a small number of investors will purchase a high percentage of the offering. If this were to happen, investors could find our shares to be more volatile than they might otherwise anticipate. Companies that experience such volatility in their stock price may be more likely to be the subject of securities litigation. In addition, if a large portion of our public float were to be held by a few investors, smaller investors may find it more difficult to sell their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shares may be volatile.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shares. In addition to the above factors, the price and trading volume of our common shares may be highly volatile due to multiple factors, including the following:</w:t>
      </w:r>
    </w:p>
    <w:p>
      <w:pPr>
        <w:spacing w:after="0" w:line="17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developments affecting us, our users, or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uncertainties with regard to our variable interest entity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studies and reports relating to our service offerings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of exchange rates between the RMB and the U.S. dollar;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common shares;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or perceived potential sales of additional common shares.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8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 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Shares eligible for future sale may adversely affect the market price of our common shares, as the future sale of a substantial amount of outstanding common shares in the public marketplace could reduce the price of our common shares.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market price of our shares could decline as a result of sales of substantial amounts of our shares in the public market, or the perception that these sales could occur. In addition, these factors could make it more difficult for us to raise funds through future offerings of our common shares. An aggregate of shares is outstanding before the consummation of this offering and [●] shares will be outstanding immediately after this offering. All of the shares sold in the offering will be freely transferable without restriction or further registration under the Securities Act. The remaining shares will be “restricted securities” as defined in Rule 144. These shares may be sold in the future without registration under the Securities Act to the extent permitted by Rule 144 or other exemptions under the Securities 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and substantial dilution.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initial public offering price of our shares is expected to be substantially higher than the pro forma net tangible book value per share of our common shares. Assuming the completion of the offering, if you purchase shares in this offering, you will incur immediate dilution of approximately $[●] or approximately [●]% in the pro forma net tangible book value per share from the price per share that you pay for the shares. Accordingly, if you purchase shares in this offering, you will incur immediate and substantial dilution of your investment. See “Dilution.”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finally determined the use of the proceeds from this offering, and we may use the proceeds in ways with which you may not agree.</w:t>
      </w:r>
    </w:p>
    <w:p>
      <w:pPr>
        <w:spacing w:after="0" w:line="24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While we have identified the priorities to which we expect to put the proceeds of this offering, our management will have considerable discretion in the application of the net proceeds received by us. Specifically, we intend to use the net proceeds from this offering for expansion and upgrades of our production lines and warehouse facilities, establishment promotion of overseas sales websites, and working capital and general corporate purposes. We have reserved the right to re-allocate funds currently allocated to that purpose to our general working capital. If that were to happen, then our management would have discretion over even more of the net proceeds to be received by our company in this offering. You will not have the opportunity, as part of your investment decision, to assess whether the proceeds are being used appropriately. You must rely on the judgment of our management regarding the application of the net proceeds of this offering. The net proceeds may be used for corporate purposes that do not improve our efforts to achieve profitability or increase our stock price. The net proceeds from this offering may be placed in investments that do not produce profit or increase value. See “Use of Proceeds.”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are a Cayman Islands company and, because judicial precedent regarding the rights of shareholders is more limited under Cayman Islands law than under U.S. law, you may have less protection for your shareholder rights than you would under U.S. law.</w:t>
      </w:r>
    </w:p>
    <w:p>
      <w:pPr>
        <w:spacing w:after="0" w:line="14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corporate affairs are governed by our Memorandum and Articles of Association, the Cayman Islands Companies Law (Revised)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As a result of all of the above, public shareholders may have more difficulty in protecting their interests in the face of actions taken by management, members of the board of directors or controlling shareholders than they would as shareholders of a U.S. public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Judgments obtained against us by our shareholders may not be enforceable.</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are a Cayman Islands company and all of our assets are located outside of the United States. Our current operations are based in China. In addition, our current directors and executive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1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will not be subject to U.S. proxy rules and will be subject to more lenient and less frequent Exchange Act reporting obligations than a U.S. issuer.</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Upon consummation of this offering, we will report under the Securities Exchange Act as a foreign private issuer. Because we qualify as a foreign private issuer under the Exchange Act, we will be exempt from certain provisions of the Exchange Act that are applicable to U.S. public companies, including:</w:t>
      </w:r>
    </w:p>
    <w:p>
      <w:pPr>
        <w:spacing w:after="0" w:line="184" w:lineRule="exact"/>
        <w:rPr>
          <w:sz w:val="20"/>
          <w:szCs w:val="20"/>
          <w:color w:val="auto"/>
        </w:rPr>
      </w:pPr>
    </w:p>
    <w:p>
      <w:pPr>
        <w:ind w:left="660" w:right="2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sections of the Exchange Act that regulate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sections of the Exchange Act that require insiders to file public reports of their stock ownership and trading activities and impose liability on insiders who profit from trades made in a short period of time; and</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rules under the Exchange Act that require the filing of quarterly reports on Form 10-Q containing unaudited financial and other specified information and current reports on Form 8-K upon the occurrence of specified significant events.</w:t>
      </w:r>
    </w:p>
    <w:p>
      <w:pPr>
        <w:spacing w:after="0" w:line="170"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In addition,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Regulation FD, aimed at preventing issuers from making selective disclosures of material information. As a result, you may not have the same protections afforded to stockholders of companies that are not foreign private issuers.</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determination of our status as a foreign private issuer is made annually on the last business day of our most recently completed second fiscal quarter and, accordingly, the next determination will be made with respect to us on or after June 30, 2018. We would lose our foreign private issuer status if</w:t>
      </w:r>
    </w:p>
    <w:p>
      <w:pPr>
        <w:ind w:right="220" w:firstLine="8"/>
        <w:spacing w:after="0" w:line="271" w:lineRule="auto"/>
        <w:tabs>
          <w:tab w:leader="none" w:pos="2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majority of our outstanding voting securities are directly or indirectly held of record by U.S. residents, and (2) a majority of our shareholders or a majority of our directors or management are U.S. citizens or residents, a majority of our assets are located in the United States, or our business is administered principally in the United States.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publicly-traded company.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a company with publicly-traded securities, we will incur additional legal, accounting and other expenses not presently incurred. In addition, the Sarbanes-Oxley Act of 2002, the Dodd-Frank Wall Street Reform and Consumer Protection Act of 2010, as well as rules promulgated by the SEC and the national securities exchange on which we list, requires us to adopt corporate governance practices applicable to U.S. public companies. These rules and regulations will increase our legal and financial compliance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risks relating to evaluations of controls required by Sarbanes-Oxley Act of 2002.</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Pursuant to Sarbanes-Oxley Act of 2002, our management will be required to report on, and our independent registered public accounting firm may in the future be required to attest to, the effectiveness of our internal control over financial reporting. Our internal accounting controls may not meet all standards applicable to companies with publicly traded securities. If we fail to implement any required improvements to our disclosure controls and procedures, we may be obligated to report control deficiencies and, if required, our independent registered public accounting firm may not be able to certify the effectiveness of our internal controls over financial reporting. In either case, we could become subject to regulatory sanction or investigation. Further, these outcomes could damage investor confidence in the accuracy and reliability of our financial statements.</w:t>
      </w:r>
    </w:p>
    <w:p>
      <w:pPr>
        <w:spacing w:after="0" w:line="17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As an “emerging growth company” under the Jumpstart Our Business Startups Act, or JOBS Act, we are permitted to, and intend to, rely on exemptions from certain disclosure requirements.</w:t>
      </w:r>
    </w:p>
    <w:p>
      <w:pPr>
        <w:spacing w:after="0" w:line="17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As an “emerging growth company” under the JOBS Act, we are permitted to, and intend to, rely on exemptions from certain disclosure requirements. We are an emerging growth company until the earliest of:</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 day of the fiscal year during which we have total annual gross revenues of $1 billion or more;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we have, during the previous 3-year period, issued more than $1 billion in non-convertible debt;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we are deemed a “large accelerated issuer” as defined under the federal securities laws.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For so long as we remain an emerging growth company, we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for up to five fiscal years after the date of this offering. We cannot predict if investors will find our common shares less attractive because we may rely on these exemptions. If some investors find our common shares less attractive as a result, there may be a less active trading market for our common shares and the trading price of our common shares may be more volatile. In addition, our costs of operating as a public company may increase when we cease to be an emerging growth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U.S. federal income tax consequences to U.S. holders of our common shares.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Based on the anticipated market price of our common shares in this offering and expected price of our common shares following this offering, and the composition of our income, assets and operations, we do not expect to be treated as a passive foreign investment company (“PFIC”) for U.S. federal income tax purposes for the current taxable year or in the foreseeable future. However, the application of the PFIC rules is subject to uncertainty in several respects, and we cannot assure you the U.S. Internal Revenue Service will not take a contrary position. Furthermore, this is a factual determination that must be made annually after the close of each taxable year. If we are a PFIC for any taxable year during which a U.S. holder holds our common shares, certain adverse U.S. federal income tax consequences could apply to such U.S. Holder.</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common shares and trading volume could decline.</w:t>
      </w:r>
    </w:p>
    <w:p>
      <w:pPr>
        <w:spacing w:after="0" w:line="170" w:lineRule="exact"/>
        <w:rPr>
          <w:sz w:val="20"/>
          <w:szCs w:val="20"/>
          <w:color w:val="auto"/>
        </w:rPr>
      </w:pPr>
    </w:p>
    <w:p>
      <w:pPr>
        <w:jc w:val="both"/>
        <w:ind w:right="120" w:firstLine="648"/>
        <w:spacing w:after="0" w:line="275" w:lineRule="auto"/>
        <w:rPr>
          <w:sz w:val="20"/>
          <w:szCs w:val="20"/>
          <w:color w:val="auto"/>
        </w:rPr>
      </w:pPr>
      <w:r>
        <w:rPr>
          <w:rFonts w:ascii="Arial" w:cs="Arial" w:eastAsia="Arial" w:hAnsi="Arial"/>
          <w:sz w:val="17"/>
          <w:szCs w:val="17"/>
          <w:color w:val="auto"/>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corporate structure, together with applicable law, may impede shareholders from asserting claims against us and our principals.</w:t>
      </w:r>
    </w:p>
    <w:p>
      <w:pPr>
        <w:spacing w:after="0" w:line="23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All of our operations and records, and all of our senior management are located in the PRC. Shareholders of companies such as ours have limited ability to assert and collect on claims in litigation against such companies and their principals. In addition, China has very restrictive secrecy laws that prohibit the delivery of many of the financial records maintained by a business located in China to third parties absent Chinese government approval. Since discovery is an important part of proving a claim in litigation, and since most if not all of our records are in China, Chinese secrecy laws could frustrate efforts to prove a claim against us or our management. In addition, in order to commence litigation in the United States against an individual such as an officer or director, that individual must be served. Generally, service requires the cooperation of the country in which a defendant resides. China has a history of failing to cooperate in efforts to affect such service upon Chinese citizens in China.</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become directly subject to the recent scrutiny involving U.S.-listed Chinese companies, we may have to expend significant resources to investigate and or defend the matter, which could harm our business operations, stock price and reputation and could result in a complete loss of your investment in us.</w:t>
      </w:r>
    </w:p>
    <w:p>
      <w:pPr>
        <w:spacing w:after="0" w:line="18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Recently, 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 or SEC enforcement actions that are conducting internal and or external investigations into the allegations. If we become the subject of any such scrutiny, whether any allegations are true or not, we may have to expend significant resources to investigate such allegations and or defend our company. Such investigations or allegations will be costly and time-consuming and distract our management from our business plan and could result in our reputation being harmed and our stock price could decline as a result of such allegations, regardless of the truthfulness of the allegations.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DEFINED TERMS AND CONVENTIONS FORWARD-LOOKING STATEMENTS</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made statements in this prospectus, including under “Prospectus Summary,” “Risk Factors,” “Management’s Discussion and Analysis of Financial Condition and Results of Operations,” “Our Business” and elsewhere that constitute forward-looking statements. Forward-looking statements involve risks and uncertainties, such as statements about our plans, objectives, expectations, assumptions or future events. In some cases, you can identify forward-looking statements by terminology such as “anticipate,” “estimate,” “plan,” “project,” “continuing,” “ongoing,” “expect,” “we believe,” “we intend,” “may,” “should,” “will,” “could” and similar expressions denoting uncertainty or an action that may, will or is expected to occur in the future. These statements involve estimates, assumptions, known and unknown risks, uncertainties and other factors that could cause actual results to differ materially from any future results, performances or achievements expressed or implied by the forward-looking statements.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Examples of forward-looking statements include:</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the development of future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projections of revenue, earnings, capital structure and other financial items;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development of future company-owned call centers;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statements regarding the capabilities of our business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statements of expected future economic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statements regarding competition in our market;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assumptions underlying statements regarding us or our business.</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ultimate correctness of these forward-looking statements depends upon a number of known and unknown risks and events. We discuss our known material risks under the heading “Risk Factors” above. Many factors could cause our actual results to differ materially from those expressed or implied in our forward-looking statements. Consequently, you should not place undue reliance on these forward-looking statements. The forward-looking statements speak only as of the date on which they are made, and, except as required by law, we undertake no obligation to update any forward-looking statement to reflect events or circumstances after the date on which the statement is made or to reflect the occurrence of unanticipated events. In addition, we cannot assess the impact of each factor on our business or the extent to which any factor, or combination of factors, may cause actual results to differ materially from those contained in any forward-looking statements.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estimate that we will receive net proceeds from the sale of common shares of approximately $[●] million, based upon an assumed initial public offering price of $[●] per share, the midpoint of the range set forth on the cover page of this prospectus, and after deducting estimated underwriting discounts and commissions and estimated offering expenses. If the underwriters’ option to purchase additional common shares is exercised in full, we estimate that we will receive net proceeds of approximately $[●] million, after deducting estimated underwriting discounts and commissions and estimated offering expenses.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$0.25 increase (decrease) in the assumed initial public offering price of $[●] per share, the midpoint of the range set forth on the cover page of this prospectus, would increase (decrease) the net proceeds to us from this offering by approximately $[●], assuming the number of shares offered, as set forth on the cover page of this prospectus, remains the same and after deducting estimated underwriting discounts and commissions. Similarly, each increase (decrease) of [●] common shares in the number of common shares would increase (decrease) the net proceeds to us from this offering by approximately $[●], assuming that the assumed initial public offering price remains the same, and after deducting estimated underwriting discounts and commissions.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use the net proceeds of this offering as follows after we complete the remittance process:</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 million or 40% for global expansion;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 million or 30% for working capital and general corporate purposes;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 million or 20% for R&amp;D;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 million or 10% for talent development.</w:t>
      </w:r>
    </w:p>
    <w:p>
      <w:pPr>
        <w:spacing w:after="0" w:line="225" w:lineRule="exact"/>
        <w:rPr>
          <w:sz w:val="20"/>
          <w:szCs w:val="20"/>
          <w:color w:val="auto"/>
        </w:rPr>
      </w:pPr>
    </w:p>
    <w:p>
      <w:pPr>
        <w:ind w:right="80" w:firstLine="697"/>
        <w:spacing w:after="0" w:line="269" w:lineRule="auto"/>
        <w:rPr>
          <w:sz w:val="20"/>
          <w:szCs w:val="20"/>
          <w:color w:val="auto"/>
        </w:rPr>
      </w:pPr>
      <w:r>
        <w:rPr>
          <w:rFonts w:ascii="Arial" w:cs="Arial" w:eastAsia="Arial" w:hAnsi="Arial"/>
          <w:sz w:val="17"/>
          <w:szCs w:val="17"/>
          <w:color w:val="auto"/>
        </w:rPr>
        <w:t>The precise amounts and percentage of proceeds we would devote to particular categories of activity will depend on prevailing market and business conditions as well as particular opportunities that may arise from time to time. This expected use of our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any unforeseen cash needs. Similarly, the priority of our prospective uses of proceeds will depend on business and market conditions are they develop. Accordingly, our management will have significant flexibility and broad discretion in applying the net proceeds of the offering. If an unforeseen event occurs or business conditions change, we may use the proceeds of this offering differently than as described in this prospectus. 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or make additional capital contributions to our PRC subsidiary to fund its capital expenditures or working capital. We cannot assure you that we will be able to obtain these government registrations or approvals on a timely basis, if at all. Pending remitting the offering proceeds to the PRC, we intend to invest our net proceeds in short-term, interest bearing, investment-grade obligations.</w:t>
      </w:r>
    </w:p>
    <w:p>
      <w:pPr>
        <w:spacing w:after="0" w:line="179"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Although we may use a portion of the proceeds for the acquisition of, or investment in, companies, technologies, products or assets that complement our business, we have no present understandings, commitments or agreements to enter into any acquisitions or make any investments. We cannot assure you that we will make any acquisitions or investments in the future.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The holders of our common shares are entitled to dividends out of funds legally available when and as declared by our board of directors. Our board of directors has never declared a dividend and does not anticipate declaring a dividend in the foreseeable future. Should we decide in the future to pay dividends, as a holding company, our ability to do so and meet other obligations depends upon the receipt of dividends or other payments from our operating subsidiary and other holdings and investments. In addition, our operating companies may, from time to time, be subject to restrictions on their ability to make distributions to us, including as a result of restrictive covenants in loan agreements, restrictions on the conversion of local currency into U.S. dollars or other hard currency and other regulatory restrictions. In the event of our liquidation, dissolution or winding up, holders of our common shares are entitled to receive, ratably, the net assets available to shareholders after payment of all creditors.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business is conducted in China and all of our revenues are denominated in RMB. Capital accounts of our financial statements are translated into U.S. dollars from RMB at their historical exchange rates when the capital transactions occurred. RMB is not freely convertible into foreign currency and all foreign exchange transactions must take place through authorized institutions. No representation is made that the RMB amounts could have been, or could be, converted into U.S. dollars at the rates used in translation. The following table sets forth information concerning exchange rates between the RMB and the U.S. dollar for the periods indicated. Assets and liabilities are translated at the exchange rates as of the balance sheet date.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Balance sheet items, except for equity accounts</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USD:RMB</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Items in the statements of operations and comprehensive loss, and statements cash flows are translated at the average exchange rate of the period.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ind w:left="760"/>
              <w:spacing w:after="0"/>
              <w:rPr>
                <w:sz w:val="20"/>
                <w:szCs w:val="20"/>
                <w:color w:val="auto"/>
              </w:rPr>
            </w:pPr>
            <w:r>
              <w:rPr>
                <w:rFonts w:ascii="Arial" w:cs="Arial" w:eastAsia="Arial" w:hAnsi="Arial"/>
                <w:sz w:val="18"/>
                <w:szCs w:val="18"/>
                <w:b w:val="1"/>
                <w:bCs w:val="1"/>
                <w:color w:val="auto"/>
              </w:rPr>
              <w:t>Years ended</w:t>
            </w: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June 30,</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7"/>
                <w:szCs w:val="17"/>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USD:RMB</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6.4405</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40" w:name="page41"/>
    <w:bookmarkEnd w:id="4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w:t>
      </w:r>
    </w:p>
    <w:p>
      <w:pPr>
        <w:spacing w:after="0" w:line="116"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following selected consolidated financial and operating data for the fiscal years ended June 30, 2017 and 2016, and the consolidated balance sheet data as of June 30, 2017 and 2016, have been derived from our consolidated financial statements included elsewhere in this prospectus.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summary consolidated statements of comprehensive income for the fiscal years ended June 30, 2017 and 2016.</w:t>
      </w:r>
    </w:p>
    <w:p>
      <w:pPr>
        <w:spacing w:after="0" w:line="17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Selected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U.S. dollars, except number of shares)</w:t>
      </w:r>
    </w:p>
    <w:p>
      <w:pPr>
        <w:spacing w:after="0" w:line="139"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31,361,976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29,024,178</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Less: Cost of revenues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(18,669,812)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(17,463,416)</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34"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Subsidies and other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Net income (loss) attributable to non-controlling interests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(loss) gain</w:t>
      </w:r>
    </w:p>
    <w:p>
      <w:pPr>
        <w:spacing w:after="0" w:line="9" w:lineRule="exact"/>
        <w:rPr>
          <w:sz w:val="20"/>
          <w:szCs w:val="20"/>
          <w:color w:val="auto"/>
        </w:rPr>
      </w:pPr>
    </w:p>
    <w:p>
      <w:pPr>
        <w:ind w:right="1900"/>
        <w:spacing w:after="0" w:line="358" w:lineRule="auto"/>
        <w:rPr>
          <w:sz w:val="20"/>
          <w:szCs w:val="20"/>
          <w:color w:val="auto"/>
        </w:rPr>
      </w:pPr>
      <w:r>
        <w:rPr>
          <w:rFonts w:ascii="Arial" w:cs="Arial" w:eastAsia="Arial" w:hAnsi="Arial"/>
          <w:sz w:val="16"/>
          <w:szCs w:val="16"/>
          <w:color w:val="auto"/>
        </w:rPr>
        <w:t>Less: foreign currency translation (loss) gain attributable to Non-controlling interest Other comprehensive loss attributable to CLPS Incorporation’s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 shareholders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1,206,493</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413,016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4,232,788</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5,579,058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5,647,790</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4,955,037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11,087,071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10,947,111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20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1,605,093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613,651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508,187</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1,446,408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2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(10,469)</w:t>
            </w:r>
          </w:p>
        </w:tc>
        <w:tc>
          <w:tcPr>
            <w:tcW w:w="20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(5,935)</w:t>
            </w:r>
          </w:p>
        </w:tc>
      </w:tr>
      <w:tr>
        <w:trPr>
          <w:trHeight w:val="27"/>
        </w:trPr>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50"/>
        </w:trPr>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2,102,811</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2,054,124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1"/>
        </w:trPr>
        <w:tc>
          <w:tcPr>
            <w:tcW w:w="2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(118,546)</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269,153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2,221,357</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1,784,971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4"/>
        </w:trPr>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173,912</w:t>
            </w:r>
          </w:p>
        </w:tc>
        <w:tc>
          <w:tcPr>
            <w:tcW w:w="20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(41,141)</w:t>
            </w:r>
          </w:p>
        </w:tc>
      </w:tr>
      <w:tr>
        <w:trPr>
          <w:trHeight w:val="27"/>
        </w:trPr>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gridSpan w:val="3"/>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2,047,445</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3"/>
          </w:tcPr>
          <w:p>
            <w:pPr>
              <w:jc w:val="right"/>
              <w:ind w:right="1"/>
              <w:spacing w:after="0"/>
              <w:rPr>
                <w:sz w:val="20"/>
                <w:szCs w:val="20"/>
                <w:color w:val="auto"/>
              </w:rPr>
            </w:pPr>
            <w:r>
              <w:rPr>
                <w:rFonts w:ascii="Arial" w:cs="Arial" w:eastAsia="Arial" w:hAnsi="Arial"/>
                <w:sz w:val="18"/>
                <w:szCs w:val="18"/>
                <w:b w:val="1"/>
                <w:bCs w:val="1"/>
                <w:color w:val="auto"/>
              </w:rPr>
              <w:t>1,826,112</w:t>
            </w:r>
          </w:p>
        </w:tc>
        <w:tc>
          <w:tcPr>
            <w:tcW w:w="20" w:type="dxa"/>
            <w:vAlign w:val="bottom"/>
          </w:tcPr>
          <w:p>
            <w:pPr>
              <w:spacing w:after="0"/>
              <w:rPr>
                <w:sz w:val="21"/>
                <w:szCs w:val="2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6"/>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(93,177)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(387,100)</w:t>
            </w:r>
          </w:p>
        </w:tc>
      </w:tr>
      <w:tr>
        <w:trPr>
          <w:trHeight w:val="251"/>
        </w:trPr>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1,732</w:t>
            </w:r>
          </w:p>
        </w:tc>
        <w:tc>
          <w:tcPr>
            <w:tcW w:w="20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(1,471)</w:t>
            </w:r>
          </w:p>
        </w:tc>
      </w:tr>
      <w:tr>
        <w:trPr>
          <w:trHeight w:val="250"/>
        </w:trPr>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(94,909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(385,629</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8"/>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1,952,536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1,440,483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226"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175,644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(42,612)</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0"/>
        </w:trPr>
        <w:tc>
          <w:tcPr>
            <w:tcW w:w="8680" w:type="dxa"/>
            <w:vAlign w:val="bottom"/>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2,128,180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1,397,871</w:t>
            </w:r>
          </w:p>
        </w:tc>
      </w:tr>
      <w:tr>
        <w:trPr>
          <w:trHeight w:val="148"/>
        </w:trPr>
        <w:tc>
          <w:tcPr>
            <w:tcW w:w="86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Basic and diluted earnings per common share *</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 and diluted</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11,290,000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1840" w:firstLine="1195"/>
        <w:spacing w:after="0" w:line="481" w:lineRule="auto"/>
        <w:tabs>
          <w:tab w:leader="none" w:pos="199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shares and per share data are presented on a retroactive basis to reflect the nominal share issuance. The following table presents our summary consolidated balance sheet data as of June 30, 2017 and 2016.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of June 30,</w:t>
            </w:r>
          </w:p>
        </w:tc>
      </w:tr>
      <w:tr>
        <w:trPr>
          <w:trHeight w:val="237"/>
        </w:trPr>
        <w:tc>
          <w:tcPr>
            <w:tcW w:w="86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4,814,568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5,277,196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12,325,296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9,910,841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13,521,923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10,471,529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8,210,625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6,264,005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CLPS Incorporation’s Shareholders’ Equity</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4,834,188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4,203,490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477,110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4,034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5,311,298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4,207,524</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13,521,923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10,471,529</w:t>
            </w:r>
          </w:p>
        </w:tc>
      </w:tr>
    </w:tbl>
    <w:p>
      <w:pPr>
        <w:spacing w:after="0" w:line="180" w:lineRule="exact"/>
        <w:rPr>
          <w:sz w:val="20"/>
          <w:szCs w:val="20"/>
          <w:color w:val="auto"/>
        </w:rPr>
      </w:pPr>
    </w:p>
    <w:p>
      <w:pPr>
        <w:sectPr>
          <w:pgSz w:w="11900" w:h="16838" w:orient="portrait"/>
          <w:cols w:equalWidth="0" w:num="1">
            <w:col w:w="11240"/>
          </w:cols>
          <w:pgMar w:left="320" w:top="226" w:right="339" w:bottom="1440" w:gutter="0" w:footer="0" w:header="0"/>
          <w:type w:val="continuous"/>
        </w:sectPr>
      </w:pPr>
    </w:p>
    <w:p>
      <w:pPr>
        <w:jc w:val="center"/>
        <w:ind w:right="-1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41" w:name="page42"/>
    <w:bookmarkEnd w:id="4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capitalization as of [_], 2017:</w:t>
      </w:r>
    </w:p>
    <w:p>
      <w:pPr>
        <w:spacing w:after="0" w:line="225"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25" w:lineRule="exact"/>
        <w:rPr>
          <w:rFonts w:ascii="Arial" w:cs="Arial" w:eastAsia="Arial" w:hAnsi="Arial"/>
          <w:sz w:val="18"/>
          <w:szCs w:val="18"/>
          <w:color w:val="auto"/>
        </w:rPr>
      </w:pPr>
    </w:p>
    <w:p>
      <w:pPr>
        <w:ind w:right="100" w:firstLine="656"/>
        <w:spacing w:after="0" w:line="263" w:lineRule="auto"/>
        <w:tabs>
          <w:tab w:leader="none" w:pos="10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 pro forma basis to give effect to the sale of [_] common shares by us in this offering at the assumed initial public offering price of $[_] per share, the midpoint of the range set forth on the cover page of this prospectus, after deducting the estimated underwriting commissions and estimated offering expenses and assuming that the underwriters do not exercise their over-allotment option.</w:t>
      </w:r>
    </w:p>
    <w:p>
      <w:pPr>
        <w:spacing w:after="0" w:line="184"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You should read this table in conjunction with our financial statements and related notes appearing elsewhere in this prospectus and “Use of Proceeds” and “Description of Share Capital.” You should read this table in conjunction with our financial statements and related notes appearing elsewhere in this prospectus and “Use of Proceeds” and “Description of Share Capital.”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5620" w:type="dxa"/>
            <w:vAlign w:val="bottom"/>
            <w:gridSpan w:val="3"/>
          </w:tcPr>
          <w:p>
            <w:pPr>
              <w:jc w:val="center"/>
              <w:ind w:right="2740"/>
              <w:spacing w:after="0"/>
              <w:rPr>
                <w:sz w:val="20"/>
                <w:szCs w:val="20"/>
                <w:color w:val="auto"/>
              </w:rPr>
            </w:pPr>
            <w:r>
              <w:rPr>
                <w:rFonts w:ascii="Arial" w:cs="Arial" w:eastAsia="Arial" w:hAnsi="Arial"/>
                <w:sz w:val="18"/>
                <w:szCs w:val="18"/>
                <w:b w:val="1"/>
                <w:bCs w:val="1"/>
                <w:color w:val="auto"/>
                <w:w w:val="88"/>
              </w:rPr>
              <w:t>As of [_]</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1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 Forma</w:t>
            </w:r>
          </w:p>
        </w:tc>
      </w:tr>
      <w:tr>
        <w:trPr>
          <w:trHeight w:val="241"/>
        </w:trPr>
        <w:tc>
          <w:tcPr>
            <w:tcW w:w="41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99"/>
              </w:rPr>
              <w:t>Adjusted for IPO</w:t>
            </w: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b w:val="1"/>
                <w:bCs w:val="1"/>
                <w:color w:val="auto"/>
              </w:rPr>
              <w:t>Common shares</w:t>
            </w:r>
          </w:p>
        </w:tc>
        <w:tc>
          <w:tcPr>
            <w:tcW w:w="43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Shares</w:t>
            </w:r>
          </w:p>
        </w:tc>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Par Value Amount</w:t>
            </w:r>
          </w:p>
        </w:tc>
        <w:tc>
          <w:tcPr>
            <w:tcW w:w="54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42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54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Retained Earnings</w:t>
            </w:r>
          </w:p>
        </w:tc>
        <w:tc>
          <w:tcPr>
            <w:tcW w:w="542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54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42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414"/>
        </w:trPr>
        <w:tc>
          <w:tcPr>
            <w:tcW w:w="4180" w:type="dxa"/>
            <w:vAlign w:val="bottom"/>
          </w:tcPr>
          <w:p>
            <w:pPr>
              <w:spacing w:after="0"/>
              <w:rPr>
                <w:sz w:val="24"/>
                <w:szCs w:val="24"/>
                <w:color w:val="auto"/>
              </w:rPr>
            </w:pPr>
          </w:p>
        </w:tc>
        <w:tc>
          <w:tcPr>
            <w:tcW w:w="5620" w:type="dxa"/>
            <w:vAlign w:val="bottom"/>
            <w:gridSpan w:val="3"/>
          </w:tcPr>
          <w:p>
            <w:pPr>
              <w:jc w:val="center"/>
              <w:ind w:right="2740"/>
              <w:spacing w:after="0"/>
              <w:rPr>
                <w:sz w:val="20"/>
                <w:szCs w:val="20"/>
                <w:color w:val="auto"/>
              </w:rPr>
            </w:pPr>
            <w:r>
              <w:rPr>
                <w:rFonts w:ascii="Arial" w:cs="Arial" w:eastAsia="Arial" w:hAnsi="Arial"/>
                <w:sz w:val="18"/>
                <w:szCs w:val="18"/>
                <w:b w:val="1"/>
                <w:bCs w:val="1"/>
                <w:color w:val="auto"/>
              </w:rPr>
              <w:t>DILUTION</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If you invest in our shares, your interest will be diluted to the extent of the difference between the initial public offering price per common share and the pro forma net tangible book value per common share after the offering. Our pro forma net tangible book value as of [_] was [_], or $[_] per share. Our pro forma net tangible book value per share set forth below represents our total tangible assets less total liabilities, divided by the number of shares of our share stock outstanding.</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Dilution results from the fact that the per common share offering price is substantially in excess of the book value per common share attributable to the existing shareholders for our presently outstanding common shares. After giving effect to our issuance and sale of [_] shares in this offering at an assumed initial public offering price of $[_] per share, after deducting the estimated underwriting discounts and offering expenses payable by us, the pro forma as adjusted net tangible book value as of [_] would have been [_], or $[_] per share. This represents an immediate increase in net tangible book value to existing shareholders of $[_] per share. The public offering price per share will significantly exceed the net tangible book value per share. Accordingly, new investors who purchase shares in this offering will suffer an immediate dilution of their investment of $[_] per share. The following table illustrates this per share dilution to the new investors purchasing shares in this offering: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10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Offering</w:t>
            </w:r>
            <w:r>
              <w:rPr>
                <w:rFonts w:ascii="Arial" w:cs="Arial" w:eastAsia="Arial" w:hAnsi="Arial"/>
                <w:sz w:val="29"/>
                <w:szCs w:val="29"/>
                <w:b w:val="1"/>
                <w:bCs w:val="1"/>
                <w:color w:val="auto"/>
                <w:vertAlign w:val="superscript"/>
              </w:rPr>
              <w:t>(1)</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offering price per common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Net tangible book value per common share as of</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Increase per common share attributable to this offering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Pro forma net tangible book value per common share after the offering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Dilution per common share to new investors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 $1.00 increase (decrease) in the assumed public offering price of $[●] per share would increase (decrease) the pro forma net tangible book value by $[●] million, the pro forma net tangible book value per share after this offering by $[●] per share and the dilution in pro forma net tangible book value per share to investors in this offering by $[●] per share, assuming that the number of shares offered by us, as set forth on the cover page of this prospectus, remains the same and after deducting the estimated underwriting discount and offering expenses payable by 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POST-OFFERING OWNERSHIP</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following charts illustrate our pro forma proportionate ownership, upon completion of this offering by present shareholders and investors in this offering, compared to the relative amounts paid by each. The charts reflect payment by present shareholders as of the date the consideration was received and by investors in this offering at the assumed offering price without deduction of commissions or expenses. The charts further assume no changes in net tangible book value other than those resulting from the offering.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440" w:type="dxa"/>
            <w:vAlign w:val="bottom"/>
            <w:gridSpan w:val="3"/>
          </w:tcPr>
          <w:p>
            <w:pPr>
              <w:ind w:left="540"/>
              <w:spacing w:after="0"/>
              <w:rPr>
                <w:sz w:val="20"/>
                <w:szCs w:val="20"/>
                <w:color w:val="auto"/>
              </w:rPr>
            </w:pPr>
            <w:r>
              <w:rPr>
                <w:rFonts w:ascii="Arial" w:cs="Arial" w:eastAsia="Arial" w:hAnsi="Arial"/>
                <w:sz w:val="18"/>
                <w:szCs w:val="18"/>
                <w:b w:val="1"/>
                <w:bCs w:val="1"/>
                <w:color w:val="auto"/>
              </w:rPr>
              <w:t>Shares Purchased</w:t>
            </w:r>
          </w:p>
        </w:tc>
        <w:tc>
          <w:tcPr>
            <w:tcW w:w="260" w:type="dxa"/>
            <w:vAlign w:val="bottom"/>
          </w:tcPr>
          <w:p>
            <w:pPr>
              <w:spacing w:after="0"/>
              <w:rPr>
                <w:sz w:val="20"/>
                <w:szCs w:val="20"/>
                <w:color w:val="auto"/>
              </w:rPr>
            </w:pPr>
          </w:p>
        </w:tc>
        <w:tc>
          <w:tcPr>
            <w:tcW w:w="2440" w:type="dxa"/>
            <w:vAlign w:val="bottom"/>
            <w:gridSpan w:val="3"/>
          </w:tcPr>
          <w:p>
            <w:pPr>
              <w:ind w:left="460"/>
              <w:spacing w:after="0"/>
              <w:rPr>
                <w:sz w:val="20"/>
                <w:szCs w:val="20"/>
                <w:color w:val="auto"/>
              </w:rPr>
            </w:pPr>
            <w:r>
              <w:rPr>
                <w:rFonts w:ascii="Arial" w:cs="Arial" w:eastAsia="Arial" w:hAnsi="Arial"/>
                <w:sz w:val="18"/>
                <w:szCs w:val="18"/>
                <w:b w:val="1"/>
                <w:bCs w:val="1"/>
                <w:color w:val="auto"/>
              </w:rPr>
              <w:t>Total Consideration</w:t>
            </w:r>
          </w:p>
        </w:tc>
        <w:tc>
          <w:tcPr>
            <w:tcW w:w="26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Average Price</w:t>
            </w:r>
          </w:p>
        </w:tc>
      </w:tr>
      <w:tr>
        <w:trPr>
          <w:trHeight w:val="237"/>
        </w:trPr>
        <w:tc>
          <w:tcPr>
            <w:tcW w:w="4620" w:type="dxa"/>
            <w:vAlign w:val="bottom"/>
          </w:tcPr>
          <w:p>
            <w:pPr>
              <w:spacing w:after="0"/>
              <w:rPr>
                <w:sz w:val="20"/>
                <w:szCs w:val="20"/>
                <w:color w:val="auto"/>
              </w:rPr>
            </w:pPr>
          </w:p>
        </w:tc>
        <w:tc>
          <w:tcPr>
            <w:tcW w:w="13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 (#)</w:t>
            </w:r>
          </w:p>
        </w:tc>
        <w:tc>
          <w:tcPr>
            <w:tcW w:w="11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Percent (%)</w:t>
            </w:r>
          </w:p>
        </w:tc>
        <w:tc>
          <w:tcPr>
            <w:tcW w:w="260" w:type="dxa"/>
            <w:vAlign w:val="bottom"/>
          </w:tcPr>
          <w:p>
            <w:pPr>
              <w:spacing w:after="0"/>
              <w:rPr>
                <w:sz w:val="20"/>
                <w:szCs w:val="20"/>
                <w:color w:val="auto"/>
              </w:rPr>
            </w:pPr>
          </w:p>
        </w:tc>
        <w:tc>
          <w:tcPr>
            <w:tcW w:w="13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 ($)</w:t>
            </w:r>
          </w:p>
        </w:tc>
        <w:tc>
          <w:tcPr>
            <w:tcW w:w="11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Percent (%)</w:t>
            </w:r>
          </w:p>
        </w:tc>
        <w:tc>
          <w:tcPr>
            <w:tcW w:w="260" w:type="dxa"/>
            <w:vAlign w:val="bottom"/>
          </w:tcPr>
          <w:p>
            <w:pPr>
              <w:spacing w:after="0"/>
              <w:rPr>
                <w:sz w:val="20"/>
                <w:szCs w:val="20"/>
                <w:color w:val="auto"/>
              </w:rPr>
            </w:pPr>
          </w:p>
        </w:tc>
        <w:tc>
          <w:tcPr>
            <w:tcW w:w="112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93"/>
              </w:rPr>
              <w:t>Per Share ($)</w:t>
            </w:r>
          </w:p>
        </w:tc>
        <w:tc>
          <w:tcPr>
            <w:tcW w:w="100" w:type="dxa"/>
            <w:vAlign w:val="bottom"/>
          </w:tcPr>
          <w:p>
            <w:pPr>
              <w:spacing w:after="0"/>
              <w:rPr>
                <w:sz w:val="20"/>
                <w:szCs w:val="20"/>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112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what happens when over-allotment option exercised: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440" w:type="dxa"/>
            <w:vAlign w:val="bottom"/>
            <w:gridSpan w:val="3"/>
          </w:tcPr>
          <w:p>
            <w:pPr>
              <w:ind w:left="540"/>
              <w:spacing w:after="0"/>
              <w:rPr>
                <w:sz w:val="20"/>
                <w:szCs w:val="20"/>
                <w:color w:val="auto"/>
              </w:rPr>
            </w:pPr>
            <w:r>
              <w:rPr>
                <w:rFonts w:ascii="Arial" w:cs="Arial" w:eastAsia="Arial" w:hAnsi="Arial"/>
                <w:sz w:val="18"/>
                <w:szCs w:val="18"/>
                <w:b w:val="1"/>
                <w:bCs w:val="1"/>
                <w:color w:val="auto"/>
              </w:rPr>
              <w:t>Shares Purchased</w:t>
            </w:r>
          </w:p>
        </w:tc>
        <w:tc>
          <w:tcPr>
            <w:tcW w:w="260" w:type="dxa"/>
            <w:vAlign w:val="bottom"/>
          </w:tcPr>
          <w:p>
            <w:pPr>
              <w:spacing w:after="0"/>
              <w:rPr>
                <w:sz w:val="20"/>
                <w:szCs w:val="20"/>
                <w:color w:val="auto"/>
              </w:rPr>
            </w:pPr>
          </w:p>
        </w:tc>
        <w:tc>
          <w:tcPr>
            <w:tcW w:w="2440" w:type="dxa"/>
            <w:vAlign w:val="bottom"/>
            <w:gridSpan w:val="3"/>
          </w:tcPr>
          <w:p>
            <w:pPr>
              <w:ind w:left="460"/>
              <w:spacing w:after="0"/>
              <w:rPr>
                <w:sz w:val="20"/>
                <w:szCs w:val="20"/>
                <w:color w:val="auto"/>
              </w:rPr>
            </w:pPr>
            <w:r>
              <w:rPr>
                <w:rFonts w:ascii="Arial" w:cs="Arial" w:eastAsia="Arial" w:hAnsi="Arial"/>
                <w:sz w:val="18"/>
                <w:szCs w:val="18"/>
                <w:b w:val="1"/>
                <w:bCs w:val="1"/>
                <w:color w:val="auto"/>
              </w:rPr>
              <w:t>Total Consideration</w:t>
            </w:r>
          </w:p>
        </w:tc>
        <w:tc>
          <w:tcPr>
            <w:tcW w:w="26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Average Price</w:t>
            </w:r>
          </w:p>
        </w:tc>
      </w:tr>
      <w:tr>
        <w:trPr>
          <w:trHeight w:val="236"/>
        </w:trPr>
        <w:tc>
          <w:tcPr>
            <w:tcW w:w="4620" w:type="dxa"/>
            <w:vAlign w:val="bottom"/>
          </w:tcPr>
          <w:p>
            <w:pPr>
              <w:spacing w:after="0"/>
              <w:rPr>
                <w:sz w:val="20"/>
                <w:szCs w:val="20"/>
                <w:color w:val="auto"/>
              </w:rPr>
            </w:pPr>
          </w:p>
        </w:tc>
        <w:tc>
          <w:tcPr>
            <w:tcW w:w="13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 (#)</w:t>
            </w:r>
          </w:p>
        </w:tc>
        <w:tc>
          <w:tcPr>
            <w:tcW w:w="11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Percent (%)</w:t>
            </w:r>
          </w:p>
        </w:tc>
        <w:tc>
          <w:tcPr>
            <w:tcW w:w="260" w:type="dxa"/>
            <w:vAlign w:val="bottom"/>
          </w:tcPr>
          <w:p>
            <w:pPr>
              <w:spacing w:after="0"/>
              <w:rPr>
                <w:sz w:val="20"/>
                <w:szCs w:val="20"/>
                <w:color w:val="auto"/>
              </w:rPr>
            </w:pPr>
          </w:p>
        </w:tc>
        <w:tc>
          <w:tcPr>
            <w:tcW w:w="13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 ($)</w:t>
            </w:r>
          </w:p>
        </w:tc>
        <w:tc>
          <w:tcPr>
            <w:tcW w:w="11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Percent (%)</w:t>
            </w:r>
          </w:p>
        </w:tc>
        <w:tc>
          <w:tcPr>
            <w:tcW w:w="260" w:type="dxa"/>
            <w:vAlign w:val="bottom"/>
          </w:tcPr>
          <w:p>
            <w:pPr>
              <w:spacing w:after="0"/>
              <w:rPr>
                <w:sz w:val="20"/>
                <w:szCs w:val="20"/>
                <w:color w:val="auto"/>
              </w:rPr>
            </w:pPr>
          </w:p>
        </w:tc>
        <w:tc>
          <w:tcPr>
            <w:tcW w:w="112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93"/>
              </w:rPr>
              <w:t>Per Share ($)</w:t>
            </w:r>
          </w:p>
        </w:tc>
        <w:tc>
          <w:tcPr>
            <w:tcW w:w="100" w:type="dxa"/>
            <w:vAlign w:val="bottom"/>
          </w:tcPr>
          <w:p>
            <w:pPr>
              <w:spacing w:after="0"/>
              <w:rPr>
                <w:sz w:val="20"/>
                <w:szCs w:val="20"/>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112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If the underwriters’ over-allotment option of [_] shares is exercised in full, the number of shares held by existing stockholders will be reduced to [_]% of the total number of shares to be outstanding after this offering; and the number of shares held by the new investors will be increased to [_] shares, or [_]%, of the total number of shares outstanding after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audited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Company</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CLPS Incorporation (“CLPS” or the “Company”), is a company that was established under the laws of the Cayman Islands on May 11, 2017 as a holding company. The Company, through its subsidiaries, designs, builds, and delivers IT services, solutions and other services.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founder, Chairman of the Board and President, together with Mr. Raymond Ming Hui Lin, the Company’s Chief Executive Officer and Director are the controlling shareholders of the Company (the “Controlling Shareholders”).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 reorganization of the Company’s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w:t>
      </w:r>
    </w:p>
    <w:p>
      <w:pPr>
        <w:spacing w:after="0" w:line="17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Prior to the reorganization, CLPS Shanghai’s equity interests were 100% controlled by the same group of Controlling Shareholders of CLPS. CLIVST and FDT-CL are subsidiaries of Qinheng. JQ Technology Co., Limited (“JQ”) and JIALIN Technology Limited (“JL”) are subsidiaries of Qiner since October 17, 2017. CLPS Dalian Co., Ltd (“CLPS Dalian”), CLPS Ruicheng Co., Ltd (“CLPS RC”), CLPS Beijing Hengtong Co., Ltd (“CLPS Beijing”), CLPS TECHNOLOGY (SINGAPORE) PTE.LTD (“CLPS SG”), CLPS TECHNOLOGY (AUSTRALIA) PTY LTD (“CLPS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6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On July 25, 2017, the Company incorporated CLIVST, as a holding company, in BVI. On September 27, 2017 and October 24, 2017, the Company incorporated CLPS Guangzhou in Guangzhou, PRC and FDT-CL in Hong Kong.</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September 27, 2017, the Company and a non-controlling interest shareholder of CLPS Beijing incorporated Tianjin Huanyu Qinshang network technology Co., Ltd. (“Huanyu”). The Company subscribed 30% of equity interest in Huanyu for $0.4 million. The Company planned to complete the capital injection of $0.4 million by the end of 2017. On October 17, 2017, the Company invested approximately $0.07 million in JQ for its 55% equity interest. JQ and its 100% owned subsidiary – JL operates software consulting business in Taiwan.</w:t>
      </w:r>
    </w:p>
    <w:p>
      <w:pPr>
        <w:spacing w:after="0" w:line="17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November 2, 2017, the Controlling Shareholders transferred their 100% ownership interests in CLPS Shanghai to CLPS QC and Qiner, which are 100% owned by Qinheng and CLPS. On October 31, 2017, the Controlling Shareholders transferred 100% of their equity interests in Qiner to CLPS. After the reorganization, CLPS owns 100% equity interests of the entities mentioned above. On December 7, 2017, the Board of Directors approved an amendment of the Article of Association of CLPS and a nominal share issuance to the existing shareholders. As a result, the existing shareholders own the same percentage of ownership in CLPS as their ownership interests in CLPS Shanghai prior to the reorganization. Since the Company and its subsidiaries are effectively controlled by the same group of the shareholders before and after the reorganization, they are considered under common control. The above-mentioned transactions were accounted for as a recapitalization. The consolidation of the Company and its subsidiaries has been accounted for at historical cost and prepared on the basis as if the aforementioned transactions had become effective as of the beginning of the first period presented in the consolidated financial statements.</w:t>
      </w:r>
    </w:p>
    <w:p>
      <w:pPr>
        <w:spacing w:after="0" w:line="18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The Company is dedicated to providing a full range of services and solutions across technology needs in finance. In recent years, we have both one of the largest IBM mainframe teams, and the largest VisionPLUS team in China, providing both development and implementation of core banking, credit card, online and e-commerce systems, as well as expertise across technology stacks including J2EE, .Net, C, C++ and mobile. We are ISO9001:2008 and CMMI 5 certified, and have been granted certificates of recognition by the Shanghai government, including </w:t>
      </w:r>
      <w:r>
        <w:rPr>
          <w:rFonts w:ascii="Arial" w:cs="Arial" w:eastAsia="Arial" w:hAnsi="Arial"/>
          <w:sz w:val="16"/>
          <w:szCs w:val="16"/>
          <w:i w:val="1"/>
          <w:iCs w:val="1"/>
          <w:color w:val="auto"/>
        </w:rPr>
        <w:t>Enterprise Software Certification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High-tech Enterprise</w:t>
      </w:r>
      <w:r>
        <w:rPr>
          <w:rFonts w:ascii="Arial" w:cs="Arial" w:eastAsia="Arial" w:hAnsi="Arial"/>
          <w:sz w:val="16"/>
          <w:szCs w:val="16"/>
          <w:color w:val="auto"/>
        </w:rPr>
        <w:t>,</w:t>
      </w:r>
      <w:r>
        <w:rPr>
          <w:rFonts w:ascii="Arial" w:cs="Arial" w:eastAsia="Arial" w:hAnsi="Arial"/>
          <w:sz w:val="16"/>
          <w:szCs w:val="16"/>
          <w:i w:val="1"/>
          <w:iCs w:val="1"/>
          <w:color w:val="auto"/>
        </w:rPr>
        <w:t xml:space="preserve"> Little Giant Company for Science and Technology </w:t>
      </w:r>
      <w:r>
        <w:rPr>
          <w:rFonts w:ascii="Arial" w:cs="Arial" w:eastAsia="Arial" w:hAnsi="Arial"/>
          <w:sz w:val="16"/>
          <w:szCs w:val="16"/>
          <w:color w:val="auto"/>
        </w:rPr>
        <w:t>and</w:t>
      </w:r>
      <w:r>
        <w:rPr>
          <w:rFonts w:ascii="Arial" w:cs="Arial" w:eastAsia="Arial" w:hAnsi="Arial"/>
          <w:sz w:val="16"/>
          <w:szCs w:val="16"/>
          <w:i w:val="1"/>
          <w:iCs w:val="1"/>
          <w:color w:val="auto"/>
        </w:rPr>
        <w:t xml:space="preserve"> Professional Talent Development Training Camp</w:t>
      </w:r>
      <w:r>
        <w:rPr>
          <w:rFonts w:ascii="Arial" w:cs="Arial" w:eastAsia="Arial" w:hAnsi="Arial"/>
          <w:sz w:val="16"/>
          <w:szCs w:val="16"/>
          <w:color w:val="auto"/>
        </w:rPr>
        <w:t>. In addition, the Company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recognized as one of the recipients of </w:t>
      </w:r>
      <w:r>
        <w:rPr>
          <w:rFonts w:ascii="Arial" w:cs="Arial" w:eastAsia="Arial" w:hAnsi="Arial"/>
          <w:sz w:val="16"/>
          <w:szCs w:val="16"/>
          <w:i w:val="1"/>
          <w:iCs w:val="1"/>
          <w:color w:val="auto"/>
        </w:rPr>
        <w:t>2017 IDC China Top 25 FinTech Pioneers</w:t>
      </w:r>
      <w:r>
        <w:rPr>
          <w:rFonts w:ascii="Arial" w:cs="Arial" w:eastAsia="Arial" w:hAnsi="Arial"/>
          <w:sz w:val="16"/>
          <w:szCs w:val="16"/>
          <w:color w:val="auto"/>
        </w:rPr>
        <w:t xml:space="preserve"> during the award ceremony spearheaded by IDC on August 25, 2017.</w:t>
      </w:r>
    </w:p>
    <w:p>
      <w:pPr>
        <w:spacing w:after="0" w:line="1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operations are primarily based in China, where we derive a substantial portion of our revenues. For the years ended June 30, 2017 and 2016, our revenues were $31.4 million and $29.0 million, respectively. In fiscal 2017 and 2016, we had a net income of $2.2 million and $1.8 million, respectively. Our total assets as of June 30, 2017 were $13.5 million of which cash and cash equivalent amounted to $4.8 million. Our total liabilities as of June 30, 2017 were $8.2 million.</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most significant factors that affect our business and results of operations include the following:</w:t>
      </w:r>
    </w:p>
    <w:p>
      <w:pPr>
        <w:spacing w:after="0" w:line="225" w:lineRule="exact"/>
        <w:rPr>
          <w:sz w:val="20"/>
          <w:szCs w:val="20"/>
          <w:color w:val="auto"/>
        </w:rPr>
      </w:pPr>
    </w:p>
    <w:p>
      <w:pPr>
        <w:jc w:val="both"/>
        <w:ind w:firstLine="656"/>
        <w:spacing w:after="0" w:line="259" w:lineRule="auto"/>
        <w:tabs>
          <w:tab w:leader="none" w:pos="1162"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new clients and repeat business from existing clients. Revenues from individual clients typically grow over time as we seek to increase the number and scope of services provided to each client and as clients increase the complexity and scope of the work outsourced to us also increases. Therefore, our ability to obtain new clients, as well as our ability to maintain and increase business from our existing clients, will have a significant effect on our results of operations and financial condition.</w:t>
      </w:r>
    </w:p>
    <w:p>
      <w:pPr>
        <w:spacing w:after="0" w:line="186" w:lineRule="exact"/>
        <w:rPr>
          <w:rFonts w:ascii="Arial" w:cs="Arial" w:eastAsia="Arial" w:hAnsi="Arial"/>
          <w:sz w:val="18"/>
          <w:szCs w:val="18"/>
          <w:color w:val="auto"/>
        </w:rPr>
      </w:pPr>
    </w:p>
    <w:p>
      <w:pPr>
        <w:ind w:right="20" w:firstLine="656"/>
        <w:spacing w:after="0" w:line="259" w:lineRule="auto"/>
        <w:tabs>
          <w:tab w:leader="none" w:pos="1162"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expand our portfolio of service offerings. We intend to increase our revenues by continuing to expand our service offerings and providing quality service to our existing customers and to attract new customers. Through research and development, targeted hiring and strategic acquisitions, we have proactively invested in broadening our existing service lines, including those for serving our specific industry verticals. As part of our strategy, we will continue to expand our service offerings to provide customized IT solutions to our clients.</w:t>
      </w:r>
    </w:p>
    <w:p>
      <w:pPr>
        <w:spacing w:after="0" w:line="186" w:lineRule="exact"/>
        <w:rPr>
          <w:rFonts w:ascii="Arial" w:cs="Arial" w:eastAsia="Arial" w:hAnsi="Arial"/>
          <w:sz w:val="18"/>
          <w:szCs w:val="18"/>
          <w:color w:val="auto"/>
        </w:rPr>
      </w:pPr>
    </w:p>
    <w:p>
      <w:pPr>
        <w:jc w:val="both"/>
        <w:ind w:right="460" w:firstLine="656"/>
        <w:spacing w:after="0" w:line="286" w:lineRule="auto"/>
        <w:tabs>
          <w:tab w:leader="none" w:pos="1162"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attract, retain and motivate qualified employees. Our ability to attract, train and retain a large and cost-effective pool of qualified professionals, including our ability to leverage and expand our proprietary database of qualified IT professionals, to develop additional joint training programs with universities, and our employees’ job satisfaction, will affect our financial performance.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objective is to create value for both our customers and shareholders by enhancing our position as a leading IT services provider in the banking industry in China. We believe our strategic initiatives will continue to generate our sales growth, allow us to focus on managing capital and leveraging costs and drive margins to produce profitability and return on investment for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November 9, 2016, CLPS Shanghai acquired 60% of Judge (Shanghai) Co., Ltd (“Judge China”) and its 70% owned subsidiary Judge (Shanghai) Human Resource Co., Ltd (“Judge HR”) from Judge Company Asia Limited with the final purchase price of $480,061 (RMB 3.25 million). The Company funded the acquisition with cash and a loan payable of $128,928 (RMB 0.9 million), of which $103,255 was subsequently offset with the company’s receivables from Judge Asia. The Company believes that the acquisition will allow it to better manage opportunities and capitalize on the growth potential of the human resource related industries. 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Company recognized goodwill of $195,080 from this acquisition. The goodwill is comprised of the assembled work force and the expected but unidentifiable business growth that the Company expects to realize due to the synergies related to the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June 30, 2017 and 2016</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the results of our operations for the years ended June 30, 2017 and 2016, respectively, and provides information regarding the dollar and percentage increase or (decrease) during such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w w:val="92"/>
              </w:rPr>
              <w:t>Year ended June 30, 2017</w:t>
            </w:r>
          </w:p>
        </w:tc>
        <w:tc>
          <w:tcPr>
            <w:tcW w:w="160" w:type="dxa"/>
            <w:vAlign w:val="bottom"/>
          </w:tcPr>
          <w:p>
            <w:pPr>
              <w:spacing w:after="0"/>
              <w:rPr>
                <w:sz w:val="20"/>
                <w:szCs w:val="20"/>
                <w:color w:val="auto"/>
              </w:rPr>
            </w:pPr>
          </w:p>
        </w:tc>
        <w:tc>
          <w:tcPr>
            <w:tcW w:w="254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2"/>
              </w:rPr>
              <w:t>Year ended June 30, 2016</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As %</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As %</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1"/>
              </w:rPr>
              <w:t>Amount</w:t>
            </w:r>
          </w:p>
        </w:tc>
        <w:tc>
          <w:tcPr>
            <w:tcW w:w="13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of</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Increase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Increase</w:t>
            </w:r>
          </w:p>
        </w:tc>
        <w:tc>
          <w:tcPr>
            <w:tcW w:w="0" w:type="dxa"/>
            <w:vAlign w:val="bottom"/>
          </w:tcPr>
          <w:p>
            <w:pPr>
              <w:spacing w:after="0"/>
              <w:rPr>
                <w:sz w:val="1"/>
                <w:szCs w:val="1"/>
                <w:color w:val="auto"/>
              </w:rPr>
            </w:pPr>
          </w:p>
        </w:tc>
      </w:tr>
      <w:tr>
        <w:trPr>
          <w:trHeight w:val="241"/>
        </w:trPr>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Sales</w:t>
            </w:r>
          </w:p>
        </w:tc>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Sales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(Decrease)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31,361,976</w:t>
            </w: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29,024,178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2,337,798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18,669,812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17,463,416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1,206,396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6"/>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11,560,762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1,131,402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1,206,493</w:t>
            </w: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413,016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793,477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Research and development expense</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4,232,788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5,579,058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(1,346,270)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9"/>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General and administrative expenses</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5,647,790</w:t>
            </w: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4,955,037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692,753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11,087,071</w:t>
            </w:r>
          </w:p>
        </w:tc>
        <w:tc>
          <w:tcPr>
            <w:tcW w:w="200" w:type="dxa"/>
            <w:vAlign w:val="bottom"/>
            <w:tcBorders>
              <w:top w:val="single" w:sz="8" w:color="CCEEFF"/>
              <w:bottom w:val="single" w:sz="8" w:color="CCEEFF"/>
            </w:tcBorders>
          </w:tcPr>
          <w:p>
            <w:pPr>
              <w:spacing w:after="0"/>
              <w:rPr>
                <w:sz w:val="18"/>
                <w:szCs w:val="18"/>
                <w:color w:val="auto"/>
              </w:rPr>
            </w:pPr>
          </w:p>
        </w:tc>
        <w:tc>
          <w:tcPr>
            <w:tcW w:w="1420" w:type="dxa"/>
            <w:vAlign w:val="bottom"/>
            <w:tcBorders>
              <w:top w:val="single" w:sz="8" w:color="CCEEFF"/>
              <w:bottom w:val="single" w:sz="8" w:color="CCEEFF"/>
            </w:tcBorders>
            <w:gridSpan w:val="2"/>
          </w:tcPr>
          <w:p>
            <w:pPr>
              <w:jc w:val="right"/>
              <w:ind w:right="160"/>
              <w:spacing w:after="0" w:line="203" w:lineRule="exact"/>
              <w:rPr>
                <w:sz w:val="20"/>
                <w:szCs w:val="20"/>
                <w:color w:val="auto"/>
              </w:rPr>
            </w:pPr>
            <w:r>
              <w:rPr>
                <w:rFonts w:ascii="Arial" w:cs="Arial" w:eastAsia="Arial" w:hAnsi="Arial"/>
                <w:sz w:val="18"/>
                <w:szCs w:val="18"/>
                <w:color w:val="auto"/>
              </w:rPr>
              <w:t>35.4%</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10,947,111</w:t>
            </w:r>
          </w:p>
        </w:tc>
        <w:tc>
          <w:tcPr>
            <w:tcW w:w="220" w:type="dxa"/>
            <w:vAlign w:val="bottom"/>
            <w:tcBorders>
              <w:top w:val="single" w:sz="8" w:color="CCEEFF"/>
              <w:bottom w:val="single" w:sz="8" w:color="CCEEFF"/>
            </w:tcBorders>
          </w:tcPr>
          <w:p>
            <w:pPr>
              <w:spacing w:after="0"/>
              <w:rPr>
                <w:sz w:val="18"/>
                <w:szCs w:val="18"/>
                <w:color w:val="auto"/>
              </w:rPr>
            </w:pPr>
          </w:p>
        </w:tc>
        <w:tc>
          <w:tcPr>
            <w:tcW w:w="1360" w:type="dxa"/>
            <w:vAlign w:val="bottom"/>
            <w:tcBorders>
              <w:top w:val="single" w:sz="8" w:color="CCEEFF"/>
              <w:bottom w:val="single" w:sz="8" w:color="CCEEFF"/>
            </w:tcBorders>
            <w:gridSpan w:val="2"/>
          </w:tcPr>
          <w:p>
            <w:pPr>
              <w:jc w:val="right"/>
              <w:ind w:right="120"/>
              <w:spacing w:after="0" w:line="203" w:lineRule="exact"/>
              <w:rPr>
                <w:sz w:val="20"/>
                <w:szCs w:val="20"/>
                <w:color w:val="auto"/>
              </w:rPr>
            </w:pPr>
            <w:r>
              <w:rPr>
                <w:rFonts w:ascii="Arial" w:cs="Arial" w:eastAsia="Arial" w:hAnsi="Arial"/>
                <w:sz w:val="18"/>
                <w:szCs w:val="18"/>
                <w:color w:val="auto"/>
              </w:rPr>
              <w:t>37.7%</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139,960</w:t>
            </w:r>
          </w:p>
        </w:tc>
        <w:tc>
          <w:tcPr>
            <w:tcW w:w="220" w:type="dxa"/>
            <w:vAlign w:val="bottom"/>
            <w:tcBorders>
              <w:top w:val="single" w:sz="8" w:color="CCEEFF"/>
              <w:bottom w:val="single" w:sz="8" w:color="CCEEFF"/>
            </w:tcBorders>
          </w:tcPr>
          <w:p>
            <w:pPr>
              <w:spacing w:after="0"/>
              <w:rPr>
                <w:sz w:val="18"/>
                <w:szCs w:val="18"/>
                <w:color w:val="auto"/>
              </w:rPr>
            </w:pPr>
          </w:p>
        </w:tc>
        <w:tc>
          <w:tcPr>
            <w:tcW w:w="1320" w:type="dxa"/>
            <w:vAlign w:val="bottom"/>
            <w:tcBorders>
              <w:top w:val="single" w:sz="8" w:color="CCEEFF"/>
              <w:bottom w:val="single" w:sz="8" w:color="CCEEFF"/>
            </w:tcBorders>
            <w:gridSpan w:val="2"/>
          </w:tcPr>
          <w:p>
            <w:pPr>
              <w:jc w:val="right"/>
              <w:ind w:right="6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1,605,093</w:t>
            </w:r>
          </w:p>
        </w:tc>
        <w:tc>
          <w:tcPr>
            <w:tcW w:w="2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613,651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991,442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Subsidies and other income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508,187</w:t>
            </w:r>
          </w:p>
        </w:tc>
        <w:tc>
          <w:tcPr>
            <w:tcW w:w="1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1,446,408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(938,221)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6"/>
        </w:trPr>
        <w:tc>
          <w:tcPr>
            <w:tcW w:w="316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1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(10,469)</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(5,935)</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(4,534)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2,102,811</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2,054,124</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48,687</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(118,546)</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269,153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(387,699)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7"/>
        </w:trPr>
        <w:tc>
          <w:tcPr>
            <w:tcW w:w="3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line="20" w:lineRule="exact"/>
              <w:rPr>
                <w:sz w:val="1"/>
                <w:szCs w:val="1"/>
                <w:color w:val="auto"/>
              </w:rPr>
            </w:pPr>
          </w:p>
        </w:tc>
      </w:tr>
      <w:tr>
        <w:trPr>
          <w:trHeight w:val="250"/>
        </w:trPr>
        <w:tc>
          <w:tcPr>
            <w:tcW w:w="31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2,221,357</w:t>
            </w:r>
          </w:p>
        </w:tc>
        <w:tc>
          <w:tcPr>
            <w:tcW w:w="200" w:type="dxa"/>
            <w:vAlign w:val="bottom"/>
            <w:shd w:val="clear" w:color="auto" w:fill="CCEEFF"/>
          </w:tcPr>
          <w:p>
            <w:pPr>
              <w:spacing w:after="0"/>
              <w:rPr>
                <w:sz w:val="21"/>
                <w:szCs w:val="21"/>
                <w:color w:val="auto"/>
              </w:rPr>
            </w:pPr>
          </w:p>
        </w:tc>
        <w:tc>
          <w:tcPr>
            <w:tcW w:w="1420" w:type="dxa"/>
            <w:vAlign w:val="bottom"/>
            <w:tcBorders>
              <w:right w:val="single" w:sz="8" w:color="CCEEFF"/>
            </w:tcBorders>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1,784,971</w:t>
            </w:r>
          </w:p>
        </w:tc>
        <w:tc>
          <w:tcPr>
            <w:tcW w:w="22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436,386</w:t>
            </w:r>
          </w:p>
        </w:tc>
        <w:tc>
          <w:tcPr>
            <w:tcW w:w="13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45" w:name="page46"/>
    <w:bookmarkEnd w:id="4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derive revenues by providing integrated IT services and solutions, including: (i) IT consulting services, which primarily includes application development services for banks and institutions in the financial industry and which are billed for on a time-and-expense basis, (ii) customized IT Solutions Service, which primarily includes customized solution development and maintenance service for general enterprises and which are billed for on a fixed-price basis, and (iii) other revenue from product and third-party software sales.</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with enforceable right to payments.</w:t>
      </w:r>
    </w:p>
    <w:p>
      <w:pPr>
        <w:spacing w:after="0" w:line="188"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A majority of our time-and-expense contracts are generated by our IT consulting service for clients in the financial industry. In comparison, a majority of our fixed-price contracts are generated by our customized IT solution business for clients in the financial industry and others.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center"/>
              <w:ind w:right="290"/>
              <w:spacing w:after="0"/>
              <w:rPr>
                <w:sz w:val="20"/>
                <w:szCs w:val="20"/>
                <w:color w:val="auto"/>
              </w:rPr>
            </w:pPr>
            <w:r>
              <w:rPr>
                <w:rFonts w:ascii="Arial" w:cs="Arial" w:eastAsia="Arial" w:hAnsi="Arial"/>
                <w:sz w:val="18"/>
                <w:szCs w:val="18"/>
                <w:b w:val="1"/>
                <w:bCs w:val="1"/>
                <w:color w:val="auto"/>
                <w:w w:val="89"/>
              </w:rPr>
              <w:t>For the Year ended June 30,</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3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6"/>
              </w:rPr>
              <w:t>% of total</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6"/>
              </w:rPr>
              <w:t>% of total</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Variance</w:t>
            </w:r>
          </w:p>
        </w:tc>
      </w:tr>
      <w:tr>
        <w:trPr>
          <w:trHeight w:val="241"/>
        </w:trPr>
        <w:tc>
          <w:tcPr>
            <w:tcW w:w="3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5"/>
              </w:rPr>
              <w:t>Revenue</w:t>
            </w:r>
          </w:p>
        </w:tc>
        <w:tc>
          <w:tcPr>
            <w:tcW w:w="12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8"/>
              </w:rPr>
              <w:t>Revenue</w:t>
            </w:r>
          </w:p>
        </w:tc>
        <w:tc>
          <w:tcPr>
            <w:tcW w:w="120" w:type="dxa"/>
            <w:vAlign w:val="bottom"/>
          </w:tcPr>
          <w:p>
            <w:pPr>
              <w:spacing w:after="0"/>
              <w:rPr>
                <w:sz w:val="20"/>
                <w:szCs w:val="20"/>
                <w:color w:val="auto"/>
              </w:rPr>
            </w:pPr>
          </w:p>
        </w:tc>
        <w:tc>
          <w:tcPr>
            <w:tcW w:w="1340" w:type="dxa"/>
            <w:vAlign w:val="bottom"/>
            <w:gridSpan w:val="3"/>
          </w:tcPr>
          <w:p>
            <w:pPr>
              <w:ind w:left="120"/>
              <w:spacing w:after="0"/>
              <w:rPr>
                <w:sz w:val="20"/>
                <w:szCs w:val="20"/>
                <w:color w:val="auto"/>
              </w:rPr>
            </w:pPr>
            <w:r>
              <w:rPr>
                <w:rFonts w:ascii="Arial" w:cs="Arial" w:eastAsia="Arial" w:hAnsi="Arial"/>
                <w:sz w:val="18"/>
                <w:szCs w:val="18"/>
                <w:b w:val="1"/>
                <w:bCs w:val="1"/>
                <w:color w:val="auto"/>
              </w:rPr>
              <w:t>Revenue</w:t>
            </w:r>
          </w:p>
        </w:tc>
        <w:tc>
          <w:tcPr>
            <w:tcW w:w="12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8"/>
              </w:rPr>
              <w:t>Revenue</w:t>
            </w:r>
          </w:p>
        </w:tc>
        <w:tc>
          <w:tcPr>
            <w:tcW w:w="1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Variance</w:t>
            </w:r>
          </w:p>
        </w:tc>
        <w:tc>
          <w:tcPr>
            <w:tcW w:w="13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6"/>
        </w:trPr>
        <w:tc>
          <w:tcPr>
            <w:tcW w:w="3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29,146,470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28,015,173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1,131,297</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1,846,423</w:t>
            </w:r>
          </w:p>
        </w:tc>
        <w:tc>
          <w:tcPr>
            <w:tcW w:w="12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927,185</w:t>
            </w:r>
          </w:p>
        </w:tc>
        <w:tc>
          <w:tcPr>
            <w:tcW w:w="12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919,238</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99.1%</w:t>
            </w:r>
          </w:p>
        </w:tc>
      </w:tr>
      <w:tr>
        <w:trPr>
          <w:trHeight w:val="25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369,083</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81,820</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287,263</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351.1%</w:t>
            </w:r>
          </w:p>
        </w:tc>
      </w:tr>
      <w:tr>
        <w:trPr>
          <w:trHeight w:val="237"/>
        </w:trPr>
        <w:tc>
          <w:tcPr>
            <w:tcW w:w="3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31,361,976</w:t>
            </w:r>
          </w:p>
        </w:tc>
        <w:tc>
          <w:tcPr>
            <w:tcW w:w="22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29,024,178</w:t>
            </w:r>
          </w:p>
        </w:tc>
        <w:tc>
          <w:tcPr>
            <w:tcW w:w="22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2,337,798</w:t>
            </w:r>
          </w:p>
        </w:tc>
        <w:tc>
          <w:tcPr>
            <w:tcW w:w="148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8.1%</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Our total revenues increased by approximately $2.3 million, or 8.1%, to approximately $31.4 million for the fiscal year ended June 30, 2017 from approximately $29.0 million for the fiscal year ended June 30, 2016. The overall growth in our revenues reflected an increase in revenues from both of our IT consulting service and customized IT solution service.</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year ended June 30, 2017, revenue derived from our IT consulting services increased by 4.0% to $29.1 million from $28.0 million in fiscal 2016, primarily reflecting the increasing demands for our IT consulting service from banks and other financial institutions. Most of our clients in the financial industry are international banks. In fiscal 2017, we strengthened our expertise in the financial industry to leverage our existing industry knowledge and grew our customer base of local Chinese financial institutions.</w:t>
      </w:r>
    </w:p>
    <w:p>
      <w:pPr>
        <w:spacing w:after="0" w:line="18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For the year ended June 30, 2017, revenues derived from our IT consulting services significantly increased by 99.1% to $1.8 million from $0.9 million in fiscal 2016. Historically, IT consulting services have contributed the substantial majority of our net revenues. In recent years, we started to develop customized IT solution service to small and medium enterprises (“SME”) in China. With the growing demand for our financial IT solution innovations and e-banking technology, our financial IT solutions service provides SMEs affordable integrated technologies that are reshaping our customers’ business and operating models. We plan to expand our financial IT solution service in China, which is driven by the increased adoption of big data, platform engineering for cloud solutions and an expanded range of services, such as artificial intelligence.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Our cost of revenues mainly consists of compensation benefit expenses for our IT professionals, travel expenses and material costs. Our cost of revenues increased by $1.2 million or 6.9% to approximately $18.7 million in fiscal 2017 from approximately $17.5 million in fiscal 2016, primarily as a result of increased headcount, expanded office facilities and increase of depreciation and amortization expenses to enable and match the growth of our business. As a percentage of revenues, our cost of revenues are consistently around 60% for both fiscal 2017 and 2016. Our total number of employees grew from 1,055 employees as of June 30, 2016 to 1,242 employees as of June 30,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Our gross profit increased by $1.1 million, or 9.8%, to approximately $12.7 million in fiscal 2017 from approximately $11.6 million in fiscal 2016. As a percentage of revenues, our gross margin slightly increased from 39.8% in fiscal 2016 to 40.5% in fiscal 2017. The higher gross profit margin in fiscal 2017 was primarily attributable to the increase in our billing rates of both IT consulting services and customized IT solution services. As our IT consulting services scale and mature, we are able to generate higher gross margins. Also, customized IT solution services contribute favorably to our client retention and understanding of our clients’ businesses, and provide opportunities to cross-sell our other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revenues and marketing personnel, and also included entertainment, travel and transportation, and other expenses relating to our marketing activities.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Selling and marketing expenses increased by $0.8 million or 192.1% from $0.4 million in fiscal 2016 to $1.2 million in fiscal 2017. The increase was primarily attributable to our expansion of the pre-sales and marketing teams in Shanghai and Dalian, China to support our operations. Accordingly, as a percentage of sales, our selling expenses were 3.8% of revenues in fiscal 2017 as compared to 1.4% in fiscal 2016. While we expect our selling and marketing expenses to increase as we continue our business expansion, we expect these expenses to remain relatively steady as a percentage of our net revenues to support our business growth in the near future.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R&amp;D expenses primarily consisted of compensation and benefit expenses relating to our research and development personnel as well as office overhead and other expenses relating to our R&amp;D activities. Our R&amp;D expenses decreased by $1.4 million from $5.6 million in fiscal 2016 to $4.2 million in fiscal 2017, representing 13.5% and 19.2% of our total revenues for fiscal 2017 and 2016, respectively. The increased R&amp;D expense in fiscal 2016 is attributable to the launch of several research projects related to cloud computing and mobile internet application in fiscal 2016. Upon completion of these projects in fiscal 2017, the related IT developers were transferred to our production department. As a result, the related compensation for these individuals was included as a cost of revenue in fiscal 2017. We expect to increase our investment in research and development to enhance our industry knowledge, improve our competitiveness and enable us to identify attractive market opportunities for new and enhanced services and solutions.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General and administrative expenses primarily consisted of salary and compensation expenses relating to our finance, legal, human resources and executive office personnel, and included rental expenses, depreciation and amortization expenses, office overhead, professional service fees and travel and transportation costs.</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General and administrative expenses increased by $0.6 million or 14.0% from approximately $5.0 million in fiscal 2016 to approximately $5.6 million in fiscal 2017, almost all of which is attributable to increasing headcount and related staff costs in Hong Kong and Australia, which approximated $0.6 million. We incorporated CLPS Technology (Australia) PTY LTD (“CLPS AU”) in November 2015 and CLPS Technology (Hong Kong) Co., Limited (“CLPS Hong Kong”) in January 2016 to provide service for our international client’s local operations. Additionally, we acquired Judge (Shanghai) Technology service Co., Ltd (“Judge China”) in November 2016; Judge China accounted for approximately $0.1 million increase in our general and administrative expense in fiscal 2017. As a percentage of revenues, general and administrative expenses were 18.0% and 17.1% of our revenue in fiscal 2017 and 2016,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income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Subsidies and other income primarily included government subsidies which represented amounts granted by local government authorities as a general incentive for us to promote development of the local technology industry. The Company records government subsidies in subsidies and other income upon received and when there is no further performance obligation. Total government subsidies amounted to $0.4 million and $1.3 million for the years ended June 30, 2017 and 2016, respectively. The decrease in government subsidies in fiscal 2017 was because local government was in the process of amending the existing subsidy policy and deferred the approvals for government subsidies that are applicable to us. While we expect the continued support of local government to promote the technology industry, we only record government subsidies as subsidies and other income when received due to uncertainties.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income before income taxes was approximately $2.1 million in fiscal 2017, an increase of 2.4% compared with fiscal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provision for income taxes benefit was $0.1 million in fiscal 2017, compared to $0.3 million income tax expense in fiscal 2016. Our current income tax provision decrease by approximately $0.3 million. The decrease of the current income tax provision is mainly due to CLPS Dalian has qualified as Software Enterprise and is enjoying two-year income tax exemption starting from their first profitable year. The increase of $0.1 million in deferred tax benefit was mainly because we recognized deferred tax assets as a result of the net operating losses carry forward for some of our subsidiaries.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Our net income was approximately $2.2 million in fiscal 2017, an increase of $0.4 million from $1.8 million in fiscal 2016. The increase in net income was in line with increased revenues, gross profit and operating expenses for fiscal 2017 as compared to fiscal 2016 as mentioned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225" w:lineRule="exact"/>
        <w:rPr>
          <w:sz w:val="20"/>
          <w:szCs w:val="20"/>
          <w:color w:val="auto"/>
        </w:rPr>
      </w:pPr>
    </w:p>
    <w:p>
      <w:pPr>
        <w:ind w:right="460" w:firstLine="648"/>
        <w:spacing w:after="0" w:line="291" w:lineRule="auto"/>
        <w:rPr>
          <w:sz w:val="20"/>
          <w:szCs w:val="20"/>
          <w:color w:val="auto"/>
        </w:rPr>
      </w:pPr>
      <w:r>
        <w:rPr>
          <w:rFonts w:ascii="Arial" w:cs="Arial" w:eastAsia="Arial" w:hAnsi="Arial"/>
          <w:sz w:val="16"/>
          <w:szCs w:val="16"/>
          <w:color w:val="auto"/>
        </w:rPr>
        <w:t>Foreign currency translation adjustments amounted to a loss of $0.1 million and $0.4 million for the years ended June 30, 2017 and 2016, respectively. The balance sheet amounts with the exception of equity as of June 30, 2017 were translated at 6.7793 RMB to 1.00 USD as compared to</w:t>
      </w:r>
    </w:p>
    <w:p>
      <w:pPr>
        <w:jc w:val="both"/>
        <w:ind w:right="120"/>
        <w:spacing w:after="0" w:line="253" w:lineRule="auto"/>
        <w:rPr>
          <w:sz w:val="20"/>
          <w:szCs w:val="20"/>
          <w:color w:val="auto"/>
        </w:rPr>
      </w:pPr>
      <w:r>
        <w:rPr>
          <w:rFonts w:ascii="Arial" w:cs="Arial" w:eastAsia="Arial" w:hAnsi="Arial"/>
          <w:sz w:val="18"/>
          <w:szCs w:val="18"/>
          <w:color w:val="auto"/>
        </w:rPr>
        <w:t>6.6459 RMB to 1.00USD as of June 30, 2016. The equity accounts were stated at their historical rate. The average translation rates applied to the income statements accounts for the years ended June 30, 2017 and 2016 were 6.8087 RMB to 1.00 USD and 6.4405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As of June 30, 2017, we had cash and cash equivalents of approximately $4.8 million. Our current assets were approximately $12.3 million, and our current liabilities were approximately $8.2 million. Total shareholders’ equity as of June 30, 2017 was approximately $5.3 million. We believe that we will have sufficient working capital to operate our business for the next 12 months.</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assessing our liquidity, we monitor and analyze our cash on hand, our ability to generate sufficient revenue sources in the future and our operating and capital expenditure commitments. The Company plans to fund working capital through its operations, bank borrowings and additional capital contribution from shareholders. For years ended June 30, 2017 and 2016, our operating cash flow was positive. We have historically funded our working capital needs from operations, advance payments from customers and shareholders and related party advances. Our working capital requirements are affected by the efficiency of our operations, the numerical volume and dollar value of our sales contracts, the progress or execution on our customer contracts, and the timing of accounts receivable collections.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summary of our cash flows for the periods indicated:</w:t>
      </w:r>
    </w:p>
    <w:p>
      <w:pPr>
        <w:spacing w:after="0" w:line="221"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Borders>
              <w:bottom w:val="single" w:sz="8" w:color="CCEEFF"/>
            </w:tcBorders>
          </w:tcPr>
          <w:p>
            <w:pPr>
              <w:spacing w:after="0"/>
              <w:rPr>
                <w:sz w:val="21"/>
                <w:szCs w:val="21"/>
                <w:color w:val="auto"/>
              </w:rPr>
            </w:pPr>
          </w:p>
        </w:tc>
        <w:tc>
          <w:tcPr>
            <w:tcW w:w="82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(101,218)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(374,348)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(832,752)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(378,837)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Effect of exchange rate change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(153,002)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(227,771)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(462,628)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3,481,312</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20"/>
                <w:szCs w:val="20"/>
                <w:color w:val="auto"/>
              </w:rPr>
            </w:pPr>
            <w:r>
              <w:rPr>
                <w:rFonts w:ascii="Arial" w:cs="Arial" w:eastAsia="Arial" w:hAnsi="Arial"/>
                <w:sz w:val="18"/>
                <w:szCs w:val="18"/>
                <w:color w:val="auto"/>
                <w:w w:val="95"/>
              </w:rPr>
              <w:t>Cash</w:t>
            </w:r>
          </w:p>
        </w:tc>
        <w:tc>
          <w:tcPr>
            <w:tcW w:w="8260" w:type="dxa"/>
            <w:vAlign w:val="bottom"/>
          </w:tcPr>
          <w:p>
            <w:pPr>
              <w:ind w:left="40"/>
              <w:spacing w:after="0"/>
              <w:rPr>
                <w:sz w:val="20"/>
                <w:szCs w:val="20"/>
                <w:color w:val="auto"/>
              </w:rPr>
            </w:pPr>
            <w:r>
              <w:rPr>
                <w:rFonts w:ascii="Arial" w:cs="Arial" w:eastAsia="Arial" w:hAnsi="Arial"/>
                <w:sz w:val="18"/>
                <w:szCs w:val="18"/>
                <w:color w:val="auto"/>
              </w:rPr>
              <w:t>and cash equivalents, beginning of year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5,277,196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1,795,884</w:t>
            </w:r>
          </w:p>
        </w:tc>
        <w:tc>
          <w:tcPr>
            <w:tcW w:w="0" w:type="dxa"/>
            <w:vAlign w:val="bottom"/>
          </w:tcPr>
          <w:p>
            <w:pPr>
              <w:spacing w:after="0"/>
              <w:rPr>
                <w:sz w:val="1"/>
                <w:szCs w:val="1"/>
                <w:color w:val="auto"/>
              </w:rPr>
            </w:pPr>
          </w:p>
        </w:tc>
      </w:tr>
      <w:tr>
        <w:trPr>
          <w:trHeight w:val="27"/>
        </w:trPr>
        <w:tc>
          <w:tcPr>
            <w:tcW w:w="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5"/>
              </w:rPr>
              <w:t>Cash</w:t>
            </w:r>
          </w:p>
        </w:tc>
        <w:tc>
          <w:tcPr>
            <w:tcW w:w="82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and cash equivalents, end of year</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vMerge w:val="continue"/>
            <w:shd w:val="clear" w:color="auto" w:fill="CCEEFF"/>
          </w:tcPr>
          <w:p>
            <w:pPr>
              <w:spacing w:after="0"/>
              <w:rPr>
                <w:sz w:val="21"/>
                <w:szCs w:val="21"/>
                <w:color w:val="auto"/>
              </w:rPr>
            </w:pPr>
          </w:p>
        </w:tc>
        <w:tc>
          <w:tcPr>
            <w:tcW w:w="826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4,814,568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5,277,196</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Net cash provided by operating activities was approximately $0.6 million in fiscal 2017, including net income of $2.2 million, adjusted for non-cash items of $8,975 and negative adjustments for changes in operating assets and liabilities of $1.6 million. The adjustments for changes in operating assets and liabilities mainly included an increase in accounts receivable of $2.4 million due to increased sales in fiscal 2017, an increase in deferred costs of $0.2 million for project progress and an increase in prepaid income tax of $0.2 million, and offset with an increase in salaries and benefits payable of $0.9 million due to unpaid employee compensation and benefits and an increase in tax payable of $0.2 million due to increased revenue in fiscal 2017.</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Net cash provided by operating activities for the year ended June 30, 2016 was approximately $4.5 million, which was primarily attributable to net income of approximately $1.8 million, adjusted for non-cash items for approximately $0.04 million and positive adjustments for changes in working capital of approximately $2.7 million. The adjustments for changes in working capital mainly included (i) decrease in accounts receivable of approximately $1.1 million due to an increase in sales collections in fiscal 2016, (ii) increase in salaries and benefits payable of $1.0 million due to unpaid employee compensation and benefits and (iii) decrease in prepayment of approximately $0.4 million due to utilization in our operation.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Net cash used in investing activities was approximately $0.1 million in fiscal 2017, primarily due to our acquisition of Judge China in fiscal 2017, to better manage opportunities and capitalize on the growth potential in the human resource related industry in China.</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Net cash used in investing activities was approximately $0.4 million in fiscal 2016, primarily due to our purchases of office equipment and furniture.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Net cash used in financing activities was approximately $0.8 million in fiscal 2017. During fiscal 2017, we repaid related parties loans of approximately $0.1 million and paid $0.7 million of dividends to our existing shareholders.</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Net cash used in financing activities was approximately $0.4 million in fiscal 2016. In fiscal 2016, proceeds from our shareholder’s contributions amounted to $2.1 million, and collection of restricted cash of $2.5 million. We paid $5.3 million of dividends to our existing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made capital expenditures of $0.06 million and $0.3 million for the years ended June 30, 2017 and 2016, respectively. In these periods, our capital expenditures were mainly used for purchases of office equipment. The Company will continue to make capital expenditures to meet the expected growth of its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do not believe the impact of inflation on our company is material. Our operations are in China and China’s inflation rates have been relatively stable over the last two years: 1.4% in 2016 and 2.0%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Company’s subsidiaries lease office spaces under various operating leases. Operating lease expense amounted to $565,328 and $431,043 for the years ended June 30, 2017 and 2016, respectively. The following table sets forth our contractual obligations and commercial commitments as of June 30,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ind w:left="840"/>
              <w:spacing w:after="0"/>
              <w:rPr>
                <w:sz w:val="20"/>
                <w:szCs w:val="20"/>
                <w:color w:val="auto"/>
              </w:rPr>
            </w:pPr>
            <w:r>
              <w:rPr>
                <w:rFonts w:ascii="Arial" w:cs="Arial" w:eastAsia="Arial" w:hAnsi="Arial"/>
                <w:sz w:val="18"/>
                <w:szCs w:val="18"/>
                <w:b w:val="1"/>
                <w:bCs w:val="1"/>
                <w:color w:val="auto"/>
                <w:w w:val="92"/>
              </w:rPr>
              <w:t>Payment Due by Period</w:t>
            </w: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6"/>
              </w:rPr>
              <w:t>Less than 1</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More than 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1-3 Years</w:t>
            </w: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w w:val="94"/>
              </w:rPr>
              <w:t>3-5 Years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Years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arrangements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931,047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520,637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410,410</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1"/>
                <w:szCs w:val="21"/>
                <w:color w:val="auto"/>
              </w:rPr>
            </w:pPr>
          </w:p>
        </w:tc>
      </w:tr>
      <w:tr>
        <w:trPr>
          <w:trHeight w:val="210"/>
        </w:trPr>
        <w:tc>
          <w:tcPr>
            <w:tcW w:w="4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931,047</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520,637</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410,410</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line="203"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Commitments and Arrangements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There were no off-balance sheet arrangements for the years ended June 30, 2017 and 2016 that have or that in the opinion of management are likely to have, a current or future material effect on our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by the United States of America (“U.S. GAAP”), which requires us to make judgments, estimates and assumptions that affect our reported amount of assets, liabilities, revenue, costs and expenses, and any related disclosures. Although there was no material changes made to the accounting estimates and assumptions in the past two years,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7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believe that the following accounting policies involve a higher degree of judgment and complexity in their application and require us to make significant accounting estimates. Accordingly, these are the policies we believe are the most critical to understanding and evaluating our consolidated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intangible assets, goodwill impairment, the impairment of long-lived assets, provision for contingent liabilities, revenue recognition, accrued expenses and other current liabilities and realization of deferred tax assets.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provides a comprehensive range of IT services and solutions, the contracts for which are billed for primarily are on a time-and-expense basis, or fixed-price basis.</w:t>
      </w:r>
    </w:p>
    <w:p>
      <w:pPr>
        <w:spacing w:after="0" w:line="170"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Revenue is considered realizable and earned when all of the following criteria are met: persuasive evidence of a sales arrangement exists; delivery has occurred or services have been rendered; the price is fixed or determinable; and collectability is reasonably assured.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Time-and-expense basis contracts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Revenues from time-and-expense basis contracts are recognized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Fixed-price basis contracts</w:t>
      </w:r>
    </w:p>
    <w:p>
      <w:pPr>
        <w:spacing w:after="0" w:line="22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Revenues from fixed-price customized solution contracts require the Company to perform services for systems design, planning and integration based on customers’ specific needs. These solutions require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of time ranging from three months to one year (“PCS period”) after the customized application is delivered. The type of service for PCS clause is generally not specified in the contract or stand-ready service on when-and-if-available basis.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the following service elements in negotiating a fixed-fee solution contract:</w:t>
      </w:r>
    </w:p>
    <w:p>
      <w:pPr>
        <w:spacing w:after="0" w:line="22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Solution development service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PCS,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Specific service such as training, if applicable</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For multiple-element arrangements that include application customized services and PCS as well as specific service components, if applicable, the Company allocates contract revenue to all deliverables based on their relative selling prices. The Company uses a hierarchy to determine the selling price to be used for allocating revenue to the deliverables: (i) vendor-specific objective evidence of fair value (“VSOE”), (ii) third-party evidence of the selling price (“TPE”) and (iii) best estimate of the selling price (“BESP”). The Company uses VSOE of selling price in the selling price allocation in all instances where it exists; otherwise, BESP is used. Because the Company’s customized application differs substantially from that of competitors, it is difficult to obtain the reliable standalone competitive pricing necessary to establish TPE. VSOE of selling price for products and services is determined when a substantial majority of the selling prices fall within a reasonable range when sold separately.</w:t>
      </w:r>
    </w:p>
    <w:p>
      <w:pPr>
        <w:spacing w:after="0" w:line="17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Revenue allocated to solution development service components is recognized using contract accounting in accordance with Accounting Standards Codification (“ASC”) 605-35. The revenue recognition for these contracts varies depending on the terms of the individual contracts, and may be recognized proportionally over the term of the contract or deferred until the end of the contract term and recognized when our obligations to the customer have been fulfilled with the customer. For contacts with development period within three months, the related revenue is recognized on the completed contract method. Otherwise, revenue is recognized as the service is performed using the percentage of completion method of accounting, under which the total value of revenue is recognized on the basis of the percentage that total labor cost to date bears to the total expected labor costs. The Company considers labor time as the best available indicator of the pattern and timing in which contract obligations are fulfilled. Pursuant to the contract terms, the Company has enforceable rights to payments for the work performed. Provisions for estimated losses, if any, on uncompleted contracts are recorded in the period in which such losses become probable based on the current contract estimates. In instances where substantive acceptance provisions are specified in customer contracts, revenues are deferred until all acceptance criteria have been met.</w:t>
      </w:r>
    </w:p>
    <w:p>
      <w:pPr>
        <w:spacing w:after="0" w:line="16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fixed-priced customized solution arrangement provides customers with rights to unspecified PCS, if and when available. These services grant the customers on line and telephone access to technical support personnel during the term of the service. The revenue allocated to unspecific PCS component is deferred and recognized on a straight-line basis over the PCS period. Revenue allocates to the specific PCS or other services is recognized as the related services are rendered.</w:t>
      </w:r>
    </w:p>
    <w:p>
      <w:pPr>
        <w:spacing w:after="0" w:line="187" w:lineRule="exact"/>
        <w:rPr>
          <w:sz w:val="20"/>
          <w:szCs w:val="20"/>
          <w:color w:val="auto"/>
        </w:rPr>
      </w:pPr>
    </w:p>
    <w:p>
      <w:pPr>
        <w:ind w:right="1000" w:firstLine="648"/>
        <w:spacing w:after="0" w:line="308" w:lineRule="auto"/>
        <w:rPr>
          <w:sz w:val="20"/>
          <w:szCs w:val="20"/>
          <w:color w:val="auto"/>
        </w:rPr>
      </w:pPr>
      <w:r>
        <w:rPr>
          <w:rFonts w:ascii="Arial" w:cs="Arial" w:eastAsia="Arial" w:hAnsi="Arial"/>
          <w:sz w:val="17"/>
          <w:szCs w:val="17"/>
          <w:color w:val="auto"/>
        </w:rPr>
        <w:t>To date, the Company has not incurred a material loss on any contracts. However, as a policy, provisions for estimated losses on such engagements will be made during the period in which a loss becomes probable and can be reasonably estimated.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Differences between the timing of billings and the recognition of revenue based on various methods of accounting are recorded as deferred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11"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Net revenue includes reimbursements of travel and out-of-pocket expense, with equivalent amounts of expense recorded in cost of revenue. The Company reports revenues net of value added tax (“VAT”). The Company’s subsidiaries in the PRC are subject to a 6% to 17% value added tax (“VAT”) and related surcharges on the revenues earned from providing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680" w:firstLine="648"/>
        <w:spacing w:after="0" w:line="275" w:lineRule="auto"/>
        <w:rPr>
          <w:sz w:val="20"/>
          <w:szCs w:val="20"/>
          <w:color w:val="auto"/>
        </w:rPr>
      </w:pPr>
      <w:r>
        <w:rPr>
          <w:rFonts w:ascii="Arial" w:cs="Arial" w:eastAsia="Arial" w:hAnsi="Arial"/>
          <w:sz w:val="17"/>
          <w:szCs w:val="17"/>
          <w:color w:val="auto"/>
        </w:rPr>
        <w:t>Accounts receivable are recorded at original invoice.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 off against the allowance for doubtful accounts after management has determined that the likelihood of collection is not probable.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Unbilled accounts receivable included in accounts receivable represent revenue earned on contracts to be billed, in subsequent periods, as per the terms of the related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Business combinations are recorded using the business acquisition method of accounting. The assets acquired, the liabilities assumed, and any non-controlling interest of the acquiree at the acquisition date, if any, are measured at their fair values as of that date. Goodwill is recognized and measured as the excess of the total consideration transferred plus the fair value of any non-controlling interest of the acquiree, if any, at the acquisition date over the fair values of the identifiable net assets acquired.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 of operations as an allocation of the total income or loss for the year between non-controlling interest holders and the shareholders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with definite lives</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Intangible assets, other than goodwill, are initially measured and recorded at their fair values. Intangible assets primarily consists of customer contacts acquired by Judge China. Customer contacts are amortized using the estimated attrition pattern which is estimated over 10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Goodwill represents the excess of the consideration over the fair value of the net assets acquired at the date of acquisition. Goodwill is not amortized but rather tested for impairment at least annually at the reporting unit level by applying a fair value based test in accordance with accounting and disclosure requirements for goodwill and other indefinite lived intangible assets. This test is performed by management annually or more frequently if the Company believes impairment indicators are present. There was only one reporting unit (that also represented the operating segment) as of June 30, 2017. Goodwill was allocated to the one reporting unit as of June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assessed discounted cash flow amount.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Company reviews the carrying value of intangible assets not subject to amortization, including goodwill, to determine whether impairment may exist annually or more frequently if events and circumstances indicate that it is more likely than not that an impairment has occurred. The Company has the option to assess qualitative factors to determine whether it is necessary to perform the two-step in accordance with ASC 350-20. If the Company believes, as a result of the qualitative assessment, that it is more likely than not that the fair value of the reporting unit is less than its carrying amount, the two-step quantities impairment test described below is required. The first step compares the fair values of each reporting unit to its carrying amount, including goodwill. If the fair value of each reporting unit exceeds its carrying amount, goodwill is not considered to be impaired and the second step will not be required. If the carrying amount of a reporting unit exceeds its fair value, the second step compares the implied fair value of goodwill to the carrying value of a reporting unit’s goodwill. The implied fair value of goodwill is determined in a manner similar to accounting for a business acquisition with the allocation of the assessed fair value determined in the first step to the assets and liabilities of the reporting unit. The excess of the fair value of the reporting unit over the amounts assigned to the assets and liabilities is the implied fair value of goodwill. An impairment loss is recognized for any excess in the carrying value of goodwill over the implied fair value of goodwill. Estimating fair value is performed by utilizing various valuation techniques, with the primary technique being a discounted cash flow. There was no impairment of goodwill during the years ended June 30, 2017 and 2016, respectively.</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Research and development incurred in the development of new software modules and products, either as part of the internally used software or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when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subsidies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Government subsidies mainly represent amounts granted by local government authorities as an incentive for companies to promote development of the local technology industry. The Company receives government subsidies related to government sponsored projects, and records such government subsidies as a liability when it is received. The Company records government subsidies as other income when there is no further performance obligation. Total government subsidies amounted to $385,448 and $1,282,882 for the years ended June 30, 2017 and 2016, respectively, and were included in other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500" w:firstLine="648"/>
        <w:spacing w:after="0" w:line="255" w:lineRule="auto"/>
        <w:rPr>
          <w:sz w:val="20"/>
          <w:szCs w:val="20"/>
          <w:color w:val="auto"/>
        </w:rPr>
      </w:pPr>
      <w:r>
        <w:rPr>
          <w:rFonts w:ascii="Arial" w:cs="Arial" w:eastAsia="Arial" w:hAnsi="Arial"/>
          <w:sz w:val="18"/>
          <w:szCs w:val="18"/>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9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years ended June 30, 2017 and 2016. All of the tax returns of the Company remain subject to examination by the tax authorities for five years from the date of filing through year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In May 2014, the Financial Accounting Standards Board (“FASB”) issued ASU No. 2014-09, “Revenue from Contracts with Customers (Topic 606)”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 2015-14, “Deferral of the Effective Date”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the Company’s fiscal year beginning July 1, 2018. In March 2016, the FASB issued ASU No. 2016-08, “Principal versus Agent Considerations (Reporting Revenue versus Net)” (“ASU 2016-08”), which clarifies the implementation guidance on principal versus agent considerations in the new revenue recognition standard. In April 2016, the FASB issued ASU No. 2016-10, “Identifying Performance Obligations and Licensing” (“ASU 2016-10”), which reduces the complexity when applying the guidance for identifying performance obligations and improves the operability and understandability of the license implementation guidance. In May 2016, the FASB issued ASU No. 2016-12 “Narrow-Scope Improvements and Practical Expedients” (“ASU 2016-12”), which amends the guidance on transition, collectability, noncash consideration and the presentation of sales and other similar taxes. In December 2016, the FASB further issued ASU 2016-20, “Technical Corrections and Improvements to Topic 606, Revenue from Contracts with Customers” (“ASU 2016-20”), which makes minor corrections or minor improvements to the Codification that are not expected to have a significant effect on current accounting practice or create a significant administrative cost to most entities. The amendments are intended to address implementation and provide additional practical expedients to reduce the cost and complexity of applying the new revenue standard. These amendments have the same effective date as the new revenue standard. We are planning to adopt Topic 606 in the first quarter of our fiscal 2019 using the retrospective transition method, and are continuing to evaluate the impact our pending adoption of Topic 606 will have on our unaudited condensed consolidated financial statements. The Company’s current revenue recognition policies are generally consistent with the new revenue recognition standards set forth in ASU 2014-09. Potential adjustments to input measures are not expected to be pervasive to the majority of the Company’s contracts. While</w:t>
      </w:r>
    </w:p>
    <w:p>
      <w:pPr>
        <w:spacing w:after="0" w:line="10"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no significant impact is expected upon adoption of the new guidance, the Company will not be able to make that determination until the time of adoption based upon outstanding contracts at that time.</w:t>
      </w:r>
    </w:p>
    <w:p>
      <w:pPr>
        <w:sectPr>
          <w:pgSz w:w="11900" w:h="16838" w:orient="portrait"/>
          <w:cols w:equalWidth="0" w:num="1">
            <w:col w:w="11240"/>
          </w:cols>
          <w:pgMar w:left="320" w:top="226"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54" w:name="page55"/>
    <w:bookmarkEnd w:id="5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November 2015, the FASB issued ASU No. 2015-17 ("ASU 2015-17"), Income Taxes (Topic 740): Balance Sheet Classification of Deferred Taxes. ASU 2015-17 simplifies the presentation of deferred income taxes by eliminating the separate classification of deferred income tax liabilities and assets into current and noncurrent amounts in the consolidated balance sheet statement of financial position. The amendments in the update require that all deferred tax liabilities and assets be classified as noncurrent in the consolidated balance sheet. The amendments in this update are effective for fiscal years beginning after December 15, 2016, and interim periods therein and may be applied either prospectively or retrospectively to all periods presented. Early adoption is permitted. The Company elected to early adopt the ASU 2015-17 in 2016 on a retrospective basis. The adoption of ASU 2015-17 did not have material impact on the consolidated financial statements.</w:t>
      </w:r>
    </w:p>
    <w:p>
      <w:pPr>
        <w:spacing w:after="0" w:line="17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February 2016, the FASB issued ASU No. 2016-02, Leases (Topic 842), to increase the transparency and comparability about leases among entities. The new guidance requires lessees to recognize a lease liability and a corresponding lease asset for virtually all lease contracts. It also requires additional disclosures about leasing arrangements. ASU 2016-02 is effective for interim and annual periods beginning after December 15, 2018, and requires a modified retrospective approach to adoption assuming the Company will remain an emerging growth company at that date. Early adoption is permitted. The Company has not early adopted this update and it will become effective on July 1, 2019. The Company is currently evaluating the impact of this new standard on its consolidated financial statements and related disclosures.</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August, 2016, the FASB issued a new pronouncement ASU 2016-15, Statement of Cash Flows (Topic 230): Classification of Certain Cash Receipts and Cash Payments, which amends the guidance in ASC 230 on the classification of certain cash receipts and payments in the statement of cash flows. The primary purpose of the ASU is to reduce the diversity in practice that has resulted from the lack of consistent principles on this topic. The ASU’s amendments add or clarify guidance on eight cash flow issues: (1)Debt prepayment or debt extinguishment costs; (2)Settlement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(8) Separately identifiable cash flows and application of the predominance principle. For public business entities, the guidance in the ASU is effective for fiscal years beginning after December 15, 2017, including interim periods within those fiscal years assuming the Company will remain as emerging growth company at that date. Early adoption is permitted for all entities. Entities must apply the guidance retrospectively to all periods presented but may apply it prospectively from the earliest date practicable if retrospective application would be impracticable. The Company has not early adopted this update and it will become effective on July 1, 2018. The Company is in the process of evaluating the impact that this guidance will have on its consolidated financial statements.</w:t>
      </w:r>
    </w:p>
    <w:p>
      <w:pPr>
        <w:spacing w:after="0" w:line="17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October 2016, FASB issued ASU 2016-16, “Income Taxes: Intra-Entity Transfers of Assets Other than Inventory” which amends the accounting for income taxes. The new guidance requires the recognition of the income tax consequences of an intra-entity asset transfer, other than transfers of inventory, when the transfer occurs. For intra-entity transfers of inventory, the income tax effects will continue to be deferred until the inventory has been sold to a third party. The ASU is effective for reporting periods beginning after December 15, 2017 assuming the Company will remain as emerging growth company at the date, with early adoption permitted. The new guidance is required to be applied on a modified retrospective basis through a cumulative-effect adjustment directly to retained earnings as of the beginning of the period of adoption. The Company has not early adopted this update and it will become effective on July 1, 2018. The Company is currently evaluating the effects, if any, that the adoption of this guidance will have on the Company’s consolidated financial position, results of operations and cash flows.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October 2016, the FASB issued ASU No. 2016-17, Consolidation (Topic 810): Interest Held through Related Parties That Are under Common Control, to provide guidance on the evaluation of whether a reporting entity is the primary beneficiary of a VIE by amending how a reporting entity, that is a single decision maker of a VIE, treats indirect interests in that entity held through related parties that are under common control. The amendments are effective for public business entities for fiscal years beginning after December 15, 2016, including interim periods within those fiscal years assuming the Company will remain an emerging growth company at that date. Early adoption is permitted, including adoption in an interim period. The Company has not early adopted this update and it will become effective on July 1, 2017. The Company is currently evaluating the impact of this new standard on its consolidated financial statements and related disclosures.</w:t>
      </w:r>
    </w:p>
    <w:p>
      <w:pPr>
        <w:spacing w:after="0" w:line="17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January 2017, the FASB issued ASU No. 2017-01, Business Combinations (Topic 805): Clarifying the Definition of a Business”. The amendments in this ASU clarify the definition of a business with the objective of adding guidance to assist entities with evaluating whether transactions should be accounted for as acquisitions (or disposals) of assets or businesses. These amendments take effect for public businesses for fiscal years beginning after December 15, 2017 and interim periods within those periods assuming the Company will remain an emerging growth company at that date. The Company has not early adopted this update and it will become effective on July 1, 2018. The Company does not expect that the adoption of this guidance will have a material impact on its condensed consolidated financial statements.</w:t>
      </w:r>
    </w:p>
    <w:p>
      <w:pPr>
        <w:spacing w:after="0" w:line="17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January 2017 the FASB issued ASU No. 2017-04, “Intangibles—Goodwill and Other (Topic 350): Simplifying the Test for Goodwill Impairment.” This new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which means that it will be effective for us in the first quarter of our fiscal year beginning July 1, 2020 assuming the Company still remains an emerging growth company at that date. Early adoption is permitted. The Company is currently evaluating the impact of our pending adoption of ASU 2017-04 on its consolidated financial statements.</w:t>
      </w:r>
    </w:p>
    <w:p>
      <w:pPr>
        <w:spacing w:after="0" w:line="17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May 2017, the FASB issued ASU No. 2017-09, Scope of Modification Accounting, to provide guidance to clarify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changes in terms or conditions. ASU 2017-09 is effective for all entities for annual periods, and interim periods within those annual periods, beginning after December 15, 2017 assuming the Company still remains an emerging growth company at that date. Early adoption is permitted and application is prospective. The Company has not early adopted this update and it will become effective on July 1, 2018. The Company does not expect that the adoption of this guidance will have a material impact on its condensed consolidated financial statements.</w:t>
      </w:r>
    </w:p>
    <w:p>
      <w:pPr>
        <w:spacing w:after="0" w:line="19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Company does not believe other recently issued but not yet effective accounting statements, if recently adopted, would have a material effect on the Company’s consolidated balance sheets, statements of income and comprehensive income and statements of cash flows.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from the US, Europe, Australia and Hong Kong, and their PRC-based IT centers. We have created and developed a particular market niche by providing turn-key financial solution. Since our inception, we have aimed to build one of the largest sales and service delivery platforms for IT services and solutions in China. We maintain eleven delivery and or research and development (“R&amp;D”) centers to serve different customers in various geographic locations. Seven centers are located in China, including cities of Shanghai, Beijing, Dalian, Tianjin, Chengdu, Guangzhou and Shenzhen. The remaining four centers are located in Hong Kong, Taiwan, Singapore and Australia. By combining onsite or onshore support and consulting with scalable and high-efficiency offsite or offshore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Background</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CLPS Incorporation was incorporated under the laws of the Cayman Islands on May 11, 2017. Our share capital of the Company is US$10,000, which is divided into 100,000,000 common shares are authorized with US$0.0001 par value per share. On December 7, 2017, the Board of Directors approved a nominal issuance of the following shares to the existing shareholders: 5,000,000 shares to Qinrui Ltd., 5,000,000 shares to Qinhui Ltd; 430,823 shares to Qinlian Ltd., 430,804 shares to Qinmeng Ltd. and 428,373 shares to Qinyao Ltd. All of the five shareholders are incorporated in the British Virgin Islands.</w:t>
      </w:r>
    </w:p>
    <w:p>
      <w:pPr>
        <w:spacing w:after="0" w:line="188"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 Company owns all of the outstanding capital stock of both Qinheng (incorporated on June 9, 2017) and Qiner (incorporated on April 21, 2017). Qinheng owns all of the outstanding capital stock of CLPS QC (WOFE) (incorporated on August 4, 2017). CLPS QC (WOFE) and Qiner respectively own 55.30% and 44.70% of the outstanding capital stock of CLPS Shanghai, the Company’s operating subsidiary based in Pudong New District, Shanghai, China, originally incorporated on August 30, 2005.</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On August 30, 2005, CLPS Shanghai was established by Jingsu Pan and Xiaochun Deng as a PRC limited liability company. Jingsu Pan and Xiaochun Deng each actually paid RMB250,000 (approximately US$30,881) in cash for 50% of equity interest in CLPS Shanghai, and the total registered capital of CLPS Shanghai was RMB500,000 (approximately US$61,763).</w:t>
      </w:r>
    </w:p>
    <w:p>
      <w:pPr>
        <w:spacing w:after="0" w:line="18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On December 23, 2005, CLPS Shanghai increased its registered capital to RMB1,000,000 (approximately US$123,671). Jingsu Pan and Xiaochun Deng respectively made full payment for their subscribed capital to RMB500,000 (approximately US$61,835) on December 21.</w:t>
      </w:r>
    </w:p>
    <w:p>
      <w:pPr>
        <w:spacing w:after="0" w:line="146"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 xml:space="preserve">On March 29, 2010, Yan Pan entered into a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Jingsu Pan to purchase all of Jingsu Pan’s shares in CLPS Shanghai. Pursuant to the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Yan Pan paid RMB¥ 500,000 (approximately US$61,835) for 50% shares of CLPS Shanghai. After this share transfer, Yan Pan and Xiaochun Deng respectively held 50% shares of CLPS Shanghai.</w:t>
      </w:r>
    </w:p>
    <w:p>
      <w:pPr>
        <w:spacing w:after="0" w:line="18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On October 19, 2010, Raymond Ming Hui Lin entered into a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ml:space="preserve"> with Xiaochun Deng to purchase all of Xiaochun Deng’s shares in CLPS Shanghai. Pursuant to the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Raymond Ming Hui Lin paid RMB500,000 (approximately US$61,835) for 50% shares of CLPS Shanghai. After this share transfer, Yan Pan and Raymond Ming Hui Lin respectively held 50% shares of CLPS Shanghai. Since Raymond Ming Hui Lin is a Hong Kong resident, CLPS Shanghai changed its form in a Sino-foreign equity joint venture.</w:t>
      </w:r>
    </w:p>
    <w:p>
      <w:pPr>
        <w:spacing w:after="0" w:line="171"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On October 31, 2012, CLPS Shanghai increased its registered capital to RMB5,000,000 (approximately US$799,987). Yan Pan and Raymond Ming Hui Lin each increased their subscribed capital to RMB2,500,000 (approximately US$399,993). Yan Pan actually paid RMB1,000,000 (approximately US$159,997) and Raymond Ming Hui Lin actually paid RMB1,008,120 (approximately US$161,296) for the capital contributions on October 18, 2012.</w:t>
      </w:r>
    </w:p>
    <w:p>
      <w:pPr>
        <w:spacing w:after="0" w:line="187" w:lineRule="exact"/>
        <w:rPr>
          <w:sz w:val="20"/>
          <w:szCs w:val="20"/>
          <w:color w:val="auto"/>
        </w:rPr>
      </w:pPr>
    </w:p>
    <w:p>
      <w:pPr>
        <w:ind w:right="560" w:firstLine="648"/>
        <w:spacing w:after="0" w:line="311" w:lineRule="auto"/>
        <w:rPr>
          <w:sz w:val="20"/>
          <w:szCs w:val="20"/>
          <w:color w:val="auto"/>
        </w:rPr>
      </w:pPr>
      <w:r>
        <w:rPr>
          <w:rFonts w:ascii="Arial" w:cs="Arial" w:eastAsia="Arial" w:hAnsi="Arial"/>
          <w:sz w:val="16"/>
          <w:szCs w:val="16"/>
          <w:color w:val="auto"/>
        </w:rPr>
        <w:t xml:space="preserve">On October 30, 2013, Xiao Feng Yang entered into a </w:t>
      </w:r>
      <w:r>
        <w:rPr>
          <w:rFonts w:ascii="Arial" w:cs="Arial" w:eastAsia="Arial" w:hAnsi="Arial"/>
          <w:sz w:val="16"/>
          <w:szCs w:val="16"/>
          <w:i w:val="1"/>
          <w:iCs w:val="1"/>
          <w:color w:val="auto"/>
        </w:rPr>
        <w:t>Share Purchase Agreement</w:t>
      </w:r>
      <w:r>
        <w:rPr>
          <w:rFonts w:ascii="Arial" w:cs="Arial" w:eastAsia="Arial" w:hAnsi="Arial"/>
          <w:sz w:val="16"/>
          <w:szCs w:val="16"/>
          <w:color w:val="auto"/>
        </w:rPr>
        <w:t xml:space="preserve"> with Yan Pan to purchase all of Yan Pan’s shares in CLPS Shanghai. Pursuant to the </w:t>
      </w:r>
      <w:r>
        <w:rPr>
          <w:rFonts w:ascii="Arial" w:cs="Arial" w:eastAsia="Arial" w:hAnsi="Arial"/>
          <w:sz w:val="16"/>
          <w:szCs w:val="16"/>
          <w:i w:val="1"/>
          <w:iCs w:val="1"/>
          <w:color w:val="auto"/>
        </w:rPr>
        <w:t>Share Purchase Agreement</w:t>
      </w:r>
      <w:r>
        <w:rPr>
          <w:rFonts w:ascii="Arial" w:cs="Arial" w:eastAsia="Arial" w:hAnsi="Arial"/>
          <w:sz w:val="16"/>
          <w:szCs w:val="16"/>
          <w:color w:val="auto"/>
        </w:rPr>
        <w:t>, Xiao Feng Yang paid RMB2,500,000 (approximately US$399,993) for 50% shares of CLPS Shanghai. After this share transfer, Xiao Feng Yang and Raymond Ming Hui Lin respectively held 50% shares of CLPS Shanghai.</w:t>
      </w:r>
    </w:p>
    <w:p>
      <w:pPr>
        <w:spacing w:after="0" w:line="149"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On June 24, 2014, CLPS Shanghai increased its registered capital to RMB30,000,000 (approximately US$4,759,004). Xiao Feng Yang and Raymond Ming Hui Lin respectively increased their subscribed capital to RMB15,000,000 (approximately US$2,379,502).</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April 23, 2015, Raymond Ming Hui Lin paid RMB6,163,560 (approximately US$994,523) for the capital contribution that he has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May 27, 2015, Raymond Ming Hui Lin paid RMB3,391,883 (approximately US$546,980) for the capital contribution that he has made.</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May 29, 2015, Xiao Feng Yang paid RMB4,400,000 (approximately US$709,906), plus with his cash dividends for the capital contribution that he has made.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5, 2015, Raymond Ming Hui Lin paid RMB3,894,060 (approximately US$627,103) for the capital contribution that he has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27, 2015, Raymond Ming Hui Lin paid RMB42,377 (approximately US$6,615) for the capital contribution that he has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21, 2015, Xiao Feng Yang paid RMB1,100,000 (approximately US$177,147) for the capital contribution that he has made.</w:t>
      </w:r>
    </w:p>
    <w:p>
      <w:pPr>
        <w:spacing w:after="0" w:line="225"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On August 14, 2015, Xiao Feng Yang paid RMB8,000,000 (approximately US$1,251,799), plus with his cash dividends for the capital contribution that he has made.</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On December 15, 2015, CLPS Shanghai changed its form into a PRC joint stock limited company. The share capital of CLPS Shanghai was RMB30,000,000, which was divided into 30,000,000 shares of RMB1.00 per share.</w:t>
      </w:r>
    </w:p>
    <w:p>
      <w:pPr>
        <w:spacing w:after="0" w:line="17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On May 26, 2016, three limited partnerships subscribed new shares issued by CLPS Shanghai and became shareholders of CLPS Shanghai. These three limited partnerships were: Shanghai Qinyao Investment Partnership (LLP), Shanghai Qinzhi Investment Partnership (LLP) and Shanghai Qinshang Software Technology Counsel Partnership (LLP). After this subscription, the shareholding structure of CLPS Shanghai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b w:val="1"/>
                <w:bCs w:val="1"/>
                <w:color w:val="auto"/>
              </w:rPr>
              <w:t>PLACE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42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REGISTRATION</w:t>
            </w: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r>
      <w:tr>
        <w:trPr>
          <w:trHeight w:val="216"/>
        </w:trPr>
        <w:tc>
          <w:tcPr>
            <w:tcW w:w="8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Raymond Ming Hui Lin</w:t>
            </w:r>
          </w:p>
        </w:tc>
        <w:tc>
          <w:tcPr>
            <w:tcW w:w="1600" w:type="dxa"/>
            <w:vAlign w:val="bottom"/>
            <w:gridSpan w:val="3"/>
          </w:tcPr>
          <w:p>
            <w:pPr>
              <w:ind w:left="100"/>
              <w:spacing w:after="0"/>
              <w:rPr>
                <w:sz w:val="20"/>
                <w:szCs w:val="20"/>
                <w:color w:val="auto"/>
              </w:rPr>
            </w:pPr>
            <w:r>
              <w:rPr>
                <w:rFonts w:ascii="Arial" w:cs="Arial" w:eastAsia="Arial" w:hAnsi="Arial"/>
                <w:sz w:val="18"/>
                <w:szCs w:val="18"/>
                <w:color w:val="auto"/>
              </w:rPr>
              <w:t>Hong Kong</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Shanghai Qinyao Investment Partnership (LLP)</w:t>
            </w:r>
          </w:p>
        </w:tc>
        <w:tc>
          <w:tcPr>
            <w:tcW w:w="1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PRC</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1,700,000</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Shanghai Qinzhi Investment Partnership (LLP)</w:t>
            </w:r>
          </w:p>
        </w:tc>
        <w:tc>
          <w:tcPr>
            <w:tcW w:w="1600" w:type="dxa"/>
            <w:vAlign w:val="bottom"/>
            <w:gridSpan w:val="3"/>
          </w:tcPr>
          <w:p>
            <w:pPr>
              <w:ind w:left="100"/>
              <w:spacing w:after="0"/>
              <w:rPr>
                <w:sz w:val="20"/>
                <w:szCs w:val="20"/>
                <w:color w:val="auto"/>
              </w:rPr>
            </w:pPr>
            <w:r>
              <w:rPr>
                <w:rFonts w:ascii="Arial" w:cs="Arial" w:eastAsia="Arial" w:hAnsi="Arial"/>
                <w:sz w:val="18"/>
                <w:szCs w:val="18"/>
                <w:color w:val="auto"/>
              </w:rPr>
              <w:t>PRC</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1,270,000</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Shanghai Qinshang Software Technology Counsel Partnership (LLP)</w:t>
            </w:r>
          </w:p>
        </w:tc>
        <w:tc>
          <w:tcPr>
            <w:tcW w:w="1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PRC</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33,870,000</w:t>
            </w:r>
          </w:p>
        </w:tc>
      </w:tr>
    </w:tbl>
    <w:p>
      <w:pPr>
        <w:spacing w:after="0" w:line="187"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In July 2017, three abovementioned limited partnerships transferred all of their equity interest in CLPS Shanghai to their individual partners according to the proportion of each partner’s capital contribution. Total 47 individuals became shareholders of CLPS Shanghai.</w:t>
      </w:r>
    </w:p>
    <w:p>
      <w:pPr>
        <w:spacing w:after="0" w:line="14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In August 2017, Qiner entered into three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three non-Chinese individual shareholders of CLPS Shanghai, including Raymond Ming Hui Lin. The share transfer price was RMB1.00 per share.</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In October 2017, all Chinese individual shareholders of CLPS Shanghai completed the procedures for foreign exchange registration of overseas investments in accordance with the </w:t>
      </w:r>
      <w:r>
        <w:rPr>
          <w:rFonts w:ascii="Arial" w:cs="Arial" w:eastAsia="Arial" w:hAnsi="Arial"/>
          <w:sz w:val="18"/>
          <w:szCs w:val="18"/>
          <w:i w:val="1"/>
          <w:iCs w:val="1"/>
          <w:color w:val="auto"/>
        </w:rPr>
        <w:t>Circular of the State Administration of Foreign Exchange on Issues concerning Foreign Exchange Administration over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Overseas Investment and Financing and Round-trip Investment by Domestic Residents via Special Purpose Vehicles </w:t>
      </w:r>
      <w:r>
        <w:rPr>
          <w:rFonts w:ascii="Arial" w:cs="Arial" w:eastAsia="Arial" w:hAnsi="Arial"/>
          <w:sz w:val="18"/>
          <w:szCs w:val="18"/>
          <w:color w:val="auto"/>
        </w:rPr>
        <w:t>(SAFE[2014]No.37). After these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registrations, CLPS QC (WOFE) entered into 46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all 46 Chinese individual shareholders. The share purchase price was RMB 1.00 per share.</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the date of this prospectus, CLPS Shanghai has four wholly-owned subsidiaries: CLPS Dalian, CLPS RC, CLPS AU and CLPS SG. Besides the four wholly-owned subsidiaries, CLPS Shanghai participated in the following investments:</w:t>
      </w:r>
    </w:p>
    <w:p>
      <w:pPr>
        <w:spacing w:after="0" w:line="166"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CLPS Beijing </w:t>
      </w:r>
      <w:r>
        <w:rPr>
          <w:rFonts w:ascii="Arial" w:cs="Arial" w:eastAsia="Arial" w:hAnsi="Arial"/>
          <w:sz w:val="18"/>
          <w:szCs w:val="18"/>
          <w:color w:val="auto"/>
        </w:rPr>
        <w:t>— CLPS Shanghai holds 70% of equity interest in CLPS Beijing, a PRC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Judge China </w:t>
      </w:r>
      <w:r>
        <w:rPr>
          <w:rFonts w:ascii="Arial" w:cs="Arial" w:eastAsia="Arial" w:hAnsi="Arial"/>
          <w:sz w:val="18"/>
          <w:szCs w:val="18"/>
          <w:color w:val="auto"/>
        </w:rPr>
        <w:t>— CLPS Shanghai holds a 60% of equity interest in Judge China, a PRC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CLPS Hong Kong </w:t>
      </w:r>
      <w:r>
        <w:rPr>
          <w:rFonts w:ascii="Arial" w:cs="Arial" w:eastAsia="Arial" w:hAnsi="Arial"/>
          <w:sz w:val="18"/>
          <w:szCs w:val="18"/>
          <w:color w:val="auto"/>
        </w:rPr>
        <w:t>— CLPS Shanghai holds 80% of equity interest in CLPS Hong Kong,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CLPS Shenzhen </w:t>
      </w:r>
      <w:r>
        <w:rPr>
          <w:rFonts w:ascii="Arial" w:cs="Arial" w:eastAsia="Arial" w:hAnsi="Arial"/>
          <w:sz w:val="18"/>
          <w:szCs w:val="18"/>
          <w:color w:val="auto"/>
        </w:rPr>
        <w:t>— CLPS Shanghai holds 70% of equity interest in CLPS Shenzhen, a PRC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Huanyu </w:t>
      </w:r>
      <w:r>
        <w:rPr>
          <w:rFonts w:ascii="Arial" w:cs="Arial" w:eastAsia="Arial" w:hAnsi="Arial"/>
          <w:sz w:val="18"/>
          <w:szCs w:val="18"/>
          <w:color w:val="auto"/>
        </w:rPr>
        <w:t>— CLPS Shanghai holds 30% of equity interest in Huanyu a PRC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CLPS Guangzhou </w:t>
      </w:r>
      <w:r>
        <w:rPr>
          <w:rFonts w:ascii="Arial" w:cs="Arial" w:eastAsia="Arial" w:hAnsi="Arial"/>
          <w:sz w:val="18"/>
          <w:szCs w:val="18"/>
          <w:color w:val="auto"/>
        </w:rPr>
        <w:t>— CLPS Shanghai holds 51% of equity interest in CLPS Guangzhou, a PRC limited liability company.</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58" w:name="page59"/>
    <w:bookmarkEnd w:id="5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China’s Banking Industry</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According to the annual report of the China Banking Regulatory Commission (CBRC) in 2016, by the end of 2016, China’s banking financial institutions had total assets of RMB 232.3 trillion (USD$34.3 trillion), an increase of RMB 33.0 trillion (USD$4.9 trillion), or 16.6%, when compared with the end of 2015, total liabilities equaled RMB 214.8 trillion (USD$31.7 trillion), an increase of RMB 30.7 trillion (USD$4.5 trillion), or 16.7% when compared with the end of 2015, total assets of banking financial institutions were RMB 27.6 trillion (USD$4.1 trillion) in 2003. Over the past 10 years, total assets of China’s banking financial institutions grew at a compound annual growth rate of nearly 20%. Notwithstanding the growth rates, however, the banking industry is facing many challenges, such as the competition with private capital, the participation of technological enterprises, changes in the financial market, the tightening of regulatory policies, and more diversified deposit substitute products, among others. Following the 2006 repeal of geographical and customer restrictions on foreign banks, the CBRC continued the policies to open China’s banking industry for entry by foreign competitors to promote healthy competition in the industry. As a result, foreign banks are now present in 69 cities of 27 provinces in China, with headquarters, branches, sub-branches and a complete service network with certain coverage and market depth, with more than 1000 outlets.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Software and Information Technology Service Industry in China</w:t>
      </w:r>
    </w:p>
    <w:p>
      <w:pPr>
        <w:spacing w:after="0" w:line="225"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China’s software industry is a high-tech industry has developed and grown rapidly in recent years. According to PRC’s Ministry of Industry and Information Technology (MIIT) data, the software industry revenues reached RMB 4.9 trillion (USD$723 billion) in 2016 – more than tripling the 2010 revenues of RMB 1.3 trillion (USD$192 billion). During the 12th five-year period, the industry’s compound annual growth rate reached 30.2%. Revenue attributed to the software industry as a percentage of total GDP increased steadily from 2.16% in 2007 to 6.75% in 2016. The revenue of China’s software industry from 2007 to 2016 is shown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128270</wp:posOffset>
            </wp:positionV>
            <wp:extent cx="6000750" cy="38919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00750"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Data Source: The Ministry of Industry and Information Technology, National Bureau of Statistics of China.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development of China’s software and IT service industry is generally characterized by:</w:t>
      </w:r>
    </w:p>
    <w:p>
      <w:pPr>
        <w:spacing w:after="0" w:line="225" w:lineRule="exact"/>
        <w:rPr>
          <w:sz w:val="20"/>
          <w:szCs w:val="20"/>
          <w:color w:val="auto"/>
        </w:rPr>
      </w:pPr>
    </w:p>
    <w:p>
      <w:pPr>
        <w:ind w:right="180" w:firstLine="656"/>
        <w:spacing w:after="0" w:line="255" w:lineRule="auto"/>
        <w:tabs>
          <w:tab w:leader="none" w:pos="116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The service-oriented focus </w:t>
      </w:r>
      <w:r>
        <w:rPr>
          <w:rFonts w:ascii="Arial" w:cs="Arial" w:eastAsia="Arial" w:hAnsi="Arial"/>
          <w:sz w:val="18"/>
          <w:szCs w:val="18"/>
          <w:color w:val="auto"/>
        </w:rPr>
        <w:t>– Over the past ten years, the software and IT industry in China has gradually become service-, network- and</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platform-oriented. During this period, the revenues from operation-related services, including online software operation services, platform operation services, infrastructure operation services and other IT services, increased by 16.1%; the revenues from e-commerce platform services, including online trading platform services, online transaction support services and other IT support services, increased by 17.7%; and the revenues from IT services, including IT consulting and design services, system integration, operation and maintenance services, data services, etc., increased by 16%. These growth rates are higher than the industry’s average growth rate.</w:t>
      </w:r>
    </w:p>
    <w:p>
      <w:pPr>
        <w:sectPr>
          <w:pgSz w:w="11900" w:h="16838" w:orient="portrait"/>
          <w:cols w:equalWidth="0" w:num="1">
            <w:col w:w="11200"/>
          </w:cols>
          <w:pgMar w:left="320" w:top="226" w:right="3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type w:val="continuous"/>
        </w:sectPr>
      </w:pPr>
    </w:p>
    <w:bookmarkStart w:id="59" w:name="page60"/>
    <w:bookmarkEnd w:id="5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56"/>
        <w:spacing w:after="0" w:line="286" w:lineRule="auto"/>
        <w:tabs>
          <w:tab w:leader="none" w:pos="1161"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Development on regional level </w:t>
      </w:r>
      <w:r>
        <w:rPr>
          <w:rFonts w:ascii="Arial" w:cs="Arial" w:eastAsia="Arial" w:hAnsi="Arial"/>
          <w:sz w:val="16"/>
          <w:szCs w:val="16"/>
          <w:color w:val="auto"/>
        </w:rPr>
        <w:t>- The software industry has also tended to grow and expand on the regional, rather than national/centralized</w:t>
      </w:r>
      <w:r>
        <w:rPr>
          <w:rFonts w:ascii="Arial" w:cs="Arial" w:eastAsia="Arial" w:hAnsi="Arial"/>
          <w:sz w:val="16"/>
          <w:szCs w:val="16"/>
          <w:i w:val="1"/>
          <w:iCs w:val="1"/>
          <w:color w:val="auto"/>
        </w:rPr>
        <w:t xml:space="preserve"> </w:t>
      </w:r>
      <w:r>
        <w:rPr>
          <w:rFonts w:ascii="Arial" w:cs="Arial" w:eastAsia="Arial" w:hAnsi="Arial"/>
          <w:sz w:val="16"/>
          <w:szCs w:val="16"/>
          <w:color w:val="auto"/>
        </w:rPr>
        <w:t>level. According to the MIIT statistics, in 2016, China’s Eastern region’s software industry revenues were RMB 3.8 trillion (USD$561 billion), or approximately 78.6% of the national software business revenues, while the country’s Central region’s revenues were RMB 230.3 billion (USD$34.0 billion). In 2016, 15 sub-provincial central cities in China realized software business revenues of RMB 2.7 trillion (USD$398 billion), accounting for</w:t>
      </w:r>
    </w:p>
    <w:p>
      <w:pPr>
        <w:spacing w:after="0" w:line="1" w:lineRule="exact"/>
        <w:rPr>
          <w:rFonts w:ascii="Arial" w:cs="Arial" w:eastAsia="Arial" w:hAnsi="Arial"/>
          <w:sz w:val="16"/>
          <w:szCs w:val="16"/>
          <w:color w:val="auto"/>
        </w:rPr>
      </w:pPr>
    </w:p>
    <w:p>
      <w:pPr>
        <w:ind w:right="140"/>
        <w:spacing w:after="0" w:line="260" w:lineRule="auto"/>
        <w:rPr>
          <w:rFonts w:ascii="Arial" w:cs="Arial" w:eastAsia="Arial" w:hAnsi="Arial"/>
          <w:sz w:val="16"/>
          <w:szCs w:val="16"/>
          <w:color w:val="auto"/>
        </w:rPr>
      </w:pPr>
      <w:r>
        <w:rPr>
          <w:rFonts w:ascii="Arial" w:cs="Arial" w:eastAsia="Arial" w:hAnsi="Arial"/>
          <w:sz w:val="18"/>
          <w:szCs w:val="18"/>
          <w:color w:val="auto"/>
        </w:rPr>
        <w:t>55.3% of national software business revenues, with year-on-year growth rate of 15.5%, which was 0.6% higher than the national average level. There are 15 cities with software business revenue of more than RMB 10.0 billion (USD$1.5 billion).</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Financial Institutions/Banking IT solutions refer to the application software development or project consulting services provided by professional IT solution providers, who use their own experience and technology to meet each bank’s individual needs in business development, strategic development and management efficiency. Banking IT solutions can be divided into four categories, aligned with the fundamental functions of the bank: channel banking IT solutions, business banking IT solutions, management banking IT solutions and other solutions, which are shown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108585</wp:posOffset>
            </wp:positionV>
            <wp:extent cx="4260215" cy="31286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60215"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Source: Wind Terminal</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2015, the overall banking IT solution market reached RMB 22.5 billion (USD$3.3 billion). Subsectors include: business solutions, which accounts for RMB 9.0 billion (USD$1.3 billion), or 39.9% of the total market; management solutions, which accounts for RMB 7.7 billion (USD$1.1 billion), or 34.10% of the total markets; channel solutions, which account for RMB 5.4 billion (USD$797 million), or 23.8% of the total market; and other solutions, which account for RMB 495 million (USD$73.0 million), or 2.2% of the total market (IDC China Banking IT Solution Market Forecast and Analysis 2016-2020). According to IDC data, China's integrated banking IT solution market increased from RMB 7.1 billion (USD$1.0 billion) to RMB 22.5 billion (USD$3.3 billion) from 2009 to 2015, growing at a compound annual growth rate of 21.2%. According to IDC forecast, China's integrated banking IT solution market is expected to increase to RMB 61.2 billion (USD$9.0 billion) in 2020, growing at compound annual growth rate of 22.1% compared with 2015. In 2015, these services still compared largest proportion in China's banking IT solution market, reaching 81.8%. We believe that the IDC research suggests that the current Chinese banking IT solution market is gradually transforming from a “software plus service” delivery model to a service-oriented delivery model. It is expected that services will account for a higher proportion of the entire banking industry's application solutions in 2020.</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China’s banking IT industry faces various challenges. In accordance with CRBC’s 2014 Guiding Opinions, China’s banking institutions are required to master core knowledge and key technologies of banking informatization by 2019. Beginning in 2015, each year banking financial institutions are required to increase the application rate of safe and controllable information technologies by 15%. The banking financial institutions are also required to set aside no less than 5% of the annual information budget to support their forward-looking, innovative and planning research on safe and controllable information systems, and help the organization to grasp the core IT knowledge and skills. In addition, as traditional banks combine their services with online banking, they require IT support from the front payment to background asset structure matching.</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With the participation of private banks, foreign banks, Internet banks and other non-traditional, non-state-owned banks, the competition in the banking industry has intensified and the banking IT service support is an important means for banks to enhance the user experience, differentiate themselves from the competition and save costs. In order to gain market share, new participants in the banking industry invest in what differentiates them from competition. Improved user experience, risk control and risk prevention, information upgrades, network infrastructure, and mobile terminal layout are complex projects, requiring significant capital investment. These factors contribute to the continuous growth of China’s banking IT investment, and promote the rapid development of China’s banking IT industry. IDC statistics suggested that the total IT investment of China’s banking industry reached RMB 83.1 billion (USD$12.3 billion) in 2015, increased by 11.9% when compared with RMB 74.3 billion (USD$11.0 billion) in 2014; in 2015, hardware investment accounted for 54.7% of the total investment; service investment accounted for 36.2%; and software investment accounted for 9.1% (data source: IDC). Large state-owned commercial banks accounted for the largest proportion of IT investment in 2015 (45.2%); the IT investment of city commercial banks and rural commercial banks, rural cooperative banks and other rural financial institutions accounted for 29.5% of the banking industry’s total IT investment; the IT investment of joint-stock commercial banks accounted for 21.1%, and the investment ratio of other banking financial institutions represented by foreign banks was 4.2% (data source: IDC).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Trends in the Banking IT Solutions Market</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 2015, China’s banking IT solution market scale reached RMB 22.5 billion (USD$3.3 billion), accounting for 59.4% of the total banking software and IT services. Banking IT solutions can be divided into four categories: business solutions, channel solutions, management solutions and other solutions.</w:t>
      </w:r>
    </w:p>
    <w:p>
      <w:pPr>
        <w:spacing w:after="0" w:line="180" w:lineRule="exact"/>
        <w:rPr>
          <w:sz w:val="20"/>
          <w:szCs w:val="20"/>
          <w:color w:val="auto"/>
        </w:rPr>
      </w:pPr>
    </w:p>
    <w:p>
      <w:pPr>
        <w:jc w:val="both"/>
        <w:ind w:right="180" w:firstLine="656"/>
        <w:spacing w:after="0" w:line="258" w:lineRule="auto"/>
        <w:tabs>
          <w:tab w:leader="none" w:pos="1161"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Business solutions </w:t>
      </w:r>
      <w:r>
        <w:rPr>
          <w:rFonts w:ascii="Arial" w:cs="Arial" w:eastAsia="Arial" w:hAnsi="Arial"/>
          <w:sz w:val="18"/>
          <w:szCs w:val="18"/>
          <w:color w:val="auto"/>
        </w:rPr>
        <w:t>include core business system, payment and settlement system, intermediary business system, credit operation system</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basic solutions for bank’s daily operation. IDC data indicated that the market scale of China’s banking business IT solutions reached RMB 9.0 billion (USD$1.3 billion) in 2015, and bank core business system was still the main investment target of business solutions. Business solution market not only has core business systems and credit loan systems and other traditional business, but also includes the intermediary business system market that has gained rapid development in recent years.</w:t>
      </w:r>
    </w:p>
    <w:p>
      <w:pPr>
        <w:spacing w:after="0" w:line="183" w:lineRule="exact"/>
        <w:rPr>
          <w:rFonts w:ascii="Arial" w:cs="Arial" w:eastAsia="Arial" w:hAnsi="Arial"/>
          <w:sz w:val="18"/>
          <w:szCs w:val="18"/>
          <w:color w:val="auto"/>
        </w:rPr>
      </w:pPr>
    </w:p>
    <w:p>
      <w:pPr>
        <w:ind w:right="40" w:firstLine="656"/>
        <w:spacing w:after="0" w:line="258" w:lineRule="auto"/>
        <w:tabs>
          <w:tab w:leader="none" w:pos="1161"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Channel solutions </w:t>
      </w:r>
      <w:r>
        <w:rPr>
          <w:rFonts w:ascii="Arial" w:cs="Arial" w:eastAsia="Arial" w:hAnsi="Arial"/>
          <w:sz w:val="18"/>
          <w:szCs w:val="18"/>
          <w:color w:val="auto"/>
        </w:rPr>
        <w:t>include channel management system, over-the-counter transaction system, bank card system, Internet banking system,</w:t>
      </w:r>
      <w:r>
        <w:rPr>
          <w:rFonts w:ascii="Arial" w:cs="Arial" w:eastAsia="Arial" w:hAnsi="Arial"/>
          <w:sz w:val="18"/>
          <w:szCs w:val="18"/>
          <w:b w:val="1"/>
          <w:bCs w:val="1"/>
          <w:color w:val="auto"/>
        </w:rPr>
        <w:t xml:space="preserve"> </w:t>
      </w:r>
      <w:r>
        <w:rPr>
          <w:rFonts w:ascii="Arial" w:cs="Arial" w:eastAsia="Arial" w:hAnsi="Arial"/>
          <w:sz w:val="18"/>
          <w:szCs w:val="18"/>
          <w:color w:val="auto"/>
        </w:rPr>
        <w:t>direct banking, telephone banking/call center system, mobile banking system, teller system, self-service banking system and other business channel-related solutions. The market scale of China’s banking channel IT solutions reached RMB 5.4 billion (USD$797 million) in 2015, demonstrating a large growth rate when compared with that of 2014. For instance, Bank of China’s revenues from e-channels has accounted for more than 70% of its total revenue, and some banks even reached 80%.</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right="60" w:firstLine="656"/>
        <w:spacing w:after="0" w:line="289" w:lineRule="auto"/>
        <w:tabs>
          <w:tab w:leader="none" w:pos="1161"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Management solutions </w:t>
      </w:r>
      <w:r>
        <w:rPr>
          <w:rFonts w:ascii="Arial" w:cs="Arial" w:eastAsia="Arial" w:hAnsi="Arial"/>
          <w:sz w:val="16"/>
          <w:szCs w:val="16"/>
          <w:color w:val="auto"/>
        </w:rPr>
        <w:t>include customer relationship management, business intelligence/decision support management, enterprise</w:t>
      </w:r>
      <w:r>
        <w:rPr>
          <w:rFonts w:ascii="Arial" w:cs="Arial" w:eastAsia="Arial" w:hAnsi="Arial"/>
          <w:sz w:val="16"/>
          <w:szCs w:val="16"/>
          <w:b w:val="1"/>
          <w:bCs w:val="1"/>
          <w:color w:val="auto"/>
        </w:rPr>
        <w:t xml:space="preserve"> </w:t>
      </w:r>
      <w:r>
        <w:rPr>
          <w:rFonts w:ascii="Arial" w:cs="Arial" w:eastAsia="Arial" w:hAnsi="Arial"/>
          <w:sz w:val="16"/>
          <w:szCs w:val="16"/>
          <w:color w:val="auto"/>
        </w:rPr>
        <w:t>resource management, risk management (including credit loan management), financial audit and auditing, and other solutions that are closely related to the backstage of banks. In 2015, the market scale of China’s banking management IT solutions reached RMB 7.7 billion (USD$1.1 billion), increased by</w:t>
      </w:r>
    </w:p>
    <w:p>
      <w:pPr>
        <w:spacing w:after="0" w:line="1" w:lineRule="exact"/>
        <w:rPr>
          <w:rFonts w:ascii="Arial" w:cs="Arial" w:eastAsia="Arial" w:hAnsi="Arial"/>
          <w:sz w:val="16"/>
          <w:szCs w:val="16"/>
          <w:color w:val="auto"/>
        </w:rPr>
      </w:pP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19.6% when compared with that of 2014. Business intelligence continued to dominate the management solution market, and is expected to show rapid growth in the coming years. We believe that innovation of banking products, strict regulatory requirements, and intensified competition in the industry will encourage banks to strengthen IT system construction. With fast changing financial products market and high-speed iteration of technologies, banks will increasingly rely on the diversified and professional services of IT service providers.</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current development of the PRC banking industry is characterized by the re-use of data, Internet and other business innovation, and increasing demands for information security. We perceive the following development trends in the industry:</w:t>
      </w:r>
    </w:p>
    <w:p>
      <w:pPr>
        <w:spacing w:after="0" w:line="166" w:lineRule="exact"/>
        <w:rPr>
          <w:sz w:val="20"/>
          <w:szCs w:val="20"/>
          <w:color w:val="auto"/>
        </w:rPr>
      </w:pPr>
    </w:p>
    <w:p>
      <w:pPr>
        <w:ind w:right="300" w:firstLine="656"/>
        <w:spacing w:after="0" w:line="266" w:lineRule="auto"/>
        <w:tabs>
          <w:tab w:leader="none" w:pos="1161"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Big data services </w:t>
      </w:r>
      <w:r>
        <w:rPr>
          <w:rFonts w:ascii="Arial" w:cs="Arial" w:eastAsia="Arial" w:hAnsi="Arial"/>
          <w:sz w:val="18"/>
          <w:szCs w:val="18"/>
          <w:color w:val="auto"/>
        </w:rPr>
        <w:t>- The banking industry has accumulated a large amount of transaction data in the operations process, representing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value for its owners. Big data applications can help banks make strategic decisions integrate resources, and make adjustments when industry changes take place so as to gain competitive advantages.</w:t>
      </w:r>
    </w:p>
    <w:p>
      <w:pPr>
        <w:spacing w:after="0" w:line="175" w:lineRule="exact"/>
        <w:rPr>
          <w:rFonts w:ascii="Arial" w:cs="Arial" w:eastAsia="Arial" w:hAnsi="Arial"/>
          <w:sz w:val="18"/>
          <w:szCs w:val="18"/>
          <w:color w:val="auto"/>
        </w:rPr>
      </w:pPr>
    </w:p>
    <w:p>
      <w:pPr>
        <w:ind w:right="140" w:firstLine="656"/>
        <w:spacing w:after="0" w:line="266" w:lineRule="auto"/>
        <w:tabs>
          <w:tab w:leader="none" w:pos="1161"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Innovation in channel solutions </w:t>
      </w:r>
      <w:r>
        <w:rPr>
          <w:rFonts w:ascii="Arial" w:cs="Arial" w:eastAsia="Arial" w:hAnsi="Arial"/>
          <w:sz w:val="18"/>
          <w:szCs w:val="18"/>
          <w:color w:val="auto"/>
        </w:rPr>
        <w:t>- Channel innovation has become the key to innovations for China’s commercial banks,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mobile banking. IDC research indicates that e-banking construction will be the key target of channel solution investment for China’s banking industry, especially small and medium-sized banks, in the next five years.</w:t>
      </w:r>
    </w:p>
    <w:p>
      <w:pPr>
        <w:spacing w:after="0" w:line="175" w:lineRule="exact"/>
        <w:rPr>
          <w:rFonts w:ascii="Arial" w:cs="Arial" w:eastAsia="Arial" w:hAnsi="Arial"/>
          <w:sz w:val="18"/>
          <w:szCs w:val="18"/>
          <w:color w:val="auto"/>
        </w:rPr>
      </w:pPr>
    </w:p>
    <w:p>
      <w:pPr>
        <w:ind w:right="40" w:firstLine="656"/>
        <w:spacing w:after="0" w:line="266" w:lineRule="auto"/>
        <w:tabs>
          <w:tab w:leader="none" w:pos="1161"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Risk prevention - </w:t>
      </w:r>
      <w:r>
        <w:rPr>
          <w:rFonts w:ascii="Arial" w:cs="Arial" w:eastAsia="Arial" w:hAnsi="Arial"/>
          <w:sz w:val="18"/>
          <w:szCs w:val="18"/>
          <w:color w:val="auto"/>
        </w:rPr>
        <w:t>China’s commercial banks are required to establish a comprehensive risk management framework under the new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supervision, thus making risk management a top priority for the industry. China’s IT solution providers will continue to explore in this field to meet the increasingly strict and comprehensive risk management requirements of financial industry.</w:t>
      </w:r>
    </w:p>
    <w:p>
      <w:pPr>
        <w:spacing w:after="0" w:line="175" w:lineRule="exact"/>
        <w:rPr>
          <w:rFonts w:ascii="Arial" w:cs="Arial" w:eastAsia="Arial" w:hAnsi="Arial"/>
          <w:sz w:val="18"/>
          <w:szCs w:val="18"/>
          <w:color w:val="auto"/>
        </w:rPr>
      </w:pPr>
    </w:p>
    <w:p>
      <w:pPr>
        <w:ind w:right="100" w:firstLine="656"/>
        <w:spacing w:after="0" w:line="282" w:lineRule="auto"/>
        <w:tabs>
          <w:tab w:leader="none" w:pos="1161"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Specialized services – </w:t>
      </w:r>
      <w:r>
        <w:rPr>
          <w:rFonts w:ascii="Arial" w:cs="Arial" w:eastAsia="Arial" w:hAnsi="Arial"/>
          <w:sz w:val="18"/>
          <w:szCs w:val="18"/>
          <w:color w:val="auto"/>
        </w:rPr>
        <w:t>Financial service providers strive to deepen their understanding of bank users’ individual needs. As an individual’s</w:t>
      </w:r>
      <w:r>
        <w:rPr>
          <w:rFonts w:ascii="Arial" w:cs="Arial" w:eastAsia="Arial" w:hAnsi="Arial"/>
          <w:sz w:val="18"/>
          <w:szCs w:val="18"/>
          <w:b w:val="1"/>
          <w:bCs w:val="1"/>
          <w:color w:val="auto"/>
        </w:rPr>
        <w:t xml:space="preserve"> </w:t>
      </w:r>
      <w:r>
        <w:rPr>
          <w:rFonts w:ascii="Arial" w:cs="Arial" w:eastAsia="Arial" w:hAnsi="Arial"/>
          <w:sz w:val="18"/>
          <w:szCs w:val="18"/>
          <w:color w:val="auto"/>
        </w:rPr>
        <w:t>needs change, the banks tend to purchase more specialized services and IT solutions.</w:t>
      </w:r>
    </w:p>
    <w:p>
      <w:pPr>
        <w:spacing w:after="0" w:line="161" w:lineRule="exact"/>
        <w:rPr>
          <w:rFonts w:ascii="Arial" w:cs="Arial" w:eastAsia="Arial" w:hAnsi="Arial"/>
          <w:sz w:val="18"/>
          <w:szCs w:val="18"/>
          <w:color w:val="auto"/>
        </w:rPr>
      </w:pPr>
    </w:p>
    <w:p>
      <w:pPr>
        <w:ind w:right="200" w:firstLine="656"/>
        <w:spacing w:after="0" w:line="281" w:lineRule="auto"/>
        <w:tabs>
          <w:tab w:leader="none" w:pos="1161"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Internationalization of business - </w:t>
      </w:r>
      <w:r>
        <w:rPr>
          <w:rFonts w:ascii="Arial" w:cs="Arial" w:eastAsia="Arial" w:hAnsi="Arial"/>
          <w:sz w:val="17"/>
          <w:szCs w:val="17"/>
          <w:color w:val="auto"/>
        </w:rPr>
        <w:t>With the reform and opening up of China’s financial market, more foreign banks and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institutions have settled in China. Foreign financial institutions tend to outsource a large number of non-core IT services. As a result, Chinese IT solution providers have the opportunity to pursue the internationally outsourced IT business. Those domestic services providers with experience of servicing international business, with foreign language skills and abundance of IT human capital are likely to succeed in this market.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focus is in the following key operational areas: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Services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Credit Card services</w:t>
      </w:r>
    </w:p>
    <w:p>
      <w:pPr>
        <w:spacing w:after="0" w:line="225" w:lineRule="exact"/>
        <w:rPr>
          <w:sz w:val="20"/>
          <w:szCs w:val="20"/>
          <w:color w:val="auto"/>
        </w:rPr>
      </w:pPr>
    </w:p>
    <w:p>
      <w:pPr>
        <w:ind w:right="220" w:firstLine="630"/>
        <w:spacing w:after="0" w:line="259" w:lineRule="auto"/>
        <w:rPr>
          <w:sz w:val="20"/>
          <w:szCs w:val="20"/>
          <w:color w:val="auto"/>
        </w:rPr>
      </w:pPr>
      <w:r>
        <w:rPr>
          <w:rFonts w:ascii="Arial" w:cs="Arial" w:eastAsia="Arial" w:hAnsi="Arial"/>
          <w:sz w:val="18"/>
          <w:szCs w:val="18"/>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w:t>
      </w:r>
    </w:p>
    <w:p>
      <w:pPr>
        <w:spacing w:after="0" w:line="187" w:lineRule="exact"/>
        <w:rPr>
          <w:sz w:val="20"/>
          <w:szCs w:val="20"/>
          <w:color w:val="auto"/>
        </w:rPr>
      </w:pPr>
    </w:p>
    <w:p>
      <w:pPr>
        <w:ind w:right="240" w:firstLine="630"/>
        <w:spacing w:after="0" w:line="259" w:lineRule="auto"/>
        <w:rPr>
          <w:sz w:val="20"/>
          <w:szCs w:val="20"/>
          <w:color w:val="auto"/>
        </w:rPr>
      </w:pPr>
      <w:r>
        <w:rPr>
          <w:rFonts w:ascii="Arial" w:cs="Arial" w:eastAsia="Arial" w:hAnsi="Arial"/>
          <w:sz w:val="18"/>
          <w:szCs w:val="18"/>
          <w:color w:val="auto"/>
        </w:rPr>
        <w:t>We offer more than ten years of experience in IT consulting services across key credit card business areas, including credit card applications, account setup, authorization and activation, settlement, collecting, promotion, point system, anti-fraud, statement, reporting and risk management. In the past years, we have successfully helped our China and global clients manage their credit card IT systems such as VisionPLUS. We offer expertise in customizing these credit card tools and platforms to suit a variety of business models.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30"/>
        <w:spacing w:after="0" w:line="259" w:lineRule="auto"/>
        <w:rPr>
          <w:sz w:val="20"/>
          <w:szCs w:val="20"/>
          <w:color w:val="auto"/>
        </w:rPr>
      </w:pPr>
      <w:r>
        <w:rPr>
          <w:rFonts w:ascii="Arial" w:cs="Arial" w:eastAsia="Arial" w:hAnsi="Arial"/>
          <w:sz w:val="18"/>
          <w:szCs w:val="18"/>
          <w:color w:val="auto"/>
        </w:rPr>
        <w:t>Our highly experienced team possesses the requisite expertise in providing the credit card services. The IT consulting professional teams provides the credit card services from Shanghai, Dalian and Hong Kong. We offer this experience and expertise in various currencies, across different geographical regions, including, but not limited to China, Singapore, UK, Philippine, Indonesia, Latin America. In addition, we have developed a series of credit card solutions in order to better meet the needs of our clients.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Core Banking services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systems, including business analysis, system design, developing,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mobile banking. We were recently engaged by a US-based client to transform its centralized core banking system to a service-oriented architecture and integrate it into a global unified version, which successfully satisfied its business needs in various markets. In addition, we engage the cloud-native solution of core banking system with micro services architecture, which can service both Chinese and global banks to meet the ever-changing demands of the market with high flexibility, high scalability, high reliability and multichannel connectivity.</w:t>
      </w:r>
    </w:p>
    <w:p>
      <w:pPr>
        <w:spacing w:after="0" w:line="166"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For the years ended June 30, 2017 and 2016, revenues from our IT consulting service were approximately USD$29.1 million and USD$28.0 million, respectively. Revenues from our IT consulting service accounted for 92.9% and 96.5% of our total revenues in fiscal 2017 and 2016,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 Services</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are also an IT solution services provider in China and globally. We offer our clients over a decade of experience proving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tour ability to offer our clients creative solution design, especially in the areas of new information technology such as block chain.</w:t>
      </w:r>
    </w:p>
    <w:p>
      <w:pPr>
        <w:spacing w:after="0" w:line="171" w:lineRule="exact"/>
        <w:rPr>
          <w:sz w:val="20"/>
          <w:szCs w:val="20"/>
          <w:color w:val="auto"/>
        </w:rPr>
      </w:pPr>
    </w:p>
    <w:p>
      <w:pPr>
        <w:ind w:right="20" w:firstLine="630"/>
        <w:spacing w:after="0" w:line="257" w:lineRule="auto"/>
        <w:rPr>
          <w:sz w:val="20"/>
          <w:szCs w:val="20"/>
          <w:color w:val="auto"/>
        </w:rPr>
      </w:pPr>
      <w:r>
        <w:rPr>
          <w:rFonts w:ascii="Arial" w:cs="Arial" w:eastAsia="Arial" w:hAnsi="Arial"/>
          <w:sz w:val="18"/>
          <w:szCs w:val="18"/>
          <w:color w:val="auto"/>
        </w:rPr>
        <w:t>We offer software project development and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testing quality and efficiency testing, and (iii) providing onshore and offshore IT solution services to ensure turn-key delivery.</w:t>
      </w:r>
    </w:p>
    <w:p>
      <w:pPr>
        <w:spacing w:after="0" w:line="188" w:lineRule="exact"/>
        <w:rPr>
          <w:sz w:val="20"/>
          <w:szCs w:val="20"/>
          <w:color w:val="auto"/>
        </w:rPr>
      </w:pPr>
    </w:p>
    <w:p>
      <w:pPr>
        <w:ind w:right="60" w:firstLine="630"/>
        <w:spacing w:after="0" w:line="257" w:lineRule="auto"/>
        <w:rPr>
          <w:sz w:val="20"/>
          <w:szCs w:val="20"/>
          <w:color w:val="auto"/>
        </w:rPr>
      </w:pPr>
      <w:r>
        <w:rPr>
          <w:rFonts w:ascii="Arial" w:cs="Arial" w:eastAsia="Arial" w:hAnsi="Arial"/>
          <w:sz w:val="18"/>
          <w:szCs w:val="18"/>
          <w:color w:val="auto"/>
        </w:rPr>
        <w:t>We have been working with some multiple Chinese domestic banks to assist them to leverage block chain technology. We have developed a loyalty reward solution built on block chain technology, which allows domestic banks to track and trace transactions in real-time. Through the use of this technology, the banks offer their consumers the ability to combine loyalty points from various promotions and redeem them in spending. We will continue to develop our new IT solutions to meet the evolving needs of our Chinese and global financial institutional clientele drawing upon the forward-looking research of our R&amp;D center.</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the years ended June 30, 2017 and 2016, revenues from our customized IT solution services were approximately USD$1.8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USD$0.9 million, respectively. Revenues from our customized IT solution service accounted for 5.9% and 3.2% of our total revenues in fiscal years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2016, respectively.</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Services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i w:val="1"/>
          <w:iCs w:val="1"/>
          <w:color w:val="auto"/>
        </w:rPr>
        <w:t xml:space="preserve">CLPS Virtual Banking Platform (CLB) – </w:t>
      </w:r>
      <w:r>
        <w:rPr>
          <w:rFonts w:ascii="Arial" w:cs="Arial" w:eastAsia="Arial" w:hAnsi="Arial"/>
          <w:sz w:val="16"/>
          <w:szCs w:val="16"/>
          <w:color w:val="auto"/>
        </w:rPr>
        <w:t>CLB is a unique and successful talent training IT platform owned by CLPS. For the past ten years,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focusing on recruiting, training, developing and retaining human capital and talent. We have been developing and continuously upgrading our CLB to train specialized financial IT personnel in order to differentiate ourselves from general IT developers. CLB is one of the crucial components of our Talent Creation Program (“TCP”). It contains a full set of banking application modules covering areas such as core banking, credit cards and wealth management and incorporating cutting-edge technologies, such as JAVA, Android &amp; iOS, HTML, block chain, cloud computing and big data.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developed and intend to implement the following strategies to expand and grow the size of our Company:</w:t>
      </w:r>
    </w:p>
    <w:p>
      <w:pPr>
        <w:spacing w:after="0" w:line="225" w:lineRule="exact"/>
        <w:rPr>
          <w:sz w:val="20"/>
          <w:szCs w:val="20"/>
          <w:color w:val="auto"/>
        </w:rPr>
      </w:pPr>
    </w:p>
    <w:p>
      <w:pPr>
        <w:ind w:firstLine="656"/>
        <w:spacing w:after="0" w:line="273" w:lineRule="auto"/>
        <w:tabs>
          <w:tab w:leader="none" w:pos="1116"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Grow revenue with existing and new clients </w:t>
      </w:r>
      <w:r>
        <w:rPr>
          <w:rFonts w:ascii="Arial" w:cs="Arial" w:eastAsia="Arial" w:hAnsi="Arial"/>
          <w:sz w:val="17"/>
          <w:szCs w:val="17"/>
          <w:color w:val="auto"/>
        </w:rPr>
        <w:t>- We intend to pursue additional revenue opportunities from existing Chinese and global clients,</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China and global markets to benefit both groups of clients.</w:t>
      </w:r>
    </w:p>
    <w:p>
      <w:pPr>
        <w:spacing w:after="0" w:line="177" w:lineRule="exact"/>
        <w:rPr>
          <w:rFonts w:ascii="Arial" w:cs="Arial" w:eastAsia="Arial" w:hAnsi="Arial"/>
          <w:sz w:val="17"/>
          <w:szCs w:val="17"/>
          <w:color w:val="auto"/>
        </w:rPr>
      </w:pPr>
    </w:p>
    <w:p>
      <w:pPr>
        <w:ind w:right="100" w:firstLine="656"/>
        <w:spacing w:after="0" w:line="275" w:lineRule="auto"/>
        <w:tabs>
          <w:tab w:leader="none" w:pos="1116"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invest in research and development, deepen domain expertise and develop specific solutions for target industry verticals </w:t>
      </w:r>
      <w:r>
        <w:rPr>
          <w:rFonts w:ascii="Arial" w:cs="Arial" w:eastAsia="Arial" w:hAnsi="Arial"/>
          <w:sz w:val="17"/>
          <w:szCs w:val="17"/>
          <w:color w:val="auto"/>
        </w:rPr>
        <w:t>- We</w:t>
      </w:r>
      <w:r>
        <w:rPr>
          <w:rFonts w:ascii="Arial" w:cs="Arial" w:eastAsia="Arial" w:hAnsi="Arial"/>
          <w:sz w:val="17"/>
          <w:szCs w:val="17"/>
          <w:i w:val="1"/>
          <w:iCs w:val="1"/>
          <w:color w:val="auto"/>
        </w:rPr>
        <w:t xml:space="preserve"> </w:t>
      </w:r>
      <w:r>
        <w:rPr>
          <w:rFonts w:ascii="Arial" w:cs="Arial" w:eastAsia="Arial" w:hAnsi="Arial"/>
          <w:sz w:val="17"/>
          <w:szCs w:val="17"/>
          <w:color w:val="auto"/>
        </w:rPr>
        <w:t>will continue to enhance our domain 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76" w:lineRule="exact"/>
        <w:rPr>
          <w:rFonts w:ascii="Arial" w:cs="Arial" w:eastAsia="Arial" w:hAnsi="Arial"/>
          <w:sz w:val="17"/>
          <w:szCs w:val="17"/>
          <w:color w:val="auto"/>
        </w:rPr>
      </w:pPr>
    </w:p>
    <w:p>
      <w:pPr>
        <w:ind w:right="20" w:firstLine="656"/>
        <w:spacing w:after="0" w:line="269" w:lineRule="auto"/>
        <w:tabs>
          <w:tab w:leader="none" w:pos="1116"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invest in training and development of our world-class human capital base </w:t>
      </w:r>
      <w:r>
        <w:rPr>
          <w:rFonts w:ascii="Arial" w:cs="Arial" w:eastAsia="Arial" w:hAnsi="Arial"/>
          <w:sz w:val="17"/>
          <w:szCs w:val="17"/>
          <w:color w:val="auto"/>
        </w:rPr>
        <w:t>- We place a high priority on attracting, training,</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and retaining our human capital base to be increasingly competitive. We will continue to build our professional talent pool through our Talent Creation Program (“TCP”) and Talent Development Program (“TDP”) to ensure the sustainable supply of financial IT talent resources. These programs are the result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college,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The strength of our TCP/TDP program adds to our recognition in the industry by competitors and customers alike.</w:t>
      </w:r>
    </w:p>
    <w:p>
      <w:pPr>
        <w:spacing w:after="0" w:line="181" w:lineRule="exact"/>
        <w:rPr>
          <w:rFonts w:ascii="Arial" w:cs="Arial" w:eastAsia="Arial" w:hAnsi="Arial"/>
          <w:sz w:val="17"/>
          <w:szCs w:val="17"/>
          <w:color w:val="auto"/>
        </w:rPr>
      </w:pPr>
    </w:p>
    <w:p>
      <w:pPr>
        <w:ind w:right="20" w:firstLine="656"/>
        <w:spacing w:after="0" w:line="254" w:lineRule="auto"/>
        <w:tabs>
          <w:tab w:leader="none" w:pos="1116"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Drive efficiencies through ongoing improvements in operational excellence </w:t>
      </w:r>
      <w:r>
        <w:rPr>
          <w:rFonts w:ascii="Arial" w:cs="Arial" w:eastAsia="Arial" w:hAnsi="Arial"/>
          <w:sz w:val="18"/>
          <w:szCs w:val="18"/>
          <w:color w:val="auto"/>
        </w:rPr>
        <w:t>- We strive to gain significant operating efficiencies by</w:t>
      </w:r>
      <w:r>
        <w:rPr>
          <w:rFonts w:ascii="Arial" w:cs="Arial" w:eastAsia="Arial" w:hAnsi="Arial"/>
          <w:sz w:val="18"/>
          <w:szCs w:val="18"/>
          <w:i w:val="1"/>
          <w:iCs w:val="1"/>
          <w:color w:val="auto"/>
        </w:rPr>
        <w:t xml:space="preserve"> </w:t>
      </w:r>
      <w:r>
        <w:rPr>
          <w:rFonts w:ascii="Arial" w:cs="Arial" w:eastAsia="Arial" w:hAnsi="Arial"/>
          <w:sz w:val="18"/>
          <w:szCs w:val="18"/>
          <w:color w:val="auto"/>
        </w:rPr>
        <w:t>leveraging 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94" w:lineRule="exact"/>
        <w:rPr>
          <w:rFonts w:ascii="Arial" w:cs="Arial" w:eastAsia="Arial" w:hAnsi="Arial"/>
          <w:sz w:val="18"/>
          <w:szCs w:val="18"/>
          <w:color w:val="auto"/>
        </w:rPr>
      </w:pPr>
    </w:p>
    <w:p>
      <w:pPr>
        <w:ind w:right="40" w:firstLine="656"/>
        <w:spacing w:after="0" w:line="257" w:lineRule="auto"/>
        <w:tabs>
          <w:tab w:leader="none" w:pos="1116"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Capture new growth opportunities through strategic alliances and acquisitions </w:t>
      </w:r>
      <w:r>
        <w:rPr>
          <w:rFonts w:ascii="Arial" w:cs="Arial" w:eastAsia="Arial" w:hAnsi="Arial"/>
          <w:sz w:val="18"/>
          <w:szCs w:val="18"/>
          <w:color w:val="auto"/>
        </w:rPr>
        <w:t>- We will continue to pursue selective alliances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strengths differentiate us from our competitors will continue contributing to our growth and success.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have established employee loyalty through the core engine of TCP and TDP programs, integral parts of our supply chain that supports our service lines. Since 2008, our talent training services have offered training courses in five areas, including domain knowledge, technology skills, data security and management compliance training, soft skills for personnel, and all levels of English language skills including verbal and writing, especially for those who need to communicate with global customers directly on daily basis. We believe the depth and comprehensive nature of our talent training services is one of the key features that distinguishes us from our competition. For the past more than ten years, the Company has been recruiting, training, developing and retaining human capital and talent. We have been developing and upgrading our CLPS Virtual Banking Platform (CLB) to train specialized financial IT professionals. CLB is one of the crucial components of our Talent Creation Program. It contains a full set of banking application modules covering areas such as core banking, credit cards, wealth management and incorporating the cutting-edge technologies, such as JAVA, Android &amp; iOS, HTML and big data. During their Junior or Senior year of university year, the students in this program learn to implement the concepts covered by our TCP platform along with their other computer science theory and coursework. Later, the students join us as interns and continue improving their software development skills eventually becoming members of our development teams. As a result, the program graduates have an equivalent of nine months’ worth of “on the job” training and experience. In 2017, we collaborated with Global Business College of Australia (GCBA) to set up a Financial Innovation Center (FIC) on its campus to offer our TCP training program to GCBA students with a specific interest in the banking industry.</w:t>
      </w:r>
    </w:p>
    <w:p>
      <w:pPr>
        <w:spacing w:after="0" w:line="17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TDP program is a continuous internal training course for skilled-professionals in our company. In order to better service our clients, the TDP program to increases our professional skillsets and business knowledge of their respective domain and technical field. We have joined our efforts with Fudan University to support our senior staff in completing their master’s degrees in their respective fields. Since 2005, through our TCP and TDP programs, we have trained and retained a large pool of specialized personnel and skilled in serving financial-related industry clients.</w:t>
      </w:r>
    </w:p>
    <w:p>
      <w:pPr>
        <w:spacing w:after="0" w:line="17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Benefiting from our employee loyalty programs, we have established an eco-system of loyal client relationships. Employee satisfaction and enhanced career development has resulted in better service for our clients. Client satisfaction in turn motives our employee to continue to provide superior service to our clients. In addition to employee and client satisfaction, our Company’s strengths include the following:</w:t>
      </w:r>
    </w:p>
    <w:p>
      <w:pPr>
        <w:spacing w:after="0" w:line="16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deep sector specialization, particularly, in the banking and insurance industries;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deep domain knowledge and solutions in financial industry verticals;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strategic engagements with financial blue-chip clients most of whom have been with us since our inception;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comprehensive service offerings including financial IT solutions &amp; consulting as well as other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experienced senior management team with proven track record of success.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65" w:name="page66"/>
    <w:bookmarkEnd w:id="6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clients include large corporations headquartered in China and globally which include, among others:</w:t>
      </w:r>
    </w:p>
    <w:p>
      <w:pPr>
        <w:spacing w:after="0" w:line="225" w:lineRule="exact"/>
        <w:rPr>
          <w:sz w:val="20"/>
          <w:szCs w:val="20"/>
          <w:color w:val="auto"/>
        </w:rPr>
      </w:pPr>
    </w:p>
    <w:p>
      <w:pPr>
        <w:ind w:right="500" w:firstLine="656"/>
        <w:spacing w:after="0" w:line="286" w:lineRule="auto"/>
        <w:tabs>
          <w:tab w:leader="none" w:pos="1161"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Banking or their China-based IT centers </w:t>
      </w:r>
      <w:r>
        <w:rPr>
          <w:rFonts w:ascii="Arial" w:cs="Arial" w:eastAsia="Arial" w:hAnsi="Arial"/>
          <w:sz w:val="17"/>
          <w:szCs w:val="17"/>
          <w:color w:val="auto"/>
        </w:rPr>
        <w:t>- Citibank, HSBC, Standard Chartered Bank, SPD (Shanghai Pudong Development Bank),</w:t>
      </w:r>
      <w:r>
        <w:rPr>
          <w:rFonts w:ascii="Arial" w:cs="Arial" w:eastAsia="Arial" w:hAnsi="Arial"/>
          <w:sz w:val="17"/>
          <w:szCs w:val="17"/>
          <w:i w:val="1"/>
          <w:iCs w:val="1"/>
          <w:color w:val="auto"/>
        </w:rPr>
        <w:t xml:space="preserve"> </w:t>
      </w:r>
      <w:r>
        <w:rPr>
          <w:rFonts w:ascii="Arial" w:cs="Arial" w:eastAsia="Arial" w:hAnsi="Arial"/>
          <w:sz w:val="17"/>
          <w:szCs w:val="17"/>
          <w:color w:val="auto"/>
        </w:rPr>
        <w:t>Shanghai Silicon Valley Bank (SSVB), ANZ Bank, Commonwealth Bank of Australia, Morgan Stanley, Commerzbank, Bank of China, Bank of Communications, Ping An Bank, Industrial Bank, Onebank (Internet Bank), and MYbank (a division of Ant Financial).</w:t>
      </w:r>
    </w:p>
    <w:p>
      <w:pPr>
        <w:spacing w:after="0" w:line="192" w:lineRule="exact"/>
        <w:rPr>
          <w:rFonts w:ascii="Arial" w:cs="Arial" w:eastAsia="Arial" w:hAnsi="Arial"/>
          <w:sz w:val="17"/>
          <w:szCs w:val="17"/>
          <w:color w:val="auto"/>
        </w:rPr>
      </w:pPr>
    </w:p>
    <w:p>
      <w:pPr>
        <w:ind w:right="140" w:firstLine="656"/>
        <w:spacing w:after="0" w:line="277" w:lineRule="auto"/>
        <w:tabs>
          <w:tab w:leader="none" w:pos="116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Financial Industry </w:t>
      </w:r>
      <w:r>
        <w:rPr>
          <w:rFonts w:ascii="Arial" w:cs="Arial" w:eastAsia="Arial" w:hAnsi="Arial"/>
          <w:sz w:val="18"/>
          <w:szCs w:val="18"/>
          <w:color w:val="auto"/>
        </w:rPr>
        <w:t>- AIA, AnBang Insurance group, Principal Trust Company, China Life Insurance, Fidelity, Paypal, FirstData, Haitong</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Orient Securities, China Finance Corporation, and China Universal Asset Management Company.</w:t>
      </w:r>
    </w:p>
    <w:p>
      <w:pPr>
        <w:spacing w:after="0" w:line="197" w:lineRule="exact"/>
        <w:rPr>
          <w:rFonts w:ascii="Arial" w:cs="Arial" w:eastAsia="Arial" w:hAnsi="Arial"/>
          <w:sz w:val="18"/>
          <w:szCs w:val="18"/>
          <w:color w:val="auto"/>
        </w:rPr>
      </w:pPr>
    </w:p>
    <w:p>
      <w:pPr>
        <w:ind w:firstLine="656"/>
        <w:spacing w:after="0" w:line="277" w:lineRule="auto"/>
        <w:tabs>
          <w:tab w:leader="none" w:pos="1116"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Technology Customers </w:t>
      </w:r>
      <w:r>
        <w:rPr>
          <w:rFonts w:ascii="Arial" w:cs="Arial" w:eastAsia="Arial" w:hAnsi="Arial"/>
          <w:sz w:val="18"/>
          <w:szCs w:val="18"/>
          <w:color w:val="auto"/>
        </w:rPr>
        <w:t>- eBay, Fair Isaac Information Technology (FICO), CRIF Information Technology, Experian, Sony, Novartis, AGFA</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Goldpac, Tieto, Capgemini, Accenture, and Neusoft.</w:t>
      </w:r>
    </w:p>
    <w:p>
      <w:pPr>
        <w:spacing w:after="0" w:line="170"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By serving both Chinese and global clients on a common platform, we are able to leverage the shared resources, management, industry expertise and technology know-how to attract new business and remain cost competitive.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We have invested in building a broad sales force and marketing team. As of June 30, 2017, our business development teams consisted of 22 full-time sales and marketing personnel, including 17 sales managers, each of whom is responsible for a designated sales region or client account. We plan to enhance our sales efforts by recruiting more sales personnel both domestically and overseas.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[_]; internationally, our competitors include Wipro, TCS Consultancy,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provides us with a competitive advantage in serving our clients.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212121"/>
        </w:rPr>
        <w:t>R&amp;D is an integral part of our continued growth. In order to better service our Chinese and global client’s needs, we focus on exploring and researching new and advanced technologies and how to best integrate them into our existing and new solutions.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212121"/>
        </w:rPr>
        <w:t>Currently, we are working on applying new and advanced technologies and tools to enhance our project delivery capability and efficiency. For instance, we applied the DevOps methodology and tools in our project delivery process and platform. This methodology has greatly enhanced the development, operational efficiency and project quality. We focus on block chain, big data and cloud native applications. We have developed a loyalty reward solution based on a block 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solution offerings by improving existing solutions and inventing new solutions, which drive new revenue opportunities and improve our core competencies.</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6" w:right="41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believe resource management and planning is critically important to supporting our growth, and we are committed to effectively recruiting, training, developing and retaining our human capital. Our total number of employees has grown from 1,055 employees in fiscal 2016 to 1,487 employees as of November 30, 2017. Approximately 70.3% of our personnel are dedicated to serving our foreign financial institution clients. Such personnel maintain up to date financial domain knowledge, technical development and testing skills in Java, .Net, C, C++, testing tools, Android or IOS app, Block Chain, Big Data, Cloud compute and Mainframe COBOL.</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None of our employees are represented by a labor union or collective bargaining agreements. We consider our employee relations to be good. We believe that attracting and retaining highly experienced associates and sales and marketing personnel is a key to our success. In addition, we believe that we maintain a good working relationship with our employees and we have not experienced any significant labor disputes or any difficulty in recruiting staff for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PRC has domestic laws for the protection of rights in copyrights, trademarks and trade secrets. The PRC is also a signatory to all of the world’s major intellectual property conventions, including:</w:t>
      </w:r>
    </w:p>
    <w:p>
      <w:pPr>
        <w:spacing w:after="0" w:line="170"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Convention establishing the World Intellectual Property Organization (June 3, 1980);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Paris Convention for the Protection of Industrial Property (March 19, 1985);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Patent Cooperation Treaty (January 1, 1994);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Agreement on Trade-Related Aspects of Intellectual Property Rights (November 11, 2001).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PRC Trademark Law, adopted in 1982 and revised in 2013, with its implementation rules adopted in 2014, protects registered trademarks. The Trademark Office of the State Administration of Industry and Commerce of the PRC, handles trademark registrations and grants trademark registrations for a term of ten years.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intellectual property rights are important to our business. We rely on a combination of trade secrets, confidentiality procedures and contractual provisions to protect our intellectual property. We also rely on and protect unpatented proprietary expertise, recipes and formulations, continuing innovation and other trade secrets to develop and maintain our competitive position. We enter into confidentiality agreements with most of our employees and consultants, and control access to and distribution of our documentation and other licensed information. Despite these precautions, it may be possible for a third party to copy or otherwise obtain and use our technology without authorization, or to develop similar technology independently. Since the Chinese legal system in general, and the intellectual property regime in particular, is relatively weak, it is often difficult to enforce intellectual property rights in China. Policing unauthorized use of our technology is difficult and the steps we take may not prevent misappropriation or infringement of our proprietary technology. In addition, litigation may be necessary in the future to enforce our intellectual property rights, to protect our trade secrets or to determine the validity and scope of the proprietary rights of others, which could result in substantial costs and diversion of our resources and could have a material adverse effect on our business, results of operations and financial condition. We require our employees to enter into non-disclosure agreements to limit access to and distribution of our proprietary and confidential information. These agreements generally provide that any confidential or proprietary information developed by us or on our behalf must be kept confidential. These agreements also provide that any confidential or proprietary information disclosed to third parties in the course of our business must be kept confidential by such third parties. In the event of trademark infringement, the State Administration for Industry and Commerce has the authority to fine the infringer and to confiscate or destroy the infringing products.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420" w:firstLine="648"/>
        <w:spacing w:after="0" w:line="275" w:lineRule="auto"/>
        <w:rPr>
          <w:sz w:val="20"/>
          <w:szCs w:val="20"/>
          <w:color w:val="auto"/>
        </w:rPr>
      </w:pPr>
      <w:r>
        <w:rPr>
          <w:rFonts w:ascii="Arial" w:cs="Arial" w:eastAsia="Arial" w:hAnsi="Arial"/>
          <w:sz w:val="17"/>
          <w:szCs w:val="17"/>
          <w:color w:val="auto"/>
        </w:rPr>
        <w:t>Our primary trademark portfolio consists of 9 registered trademarks (with 5 trademarks currently under review). Our trademarks are valuable assets that reinforce the brand and our consumers’ favorable perception of our products. The current registrations of these trademarks are effective for varying periods of time and may be renewed periodically, provided that we, as the registered owner, comply with all applicable renewal requirements including, where necessary, the continued use of the trademarks in connection with similar goods. In addition to trademark protection, we own 3 URL designations and domain names, including clps.com.cn, clpsglobal.com.cn, and clpsgroup.com.cn.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registered for the following trademarks: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Country 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Application</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1"/>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Mark</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4240" w:type="dxa"/>
            <w:vAlign w:val="bottom"/>
            <w:gridSpan w:val="2"/>
          </w:tcPr>
          <w:p>
            <w:pPr>
              <w:ind w:left="1400"/>
              <w:spacing w:after="0"/>
              <w:rPr>
                <w:sz w:val="20"/>
                <w:szCs w:val="20"/>
                <w:color w:val="auto"/>
              </w:rPr>
            </w:pPr>
            <w:r>
              <w:rPr>
                <w:rFonts w:ascii="Arial" w:cs="Arial" w:eastAsia="Arial" w:hAnsi="Arial"/>
                <w:sz w:val="18"/>
                <w:szCs w:val="18"/>
                <w:b w:val="1"/>
                <w:bCs w:val="1"/>
                <w:color w:val="auto"/>
              </w:rPr>
              <w:t>Class/Description</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Current Owner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02"/>
        </w:trPr>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China</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19288958</w:t>
            </w:r>
          </w:p>
        </w:tc>
        <w:tc>
          <w:tcPr>
            <w:tcW w:w="120" w:type="dxa"/>
            <w:vAlign w:val="bottom"/>
            <w:tcBorders>
              <w:top w:val="single" w:sz="8" w:color="CCEEFF"/>
            </w:tcBorders>
            <w:shd w:val="clear" w:color="auto" w:fill="CCEEFF"/>
          </w:tcPr>
          <w:p>
            <w:pPr>
              <w:spacing w:after="0"/>
              <w:rPr>
                <w:sz w:val="17"/>
                <w:szCs w:val="17"/>
                <w:color w:val="auto"/>
              </w:rPr>
            </w:pPr>
          </w:p>
        </w:tc>
        <w:tc>
          <w:tcPr>
            <w:tcW w:w="41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Class 9: Recorded computer programs (programs);</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ChinaLink</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Recorded computer operating programs Computer</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Professional</w:t>
            </w: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peripherals; Computer software (recorded); Connector</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Services Co., Ltd</w:t>
            </w: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equipment); Monitor program</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program); Electronic publications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(downloadable); Computer program (downloadable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software); Downloadable computer application software;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2"/>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9"/>
              </w:rPr>
              <w:t>19289112</w:t>
            </w:r>
          </w:p>
        </w:tc>
        <w:tc>
          <w:tcPr>
            <w:tcW w:w="1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w w:val="97"/>
              </w:rPr>
              <w:t>Class 38: Information transmission; Computer terminal</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7"/>
              </w:rPr>
              <w:t>ChinaLink</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5"/>
              </w:rPr>
              <w:t>communication; Computer-aided information and image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Professional</w:t>
            </w:r>
          </w:p>
        </w:tc>
        <w:tc>
          <w:tcPr>
            <w:tcW w:w="11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3"/>
              </w:rPr>
              <w:t>transmission; Information transmission equipment rental;</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Services Co., Ltd</w:t>
            </w:r>
          </w:p>
        </w:tc>
        <w:tc>
          <w:tcPr>
            <w:tcW w:w="11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Provide telecommunications link services to connect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6"/>
              </w:rPr>
              <w:t>with the global computer network; Telecommunications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4"/>
              </w:rPr>
              <w:t>routing and junction services; Provide access service for</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2"/>
              </w:rPr>
              <w:t>global computer network users; Provide database access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7"/>
              </w:rPr>
              <w:t>service; Digital file transfer Teleconference call service</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2"/>
        </w:trPr>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19289503</w:t>
            </w:r>
          </w:p>
        </w:tc>
        <w:tc>
          <w:tcPr>
            <w:tcW w:w="120" w:type="dxa"/>
            <w:vAlign w:val="bottom"/>
            <w:shd w:val="clear" w:color="auto" w:fill="CCEEFF"/>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9: Recorded computer programs (programs);</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7"/>
              </w:rPr>
              <w:t>ChinaLink</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Recorded computer operating programs; Computer</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Professional</w:t>
            </w: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peripherals; Computer software (recorded); Connector</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Services Co., Ltd</w:t>
            </w: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equipment); Monitor program</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program); Electronic publications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(downloadable); Computer program (downloadable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software); Downloadable computer application software;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2"/>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9"/>
              </w:rPr>
              <w:t>19289341</w:t>
            </w:r>
          </w:p>
        </w:tc>
        <w:tc>
          <w:tcPr>
            <w:tcW w:w="1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w w:val="94"/>
              </w:rPr>
              <w:t>Class 42: Technical research; Research or develop new</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7"/>
              </w:rPr>
              <w:t>ChinaLink</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6"/>
              </w:rPr>
              <w:t>products for others; Computer programming; Computer</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Professional</w:t>
            </w:r>
          </w:p>
        </w:tc>
        <w:tc>
          <w:tcPr>
            <w:tcW w:w="11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software design; Computer hardware design and</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Services Co., Ltd</w:t>
            </w:r>
          </w:p>
        </w:tc>
        <w:tc>
          <w:tcPr>
            <w:tcW w:w="11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development consulting; Computer software rental;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Computer software maintenance; Computer system</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-3977005</wp:posOffset>
            </wp:positionV>
            <wp:extent cx="634365"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634365"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-1782445</wp:posOffset>
            </wp:positionV>
            <wp:extent cx="67691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6910" cy="27432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-685165</wp:posOffset>
            </wp:positionV>
            <wp:extent cx="676910"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6910" cy="274320"/>
                    </a:xfrm>
                    <a:prstGeom prst="rect">
                      <a:avLst/>
                    </a:prstGeom>
                    <a:noFill/>
                  </pic:spPr>
                </pic:pic>
              </a:graphicData>
            </a:graphic>
          </wp:anchor>
        </w:drawing>
      </w:r>
    </w:p>
    <w:p>
      <w:pPr>
        <w:ind w:left="4200"/>
        <w:spacing w:after="0"/>
        <w:rPr>
          <w:sz w:val="20"/>
          <w:szCs w:val="20"/>
          <w:color w:val="auto"/>
        </w:rPr>
      </w:pPr>
      <w:r>
        <w:rPr>
          <w:rFonts w:ascii="Arial" w:cs="Arial" w:eastAsia="Arial" w:hAnsi="Arial"/>
          <w:sz w:val="18"/>
          <w:szCs w:val="18"/>
          <w:color w:val="auto"/>
        </w:rPr>
        <w:t>analysis; Computer software installation; Computer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software consulting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register the following trademarks: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Country 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Application</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1"/>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Mark</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4240" w:type="dxa"/>
            <w:vAlign w:val="bottom"/>
            <w:gridSpan w:val="2"/>
          </w:tcPr>
          <w:p>
            <w:pPr>
              <w:ind w:left="1400"/>
              <w:spacing w:after="0"/>
              <w:rPr>
                <w:sz w:val="20"/>
                <w:szCs w:val="20"/>
                <w:color w:val="auto"/>
              </w:rPr>
            </w:pPr>
            <w:r>
              <w:rPr>
                <w:rFonts w:ascii="Arial" w:cs="Arial" w:eastAsia="Arial" w:hAnsi="Arial"/>
                <w:sz w:val="18"/>
                <w:szCs w:val="18"/>
                <w:b w:val="1"/>
                <w:bCs w:val="1"/>
                <w:color w:val="auto"/>
              </w:rPr>
              <w:t>Class/Description</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Current Owner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02"/>
        </w:trPr>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China</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19289066</w:t>
            </w:r>
          </w:p>
        </w:tc>
        <w:tc>
          <w:tcPr>
            <w:tcW w:w="120" w:type="dxa"/>
            <w:vAlign w:val="bottom"/>
            <w:tcBorders>
              <w:top w:val="single" w:sz="8" w:color="CCEEFF"/>
            </w:tcBorders>
            <w:shd w:val="clear" w:color="auto" w:fill="CCEEFF"/>
          </w:tcPr>
          <w:p>
            <w:pPr>
              <w:spacing w:after="0"/>
              <w:rPr>
                <w:sz w:val="17"/>
                <w:szCs w:val="17"/>
                <w:color w:val="auto"/>
              </w:rPr>
            </w:pPr>
          </w:p>
        </w:tc>
        <w:tc>
          <w:tcPr>
            <w:tcW w:w="41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6"/>
              </w:rPr>
              <w:t>Class 35: Advertising; Advertising agency Advertising</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ChinaLink</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Pending</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space rental; Online advertising on the computer</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Professional</w:t>
            </w: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Advertisement layout design; Business</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Services Co., Ltd</w:t>
            </w: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assistance; Business inquiry; Business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information agency; Business management and</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organization consulting; Business management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2"/>
        </w:trPr>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19289214</w:t>
            </w:r>
          </w:p>
        </w:tc>
        <w:tc>
          <w:tcPr>
            <w:tcW w:w="120" w:type="dxa"/>
            <w:vAlign w:val="bottom"/>
            <w:shd w:val="clear" w:color="auto" w:fill="CCEEFF"/>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41: Teaching; Education; Training; Practical</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7"/>
              </w:rPr>
              <w:t>ChinaLink</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Pending</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training (demonstration); Employment guidance</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Professional</w:t>
            </w: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(education or training consultants); Arrange and organize</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Services Co., Ltd</w:t>
            </w: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academic seminars; Arrange and organize meetings;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Arrange and organize general meeting; Arrange and</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organize symposium; Arrange and organize training</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classes</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2"/>
        </w:trPr>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19289175</w:t>
            </w:r>
          </w:p>
        </w:tc>
        <w:tc>
          <w:tcPr>
            <w:tcW w:w="120" w:type="dxa"/>
            <w:vAlign w:val="bottom"/>
            <w:shd w:val="clear" w:color="auto" w:fill="CCEEFF"/>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Class 42: Technical research; Research or develop new</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7"/>
              </w:rPr>
              <w:t>ChinaLink</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Pending</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products for others; Computer programming; Computer</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Professional</w:t>
            </w: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design; Computer hardware design and</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Services Co., Ltd</w:t>
            </w: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 consulting; Computer software rental;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software maintenance; Computer system</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analysis; Computer software installation; Computer</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consulting</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2"/>
        </w:trPr>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19289492</w:t>
            </w:r>
          </w:p>
        </w:tc>
        <w:tc>
          <w:tcPr>
            <w:tcW w:w="120" w:type="dxa"/>
            <w:vAlign w:val="bottom"/>
            <w:shd w:val="clear" w:color="auto" w:fill="CCEEFF"/>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Class 38: Information transmission; Computer terminal</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7"/>
              </w:rPr>
              <w:t>ChinaLink</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Pending</w:t>
            </w: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communication; Computer-aided information and image</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Professional</w:t>
            </w: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transmission; Information transmission equipment rental;</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Services Co., Ltd</w:t>
            </w: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Provide telecommunications link services to connect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with the global computer network; Telecommunications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routing and junction services; Provide access service for</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global computer network users; Provide database access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service; Digital file transfer; Teleconference call service</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2"/>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9"/>
              </w:rPr>
              <w:t>19289420</w:t>
            </w:r>
          </w:p>
        </w:tc>
        <w:tc>
          <w:tcPr>
            <w:tcW w:w="1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Class 41: Teaching; Education; Training; Practical</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7"/>
              </w:rPr>
              <w:t>ChinaLink</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0"/>
              </w:rPr>
              <w:t>Pending</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training (demonstration); Employment guidance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Professional</w:t>
            </w:r>
          </w:p>
        </w:tc>
        <w:tc>
          <w:tcPr>
            <w:tcW w:w="11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2"/>
              </w:rPr>
              <w:t>(education or training consultants); Arrange and organize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Services Co., Ltd</w:t>
            </w:r>
          </w:p>
        </w:tc>
        <w:tc>
          <w:tcPr>
            <w:tcW w:w="11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academic seminars; Arrange and organize meetings;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Arrange and organize general meeting; Arrange and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-5074285</wp:posOffset>
            </wp:positionV>
            <wp:extent cx="634365" cy="2571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-3977005</wp:posOffset>
            </wp:positionV>
            <wp:extent cx="634365" cy="2571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634365" cy="2571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-1782445</wp:posOffset>
            </wp:positionV>
            <wp:extent cx="67691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6910" cy="27432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-685165</wp:posOffset>
            </wp:positionV>
            <wp:extent cx="67691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6910" cy="274320"/>
                    </a:xfrm>
                    <a:prstGeom prst="rect">
                      <a:avLst/>
                    </a:prstGeom>
                    <a:noFill/>
                  </pic:spPr>
                </pic:pic>
              </a:graphicData>
            </a:graphic>
          </wp:anchor>
        </w:drawing>
      </w:r>
    </w:p>
    <w:p>
      <w:pPr>
        <w:ind w:left="4200"/>
        <w:spacing w:after="0"/>
        <w:rPr>
          <w:sz w:val="20"/>
          <w:szCs w:val="20"/>
          <w:color w:val="auto"/>
        </w:rPr>
      </w:pPr>
      <w:r>
        <w:rPr>
          <w:rFonts w:ascii="Arial" w:cs="Arial" w:eastAsia="Arial" w:hAnsi="Arial"/>
          <w:sz w:val="18"/>
          <w:szCs w:val="18"/>
          <w:color w:val="auto"/>
        </w:rPr>
        <w:t>organize symposium; Arrange and organize training</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classes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the Company’s copyrights: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1"/>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Current Owner</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Approval Date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CLPS HR Management Platform</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China</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2009SR015975</w:t>
            </w:r>
          </w:p>
        </w:tc>
        <w:tc>
          <w:tcPr>
            <w:tcW w:w="1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ChinaLink</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29th April 2009</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Food and Beverage Report</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2009SR060110</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28th December 2009</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Analysis and Management Platform</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Apparel Industry POS</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2009SR060102</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28th December 2009</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Platform 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Express Information Interactive</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2009SR060112</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28th December 2009</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Platform Software 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Chain Store Information</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2009SR060108</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28th December 2009</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Interactive Platform 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w w:val="96"/>
              </w:rPr>
              <w:t>CLPS Project Analysis and Management</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2009SR060169</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28th December 2009</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Platform Software 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Payroll Accounting System</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2010SR043564</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25th August 2010</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Fast Moving Consumer Goods</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2010SR043561</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25th August 2010</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Frontline Staff Management Platform</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Staff Management Platform</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2010SR043562</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25th August 2010</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Coal Mining Enterprise</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2010SR045449</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7"/>
              </w:rPr>
              <w:t>1st September 2010</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Information System Management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Platform Software V1.0</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Campus Expense Card Web</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2010SR045441</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7"/>
              </w:rPr>
              <w:t>1st September 2010</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Service System Platform 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1"/>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Current Owner</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Approval Date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CLPS Campus Expense Card Bathroom</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China</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2010SR045444</w:t>
            </w:r>
          </w:p>
        </w:tc>
        <w:tc>
          <w:tcPr>
            <w:tcW w:w="1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ChinaLink</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1st September 2010</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Service 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Machinery Industry ERP</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2010SR045802</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2nd September 2010</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Management Platform Software 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CLPS Assignment and Task Management</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2011SR076863</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25th October 2011</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Software(short name: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Assignment and Task Management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V1.0</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Marketing Assistant System</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2012SR096727</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15th October 2012</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Platform Software 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Outsourcing Service Staff</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2012SR096666</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15th October 2012</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Management System Platform Software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w w:val="97"/>
              </w:rPr>
              <w:t>CLPS Outsourcing Service Staff System</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2012SR096731</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15th October 2012</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w w:val="96"/>
              </w:rPr>
              <w:t>Background Management Software 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Logistics Terminal Distribution</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2012SR096668</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15th October 2012</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HR Background Support</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2012SR098440</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19th October 2012</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Management System 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CLPS HR Management System Platform</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2012SR098429</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19th October 2012</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Software(short name: HR management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V1.0</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w w:val="95"/>
              </w:rPr>
              <w:t>CLPS Outsourcing Service Staff Resume</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2012SR098687</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19th October 2012</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Entry System Platform Software 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Document Business</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2013SR054800</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5th June 2013</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Software(short name: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Document Management)V1.0</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682"/>
        </w:trPr>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1"/>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Current Owner</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Approval Date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CLPS Bank Monetary Transaction</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China</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2013SR054796</w:t>
            </w:r>
          </w:p>
        </w:tc>
        <w:tc>
          <w:tcPr>
            <w:tcW w:w="1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ChinaLink</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5th June 2013</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 (short name: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Monetary Transaction Management) V1.0</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Bank Expense Management</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2014SR168125</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1"/>
              </w:rPr>
              <w:t>4th November 2014</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CLPS Bank Repayment Process Software</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2014SR168130</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1"/>
              </w:rPr>
              <w:t>4th November 2014</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Bank Point Accumulative</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2014SR168132</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1"/>
              </w:rPr>
              <w:t>4th November 2014</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Management Software 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Interest Process Software</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2014SR168136</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1"/>
              </w:rPr>
              <w:t>4th November 2014</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w w:val="99"/>
              </w:rPr>
              <w:t>CLPS Bank Credit Application Software</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2014SR168138</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1"/>
              </w:rPr>
              <w:t>4th November 2014</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Credit Card Risk Management</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2015SR028695</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10th February 2015</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Credit Card Account</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2015SR029015</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10th February 2015</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w w:val="94"/>
              </w:rPr>
              <w:t>Establishment and Card Making Software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V1.0</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Credit Card Customer Service</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2015SR029012</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10th February 2015</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w w:val="95"/>
              </w:rPr>
              <w:t>CLPS Credit Card Cleaning Management</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2015SR028884</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10th February 2015</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Credit Card Authorization</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2015SR028914</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10th February 2015</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w w:val="97"/>
              </w:rPr>
              <w:t>CLPS Mortgage Loan Plan Spreadsheet</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2015SR198772</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16th October 2015</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Tool Software (short name: loan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spreadsheet) V1.0</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Product Management</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2015SR198610</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16th October 2015</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Bank Deposit and Withdrawal</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2015SR198176</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16th October 2015</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Services Management Software 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Loan Application</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2015SR198654</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16th October 2015</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655"/>
        </w:trPr>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1"/>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Current Owner</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Approval Date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CLPS Bank Repayment Management</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China</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2015SR198649</w:t>
            </w:r>
          </w:p>
        </w:tc>
        <w:tc>
          <w:tcPr>
            <w:tcW w:w="1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ChinaLink</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16th October 2015</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w w:val="94"/>
              </w:rPr>
              <w:t>CLPS Bank Exchange Rate Management</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2015SR198774</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16th October 2015</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CLPS Bank Interest Settlement Software</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2015SR198246</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16th October 2015</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Bank Foreign Exchange</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2015SR198240</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16th October 2015</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Transaction Software 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Investment Management</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2016SR376924</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16th December 2016</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Business 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Bank Big Data Decision-making</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2016SR382920</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20th December 2016</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Platform Customer Portrayal Software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V1.0</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Ca,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Internet Financial Cloud Mobile</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2016SR398821</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27th December 2016</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Banking Software V2.0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Wantong Calculas Mall Software</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2017SR118507</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CLPS Beijing</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17th April 2017</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V2.0</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Hengtong 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RcRules Engine Software</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2017SR169307</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CLPS Ruicheng Co.,</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9th May 2017</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Internet Financing Collection</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2017SR119266</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CLPS Ruicheng Co.,</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17th April 2017</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Management Software V2.0</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Points Management Platform</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2017SR119078</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CLPS Ruicheng Co.,</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17th April 2017</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w w:val="99"/>
              </w:rPr>
              <w:t>CLPS Full-web Order Receiving Unified</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2017SR202535</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CLPS Ruicheng Co.,</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24th May 2017</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Platform Management Software V2.0</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655"/>
        </w:trPr>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1"/>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Registration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Current Owner</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Approval Date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CLPS Enterprise Recruitment Intelligent</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China</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2017SR646712</w:t>
            </w:r>
          </w:p>
        </w:tc>
        <w:tc>
          <w:tcPr>
            <w:tcW w:w="1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ChinaLink</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24th November 2017</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Cooperation Platform Software V2.0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Intelligent Online Training Test</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2017SR646507</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24th November 2017</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w w:val="96"/>
              </w:rPr>
              <w:t>Instructional Management Software 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Enterprise Internet Qinqin Loan</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2017SR647634</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24th November 2017</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Background Management 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Blockchain Based Virtual Credits</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2017SR645676</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24th November 2017</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w w:val="96"/>
              </w:rPr>
              <w:t>Background Management Software V2.0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CLPS Enterprise Recruitment Intelligent</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2017SR646712</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24th November 2017</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Cooperation Platform Software V2.0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Intelligent Online Training Test</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2017SR646507</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24th November 2017</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w w:val="96"/>
              </w:rPr>
              <w:t>Instructional Management Software 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Enterprise Internet Qinqin Loan</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2017SR647634</w:t>
            </w:r>
          </w:p>
        </w:tc>
        <w:tc>
          <w:tcPr>
            <w:tcW w:w="16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24th November 2017</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Background Management Software V1.0</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Blockchain Based Virtual Credits</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China</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2017SR646712</w:t>
            </w:r>
          </w:p>
        </w:tc>
        <w:tc>
          <w:tcPr>
            <w:tcW w:w="16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6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24th November 2017</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w w:val="96"/>
              </w:rPr>
              <w:t>Background Management Software V1.0</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Professional Services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Co., Ltd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700" w:firstLine="648"/>
        <w:spacing w:after="0" w:line="289" w:lineRule="auto"/>
        <w:rPr>
          <w:sz w:val="20"/>
          <w:szCs w:val="20"/>
          <w:color w:val="auto"/>
        </w:rPr>
      </w:pPr>
      <w:r>
        <w:rPr>
          <w:rFonts w:ascii="Arial" w:cs="Arial" w:eastAsia="Arial" w:hAnsi="Arial"/>
          <w:sz w:val="18"/>
          <w:szCs w:val="18"/>
          <w:color w:val="auto"/>
        </w:rPr>
        <w:t>Our principal executive office is located on the 2nd Floor, Building 18, Shanghai Pudong Software Park 498 Guoshoujing Road, Pudong, Shanghai 201203, PRC. We lease the premises and the lease term expires on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June, 2019.</w:t>
      </w:r>
    </w:p>
    <w:p>
      <w:pPr>
        <w:spacing w:after="0" w:line="3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addition, the Company manages and operates several other facilities. We rent an office space in Tianjin, Shenzhen, Guangzhou, Dalian, Chengdu, Beijing, Australia and Singapore. Rent expenses amounted to $565,328 and $431,043 for the years ended June 30, 2017 and 2016, respectively. We believe our facilities are adequate for our current needs.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4" w:name="page75"/>
    <w:bookmarkEnd w:id="7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820" w:type="dxa"/>
            <w:vAlign w:val="bottom"/>
          </w:tcPr>
          <w:p>
            <w:pPr>
              <w:ind w:left="620"/>
              <w:spacing w:after="0"/>
              <w:rPr>
                <w:sz w:val="20"/>
                <w:szCs w:val="20"/>
                <w:color w:val="auto"/>
              </w:rPr>
            </w:pPr>
            <w:r>
              <w:rPr>
                <w:rFonts w:ascii="Arial" w:cs="Arial" w:eastAsia="Arial" w:hAnsi="Arial"/>
                <w:sz w:val="18"/>
                <w:szCs w:val="18"/>
                <w:b w:val="1"/>
                <w:bCs w:val="1"/>
                <w:color w:val="auto"/>
              </w:rPr>
              <w:t>Facility</w:t>
            </w:r>
          </w:p>
        </w:tc>
        <w:tc>
          <w:tcPr>
            <w:tcW w:w="120" w:type="dxa"/>
            <w:vAlign w:val="bottom"/>
          </w:tcPr>
          <w:p>
            <w:pPr>
              <w:spacing w:after="0"/>
              <w:rPr>
                <w:sz w:val="22"/>
                <w:szCs w:val="22"/>
                <w:color w:val="auto"/>
              </w:rPr>
            </w:pPr>
          </w:p>
        </w:tc>
        <w:tc>
          <w:tcPr>
            <w:tcW w:w="8080" w:type="dxa"/>
            <w:vAlign w:val="bottom"/>
            <w:gridSpan w:val="2"/>
          </w:tcPr>
          <w:p>
            <w:pPr>
              <w:ind w:left="3680"/>
              <w:spacing w:after="0"/>
              <w:rPr>
                <w:sz w:val="20"/>
                <w:szCs w:val="20"/>
                <w:color w:val="auto"/>
              </w:rPr>
            </w:pPr>
            <w:r>
              <w:rPr>
                <w:rFonts w:ascii="Arial" w:cs="Arial" w:eastAsia="Arial" w:hAnsi="Arial"/>
                <w:sz w:val="18"/>
                <w:szCs w:val="18"/>
                <w:b w:val="1"/>
                <w:bCs w:val="1"/>
                <w:color w:val="auto"/>
              </w:rPr>
              <w:t>Address</w:t>
            </w:r>
          </w:p>
        </w:tc>
        <w:tc>
          <w:tcPr>
            <w:tcW w:w="1220" w:type="dxa"/>
            <w:vAlign w:val="bottom"/>
            <w:gridSpan w:val="2"/>
          </w:tcPr>
          <w:p>
            <w:pPr>
              <w:ind w:left="160"/>
              <w:spacing w:after="0" w:line="219" w:lineRule="exact"/>
              <w:rPr>
                <w:sz w:val="20"/>
                <w:szCs w:val="20"/>
                <w:color w:val="auto"/>
              </w:rPr>
            </w:pPr>
            <w:r>
              <w:rPr>
                <w:rFonts w:ascii="Arial" w:cs="Arial" w:eastAsia="Arial" w:hAnsi="Arial"/>
                <w:sz w:val="18"/>
                <w:szCs w:val="18"/>
                <w:b w:val="1"/>
                <w:bCs w:val="1"/>
                <w:color w:val="auto"/>
              </w:rPr>
              <w:t>Space (</w:t>
            </w:r>
            <w:r>
              <w:rPr>
                <w:rFonts w:ascii="SimSun" w:cs="SimSun" w:eastAsia="SimSun" w:hAnsi="SimSun"/>
                <w:sz w:val="18"/>
                <w:szCs w:val="18"/>
                <w:color w:val="auto"/>
              </w:rPr>
              <w:t>㎡</w:t>
            </w:r>
            <w:r>
              <w:rPr>
                <w:rFonts w:ascii="Arial" w:cs="Arial" w:eastAsia="Arial" w:hAnsi="Arial"/>
                <w:sz w:val="18"/>
                <w:szCs w:val="18"/>
                <w:b w:val="1"/>
                <w:bCs w:val="1"/>
                <w:color w:val="auto"/>
              </w:rPr>
              <w:t>)</w:t>
            </w:r>
          </w:p>
        </w:tc>
      </w:tr>
      <w:tr>
        <w:trPr>
          <w:trHeight w:val="216"/>
        </w:trPr>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Shanghai Office</w:t>
            </w:r>
          </w:p>
        </w:tc>
        <w:tc>
          <w:tcPr>
            <w:tcW w:w="820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2nd Floor, Building 18, Shanghai Pudong Software Park, 498 Guoshoujing Road, Pudong District, Shanghai,</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820" w:type="dxa"/>
            <w:vAlign w:val="bottom"/>
            <w:shd w:val="clear" w:color="auto" w:fill="CCEEFF"/>
          </w:tcPr>
          <w:p>
            <w:pPr>
              <w:spacing w:after="0"/>
              <w:rPr>
                <w:sz w:val="20"/>
                <w:szCs w:val="20"/>
                <w:color w:val="auto"/>
              </w:rPr>
            </w:pPr>
          </w:p>
        </w:tc>
        <w:tc>
          <w:tcPr>
            <w:tcW w:w="8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PRC</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1,259.94</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Tianjin Office</w:t>
            </w:r>
          </w:p>
        </w:tc>
        <w:tc>
          <w:tcPr>
            <w:tcW w:w="820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W5-C1-403-1, 51 West Area of Financial Street, the 3rd Street, Economic Development District, Tianjian,</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820" w:type="dxa"/>
            <w:vAlign w:val="bottom"/>
            <w:shd w:val="clear" w:color="auto" w:fill="CCEEFF"/>
          </w:tcPr>
          <w:p>
            <w:pPr>
              <w:spacing w:after="0"/>
              <w:rPr>
                <w:sz w:val="20"/>
                <w:szCs w:val="20"/>
                <w:color w:val="auto"/>
              </w:rPr>
            </w:pPr>
          </w:p>
        </w:tc>
        <w:tc>
          <w:tcPr>
            <w:tcW w:w="8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PRC</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61.52</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Shenzhen Office</w:t>
            </w:r>
          </w:p>
        </w:tc>
        <w:tc>
          <w:tcPr>
            <w:tcW w:w="8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Room 2008, Anhui Building, Shennan Avenue, Futian District, Shenzhen, Guangdong Province, PRC</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234.16</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Guangzhou Office</w:t>
            </w:r>
          </w:p>
        </w:tc>
        <w:tc>
          <w:tcPr>
            <w:tcW w:w="8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6C03, 377 Tianhe Road, Tianhe District, Guangzhou, Guangdong Province, PRC</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Dalian Office</w:t>
            </w:r>
          </w:p>
        </w:tc>
        <w:tc>
          <w:tcPr>
            <w:tcW w:w="8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Room#01-04, 1/F, 1 Huixian Garden, New &amp; High-tech Industrial Park, Dalian, Liaoning Province, PRC</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2,344.04</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Chengdu Office</w:t>
            </w:r>
          </w:p>
        </w:tc>
        <w:tc>
          <w:tcPr>
            <w:tcW w:w="8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Unit 10, 25/Floor, Tower 2, 88 Jitai 5th Road, Gaoxin District, Chengdu, Sichuan District, PRC</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59.74</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Beijing Office</w:t>
            </w:r>
          </w:p>
        </w:tc>
        <w:tc>
          <w:tcPr>
            <w:tcW w:w="820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1/F, Shangke Chuangye Area, Guotou Shangke Building, 111 Huihe South Street, Gaobeidian, Chaoyang</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820" w:type="dxa"/>
            <w:vAlign w:val="bottom"/>
            <w:shd w:val="clear" w:color="auto" w:fill="CCEEFF"/>
          </w:tcPr>
          <w:p>
            <w:pPr>
              <w:spacing w:after="0"/>
              <w:rPr>
                <w:sz w:val="20"/>
                <w:szCs w:val="20"/>
                <w:color w:val="auto"/>
              </w:rPr>
            </w:pPr>
          </w:p>
        </w:tc>
        <w:tc>
          <w:tcPr>
            <w:tcW w:w="8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District, Beijing, PRC</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Australia Office</w:t>
            </w:r>
          </w:p>
        </w:tc>
        <w:tc>
          <w:tcPr>
            <w:tcW w:w="8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Part Tenancy 5, Part Level 9, 276 Flinders Street, Melbourne, VIC, Australia</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Singapore Office</w:t>
            </w:r>
          </w:p>
        </w:tc>
        <w:tc>
          <w:tcPr>
            <w:tcW w:w="8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 456 Office, Singapore</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432"/>
        </w:trPr>
        <w:tc>
          <w:tcPr>
            <w:tcW w:w="1820" w:type="dxa"/>
            <w:vAlign w:val="bottom"/>
          </w:tcPr>
          <w:p>
            <w:pPr>
              <w:spacing w:after="0"/>
              <w:rPr>
                <w:sz w:val="20"/>
                <w:szCs w:val="20"/>
                <w:color w:val="auto"/>
              </w:rPr>
            </w:pPr>
            <w:r>
              <w:rPr>
                <w:rFonts w:ascii="Arial" w:cs="Arial" w:eastAsia="Arial" w:hAnsi="Arial"/>
                <w:sz w:val="18"/>
                <w:szCs w:val="18"/>
                <w:b w:val="1"/>
                <w:bCs w:val="1"/>
                <w:color w:val="auto"/>
              </w:rPr>
              <w:t>Legal Proceedings</w:t>
            </w:r>
          </w:p>
        </w:tc>
        <w:tc>
          <w:tcPr>
            <w:tcW w:w="1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6837680</wp:posOffset>
            </wp:positionH>
            <wp:positionV relativeFrom="paragraph">
              <wp:posOffset>-3287395</wp:posOffset>
            </wp:positionV>
            <wp:extent cx="81280" cy="736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280" cy="73660"/>
                    </a:xfrm>
                    <a:prstGeom prst="rect">
                      <a:avLst/>
                    </a:prstGeom>
                    <a:noFill/>
                  </pic:spPr>
                </pic:pic>
              </a:graphicData>
            </a:graphic>
          </wp:anchor>
        </w:drawing>
      </w:r>
    </w:p>
    <w:p>
      <w:pPr>
        <w:spacing w:after="0" w:line="18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are currently not involved in any legal proceedings; nor are we aware of any claims that could have a material adverse effect on our business,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Relating to PRC Information Technology Service Industry</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According to the Guidelines on Foreign Investment issued by the State Council in 2002 and the Catalog on Foreign Invested Industries (2007 Revision)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w:t>
      </w:r>
    </w:p>
    <w:p>
      <w:pPr>
        <w:spacing w:after="0" w:line="1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Companies in China engaging in systems integration are required to obtain qualification certificates from the Ministry of Industry and Information Technology. Companies planning to set up computer information systems may only retain systems integration companies with appropriate qualification certificates. The qualification certificate is subject to review every two years and is renewable every four years. In 2003, the Ministry of Industry and Information Technology promulgated the Amended Appraisal Condition for Qualification Grade of Systems Integration of Computer Information to elaborate the conditions for appraising each of the four qualification grades of systems integration companies. Companies applying for qualification are graded depending on the scale of the work they undertake. The grades range from Grade 1 (highest) to Grade 4 (lowest) in the scale of the work the respective companies can undertake. Companies with Grade 3 qualification can independently undertake projects at the medium-scale and small-scale enterprise level and undertake projects at the large-scale enterprise level in cooperation with other entities.</w:t>
      </w:r>
    </w:p>
    <w:p>
      <w:pPr>
        <w:spacing w:after="0" w:line="16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2009, the Ministry of Commerce and the Ministry of Industry and Information Technology jointly promulgated a rule aiming to protect a fair competition environment in the PRC service outsourcing industry. This rule requires that each of the domestic enterprises which provides IT and technological BPO services and each of its shareholders, directors, supervisors, managers and employees should not violate the service outsourcing contract to disclose, use or allow others to use the confidential information of its client. Such enterprises are also required to establish an information protection system and take various measures to protect clients’ confidential information, including causing their employees and third parties who have access to clients’ confidential information to sign confidentiality agreements and or non-competition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Intellectual Property Rights</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PRC Copyright Law, as amended, together with various regulations and rules promulgated by the State Council and the National Copyright Administration, protect software copyright in China. These laws and regulations establish a voluntary registration system for software copyrights administered by the Copyright Protection Center of China. Unlike patent and trademark registration, copyrighted software does not require registration for protection. Although such registration is not mandatory under PRC law, software copyright owners are encouraged to go through the registration process and registered software may receive better protection. The PRC Trademark Law, as amended, together with its implementation rules, protect registered trademarks. The Trademark Office of the State Administration for Industry and Commerce handles trademark registrations and grants a renewable protection term of 10 years to registered trademarks.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Foreign Currency Exchange and Dividend Distribution</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u w:val="single" w:color="auto"/>
          <w:color w:val="auto"/>
        </w:rPr>
        <w:t>Foreign Currency Exchange.</w:t>
      </w:r>
      <w:r>
        <w:rPr>
          <w:rFonts w:ascii="Arial" w:cs="Arial" w:eastAsia="Arial" w:hAnsi="Arial"/>
          <w:sz w:val="16"/>
          <w:szCs w:val="16"/>
          <w:color w:val="auto"/>
        </w:rPr>
        <w:t xml:space="preserve"> The principal regulations governing foreign currency exchange in China are the Foreign Exchange Administration Regulations (1996), as amended on August 5, 2008, the Administration Rules of the Settlement, Sale and Payment of Foreign Exchange (1996) and the Interim Measures on Administration on Foreign Debts (2003). Under these regulations, Renminbi are freely convertible for current account items, including the distribution of dividends, interest payments, trade and service-related foreign exchange transactions, but not for most capital account items, such as direct investment, loans, repatriation of investment and investment in securities outside China, unless the prior approval of SAFE or its local counterparts is obtained. In addition, any loans to an operating subsidiary in China that is a foreign invested enterprise, cannot, in the aggregate, exceed the difference between its respective approved total investment amount and its respective approved registered capital amount. Furthermore, any foreign loan must be registered with SAFE or its local counterparts for the loan to be effective. Any increase in the amount of the total investment and registered capital must be approved by the PRC Ministry of Commerce or its local counterpart. We may not be able to obtain these government approvals or registrations on a timely basis, if at all, which could result in a delay in the process of making these loans.</w:t>
      </w:r>
    </w:p>
    <w:p>
      <w:pPr>
        <w:spacing w:after="0" w:line="168"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dividends paid by the subsidiary to its shareholder are deemed shareholder income and are taxable in China. Pursuant to the Administration Rules of the Settlement, Sale and Payment of Foreign Exchange (1996), foreign-invested enterprises in China may purchase or remit foreign exchange, subject to a cap approved by SAFE, for settlement of current account transactions without the approval of SAFE. Foreign exchange transactions under the capital account are still subject to limitations and require approvals from, or registration with, SAFE and other relevant PRC governmental authorities.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u w:val="single" w:color="auto"/>
          <w:color w:val="auto"/>
        </w:rPr>
        <w:t>Dividend Distribution.</w:t>
      </w:r>
      <w:r>
        <w:rPr>
          <w:rFonts w:ascii="Arial" w:cs="Arial" w:eastAsia="Arial" w:hAnsi="Arial"/>
          <w:sz w:val="18"/>
          <w:szCs w:val="18"/>
          <w:color w:val="auto"/>
        </w:rPr>
        <w:t xml:space="preserve"> The principal regulations governing the distribution of dividends by foreign holding companies include the Company Law of the PRC (1993), as amended in 2013, the Foreign Investment Enterprise Law (1986), as amended in 2000, and the Administrative Rules under the Foreign Investment Enterprise Law (2001), as amended in 2014.</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Under these regulations, wholly foreign-owned investment enterprises in China may pay dividends only out of their retained profits, if any, determined in accordance with PRC accounting standards and regulations. In addition, wholly foreign-owned investment enterprises in China are required to allocate at least 10% of their respective retained profits each year, if any, to fund certain reserve funds unless these reserves have reached 50% of the registered capital of the enterprises. These reserves are not distributable as cash dividends, and a wholly foreign-owned enterprise is not permitted to distribute any profits until losses from prior fiscal years have been offset.</w:t>
      </w:r>
    </w:p>
    <w:p>
      <w:pPr>
        <w:spacing w:after="0" w:line="18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u w:val="single" w:color="auto"/>
          <w:color w:val="auto"/>
        </w:rPr>
        <w:t>Circular 37</w:t>
      </w:r>
      <w:r>
        <w:rPr>
          <w:rFonts w:ascii="Arial" w:cs="Arial" w:eastAsia="Arial" w:hAnsi="Arial"/>
          <w:sz w:val="17"/>
          <w:szCs w:val="17"/>
          <w:color w:val="auto"/>
        </w:rPr>
        <w:t>. On July 4, 2014, SAFE issued Circular 37, which became effective as of July 4, 2014. According to Circular 37, PRC residents shall apply to SAFE and its branches for going through the procedures for foreign exchange registration of overseas investments before contributing the domestic assets or interests to a SPV. An amendment to registration or filing with the local SAFE branch by such PRC resident is also required if the registered overseas SPV’s basic information such as domestic individual resident shareholder, name, operating period, or major events such as domestic individual resident capital increase, capital reduction, share transfer or exchange, merger or division has changed. Although the change of overseas funds raised by overseas SPV, overseas investment exercised by overseas SPV and non-cross-border capital flow are not included in Circular 37, we may be required to make foreign exchange registration if required by SAFE and its branches.</w:t>
      </w:r>
    </w:p>
    <w:p>
      <w:pPr>
        <w:spacing w:after="0" w:line="17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Moreover, Circular 37 applies retroactively. As a result, PRC residents who have contributed domestic assets or interests to a SPV, but failed to complete foreign exchange registration of overseas investments as required prior to implementation of Circular 37, are required to send a letter to SAFE and its branches for explanation. Under the relevant rules, failure to comply with the registration procedures set forth in Circular 37 may result in receiving a warning from SAFE and its branches, and may result in a fine of up to RMB 300,000 for an organization or up to RMB 50,000 for an individual. In the event of failing to register, if capital outflow occurred, a fine up to 30% of the illegal amount may be assessed. PRC residents who control our company are required to register with SAFE in connection with their investments in us. If we use our equity interest to purchase the assets or equity interest of a PRC company owned by PRC residents in the future, such PRC residents will be subject to the registration procedures described in Circular 37.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M&amp;A Regulations and Overseas Listings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August 8, 2006, six PRC regulatory agencies, including the Ministry of Commerce, the State Assets Supervision and Administration Commission, the State Administration for Taxation, the State Administration for Industry and Commerce, CSRC and SAFE, jointly issued the Regulations on Mergers and Acquisitions of Domestic Enterprises by Foreign Investors, or the New M&amp;A Rule, which became effective on September 8, 2006 and was amended on June 22, 2009. This New M&amp;A Rule, among other things, includes provisions that purport to require that an offshore special purpose vehicle formed for purposes of overseas listing of equity interests in PRC companies and controlled directly or indirectly by PRC companies or individuals obtain the approval of CSRC prior to the listing and trading of such special purpose vehicle’s securities on an overseas stock exchange.</w:t>
      </w:r>
    </w:p>
    <w:p>
      <w:pPr>
        <w:spacing w:after="0" w:line="1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September 21, 2006, CSRC published on its official website procedures regarding its approval of overseas listings by special purpose vehicles. The CSRC approval procedures require the filing of a number of documents with the CSRC and it would take several months to complete the approval process. The application of this new PRC regulation remains unclear with no consensus currently existing among leading PRC law firms regarding the scope of the applicability of the CSRC approval requirement.</w:t>
      </w:r>
    </w:p>
    <w:p>
      <w:pPr>
        <w:spacing w:after="0" w:line="187"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Our PRC counsel has advised us that, based on their understanding of the current PRC laws and regulations, that the corporate structure of the Group Companies shall not be deemed as “a foreign investor’s merger and acquisition of a domestic enterprise” as specified in the Article 2 of the New M&amp;A Rule, so the Company is not required to obtain approval from the CSRC for listing and trading of its shares. However, uncertainties still exist as to how the New M&amp;A Rule will be interpreted and implemented and our opinion stated above is subject to any new laws, rules and regulations or detailed implementations and interpretations in any form relating to the New M&amp;A Rule.</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77" w:name="page78"/>
    <w:bookmarkEnd w:id="7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Offshore Parent Holding Companies’ Direct Investment in and Loans to Their PRC Subsidiaries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An offshore company may invest equity in a PRC company, which will become the PRC subsidiary of the offshore holding company after investment. Such equity investment is subject to a series of laws and regulations generally applicable to any foreign-invested enterprise in China, which include the Wholly Foreign Owned Enterprise Law, the Sino-foreign Equity Joint Venture Enterprise Law, the Sino-foreign Contractual Joint Venture Enterprise Law,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the registered capital of a foreign-invested enterprise is subject to the prior approval by the original approval authority of its establishment. In addition, the increase of registered capital and total investment amount shall both be registered with SAIC and SAFE. Shareholder loans made by offshore parent holding companies to their PRC subsidiaries are regarded as foreign debts in China for regulatory purpose, which is subject to a number of PRC laws and regulations, including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subsidiaries shall be registered with SAFE. Furthermore, the total amount of foreign debts that can be borrowed by such PRC subsidiaries, including any shareholder loans, shall not exceed the difference between the total investment amount and the registered capital amount of the PRC subsidiaries, both of which are subject to the governmental approval.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executive officers and directors, their ages and the positions held by them: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584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200" w:type="dxa"/>
            <w:vAlign w:val="bottom"/>
            <w:tcBorders>
              <w:top w:val="single" w:sz="8" w:color="CCEEFF"/>
            </w:tcBorders>
            <w:shd w:val="clear" w:color="auto" w:fill="CCEEFF"/>
          </w:tcPr>
          <w:p>
            <w:pPr>
              <w:spacing w:after="0"/>
              <w:rPr>
                <w:sz w:val="18"/>
                <w:szCs w:val="18"/>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President and Director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Raymond Ming Hui Lin</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 van Acken</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20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Jin He Shao (1)(4)*</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Kewei Huang (2)*</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0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Kathryn Amooi (3)*</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0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Independent director</w:t>
            </w:r>
          </w:p>
        </w:tc>
      </w:tr>
    </w:tbl>
    <w:p>
      <w:pPr>
        <w:spacing w:after="0" w:line="187" w:lineRule="exact"/>
        <w:rPr>
          <w:sz w:val="20"/>
          <w:szCs w:val="20"/>
          <w:color w:val="auto"/>
        </w:rPr>
      </w:pPr>
    </w:p>
    <w:p>
      <w:pPr>
        <w:ind w:right="200" w:firstLine="8"/>
        <w:spacing w:after="0" w:line="277" w:lineRule="auto"/>
        <w:tabs>
          <w:tab w:leader="none" w:pos="1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independent director appointees has accepted appointment as our independent director, effective upon the SEC’s declaration of effectiveness of the registration statement on Form F-1 of which this prospectus is a part.</w:t>
      </w:r>
    </w:p>
    <w:p>
      <w:pPr>
        <w:spacing w:after="0" w:line="170"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Chair of the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Chair of the Nominating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Audit Committee financial expert.</w:t>
      </w:r>
    </w:p>
    <w:p>
      <w:pPr>
        <w:spacing w:after="0" w:line="207"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b w:val="1"/>
          <w:bCs w:val="1"/>
          <w:color w:val="auto"/>
        </w:rPr>
        <w:t xml:space="preserve">Xiao Feng Yang </w:t>
      </w:r>
      <w:r>
        <w:rPr>
          <w:rFonts w:ascii="Arial" w:cs="Arial" w:eastAsia="Arial" w:hAnsi="Arial"/>
          <w:sz w:val="16"/>
          <w:szCs w:val="16"/>
          <w:color w:val="auto"/>
        </w:rPr>
        <w:t>is the founder chairman, president and director of the Company. Mr. Yang has over 20 years of executive management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operational experience in the IT services business. From October 2012 to present, Mr. Yang served as chairman and president of ChinaLink. From April 2009 to October 2012, Mr. Yang served as deputy general manager of ADP China to manage the service operation of HR BPO service in China. From June 2002 to April 2009, Mr. Yang was the Human Resource Director of Phillips, Mr. Yang graduated from Tongji University, Shanghai, China, with a bachelor’s degree in radio survey. Mr. Yang received his MBA degree both from Shanghai University of Finance and Webster University (US).</w:t>
      </w:r>
    </w:p>
    <w:p>
      <w:pPr>
        <w:spacing w:after="0" w:line="154" w:lineRule="exact"/>
        <w:rPr>
          <w:sz w:val="20"/>
          <w:szCs w:val="20"/>
          <w:color w:val="auto"/>
        </w:rPr>
      </w:pPr>
    </w:p>
    <w:p>
      <w:pPr>
        <w:ind w:right="200" w:firstLine="648"/>
        <w:spacing w:after="0" w:line="294" w:lineRule="auto"/>
        <w:rPr>
          <w:sz w:val="20"/>
          <w:szCs w:val="20"/>
          <w:color w:val="auto"/>
        </w:rPr>
      </w:pPr>
      <w:r>
        <w:rPr>
          <w:rFonts w:ascii="Arial" w:cs="Arial" w:eastAsia="Arial" w:hAnsi="Arial"/>
          <w:sz w:val="16"/>
          <w:szCs w:val="16"/>
          <w:b w:val="1"/>
          <w:bCs w:val="1"/>
          <w:color w:val="auto"/>
        </w:rPr>
        <w:t>Raymond Ming Hui Lin</w:t>
      </w:r>
      <w:r>
        <w:rPr>
          <w:rFonts w:ascii="Arial" w:cs="Arial" w:eastAsia="Arial" w:hAnsi="Arial"/>
          <w:sz w:val="16"/>
          <w:szCs w:val="16"/>
          <w:color w:val="auto"/>
        </w:rPr>
        <w:t>, is the chief executive officer and director of the Company. Mr. Lin joined CLPS in February 2009 as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From January 2008 to January 2009, Mr. Lin was business consultant of VanceInfo, after VanceInfo Acquired A-IT Software (Shandhai) Co. Ltd. Mr. Lin acted as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one of the largest mainframe resource powerhouse and the VisionPLUS project team in Greater China. In 2015, Mr. Lin became the MSE senior advisor in Fudan University, Shanghai, China.</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8" w:name="page79"/>
    <w:bookmarkEnd w:id="7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color w:val="auto"/>
        </w:rPr>
        <w:t xml:space="preserve">Tian van Acken </w:t>
      </w:r>
      <w:r>
        <w:rPr>
          <w:rFonts w:ascii="Arial" w:cs="Arial" w:eastAsia="Arial" w:hAnsi="Arial"/>
          <w:sz w:val="18"/>
          <w:szCs w:val="18"/>
          <w:color w:val="auto"/>
        </w:rPr>
        <w:t>Ms. Tian van Acken is the chief financial officer of the company. From December 2015 to September 2017, Ms. van Acken</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chief financial officer at ec+ Communication Corporation. From September 2011 to December 2015, Ms. van Acken held chief financial officer positions at various start-up companies in China. From March 2006 to September 2011, Ms. van Acken served as Greater China chief financial officer at Lowe China, subsidiary of Lowe Worldwide (Interpublic Group of Companies) in China. From 1996 to 2006, Ms. van Acken held various managerial financial positions at Siegfried Resources LLC in New York, Highland Capital Partners and PricewaterhouseCoopers in Boston, respectively. Ms. van Acken holds an MBA degree in Finance and Accounting from Rochester Institute of Technology. She is a Chartered Financial Analyst and certified public account licensed in the State of Massachusetts.</w:t>
      </w:r>
    </w:p>
    <w:p>
      <w:pPr>
        <w:spacing w:after="0" w:line="189"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Jin He Shao </w:t>
      </w:r>
      <w:r>
        <w:rPr>
          <w:rFonts w:ascii="Arial" w:cs="Arial" w:eastAsia="Arial" w:hAnsi="Arial"/>
          <w:sz w:val="18"/>
          <w:szCs w:val="18"/>
          <w:color w:val="auto"/>
        </w:rPr>
        <w:t>is an independent director of the Company. From January 2002 to present, Mr. Shao has been a partner at Shanghai Huajin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&amp; Consulting Professional Services. From August 1995 to December 2001, he served as senior tax manager at Phillips (China) Investment Co., Ltd. Mr. Shao received a joint MBA degree from Shanghai University of Finance &amp; Economics and The Webster University. Mr. Shao holds the PRC equivalent of the CPA license. In addition, Mr. Shao attended Shanghai Grain College where he majored in finance and accounting, and STV University where he majored in auditing.</w:t>
      </w:r>
    </w:p>
    <w:p>
      <w:pPr>
        <w:spacing w:after="0" w:line="183"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Kewei Huang </w:t>
      </w:r>
      <w:r>
        <w:rPr>
          <w:rFonts w:ascii="Arial" w:cs="Arial" w:eastAsia="Arial" w:hAnsi="Arial"/>
          <w:sz w:val="18"/>
          <w:szCs w:val="18"/>
          <w:color w:val="auto"/>
        </w:rPr>
        <w:t>is an independent director of the Company. From September 2014 to present, Mr. Huang has held the office of the chief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at Moxian, Inc. (MOXC), a Nasdaq listed company. In 1995, he received a PhD degree in component based technologies from the University of New South Wales. In addition, Mr. Huang holds a Bachelor’s degree in English from National University of Singapore and an MBA degree from Preston University.</w:t>
      </w:r>
    </w:p>
    <w:p>
      <w:pPr>
        <w:spacing w:after="0" w:line="180"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 xml:space="preserve">Kathryn Amooi </w:t>
      </w:r>
      <w:r>
        <w:rPr>
          <w:rFonts w:ascii="Arial" w:cs="Arial" w:eastAsia="Arial" w:hAnsi="Arial"/>
          <w:sz w:val="18"/>
          <w:szCs w:val="18"/>
          <w:color w:val="auto"/>
        </w:rPr>
        <w:t>is an independent director of the Company. Ms. Amooi has held various offices at Automatic Data Processing (ADP), LLC, a</w:t>
      </w:r>
      <w:r>
        <w:rPr>
          <w:rFonts w:ascii="Arial" w:cs="Arial" w:eastAsia="Arial" w:hAnsi="Arial"/>
          <w:sz w:val="18"/>
          <w:szCs w:val="18"/>
          <w:b w:val="1"/>
          <w:bCs w:val="1"/>
          <w:color w:val="auto"/>
        </w:rPr>
        <w:t xml:space="preserve"> </w:t>
      </w:r>
      <w:r>
        <w:rPr>
          <w:rFonts w:ascii="Arial" w:cs="Arial" w:eastAsia="Arial" w:hAnsi="Arial"/>
          <w:sz w:val="18"/>
          <w:szCs w:val="18"/>
          <w:color w:val="auto"/>
        </w:rPr>
        <w:t>human capital management company, including as Senior Vice President from May 2011 to December 2014, as Senior Division Vice President from May 2008 to June 2011, and Managing Director/General Manager from June 2005 to June 2008 at Automatic Data Processing (ADP) China, LLC. Ms. Amooi attended University of Southern California.</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None of the events listed in Item 401(f) of Regulation S-K has occurred during the past ten years that is material to the evaluation of the ability or integrity of any of our directors, director nominees or executive officers.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of Directors and 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Board; Risk Oversight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Board of Directors presently consists of 5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Except as noted above, there are no family relationships between any of our executive officers and directors. Officers are elected by, and serve at the discretion of, the board of directors. Our board of directors shall hold meetings on at least a quarterly basis.</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a smaller reporting company 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There are no membership qualifications for directors. Further, there are no share ownership qualifications for directors unless so fixed by us in a general meeting. There are no other arrangements or understandings pursuant to which our directors are selected or nominated.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79" w:name="page80"/>
    <w:bookmarkEnd w:id="7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Our board plays a significant role in our risk oversight. The board makes all relevant Company decisions. As such, it is important for us to have our Chief Executive Officer serve on the board as he plays key roles in the risk oversight or the Company. As a smaller reporting company with a small board of directors, we believe it is appropriate to have the involvement and input of all of our directors in risk oversight matters.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board has reviewed the independence of our directors, applying the NASDAQ independence standards. Based on this review, the board determined that each of Kathryn Amooi, Kewei Huang and Jin He Shao are “independent” within the meaning of the NASDAQ rules. In making this determination, our board considered the relationships that each of these non-employee directors has with us and all other facts and circumstances our board deemed relevant in determining their independence. As required under applicable NASDAQ rules, we anticipate that our independent directors will meet on a regular basis as often as necessary to fulfill their responsibilities, including at least annually in executive session without the presence of non-independent directors and management.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Duties of Directors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 shareholder may have the right to seek damages in our name if a duty owed by our directors is breached.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Currently, three committees have been established under the board: the Audit Committee, the Compensation Committee and the Nominating Committee.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of the board of directors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of the board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will be responsible for, among other matters:</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80" w:name="page81"/>
    <w:bookmarkEnd w:id="8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procedures for the confidential and or anonymous submission of concerns regarding accounting, internal controls or auditing matters;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related-party transactions.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Audit Committee consists of Kathryn Amooi, Kewei Huang and Jin He Shao,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will be responsible for, among other matters:</w:t>
      </w:r>
    </w:p>
    <w:p>
      <w:pPr>
        <w:spacing w:after="0" w:line="225" w:lineRule="exact"/>
        <w:rPr>
          <w:sz w:val="20"/>
          <w:szCs w:val="20"/>
          <w:color w:val="auto"/>
        </w:rPr>
      </w:pPr>
    </w:p>
    <w:p>
      <w:pPr>
        <w:ind w:left="660" w:right="2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to approve the compensation of our CEO and other executive officers and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administering incentive and equity-based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Compensation Committee consists of Kathryn Amooi, Kewei Huang and Jin He Shao, with Mr. Huang serving as chair of the Compensation Committee. Our board has affirmatively determined that each of the members of the Compensation Committee meets the definition of “independent director” for purposes of serving on Compensation Committee under NASDAQ rules.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Nominating Committee will be responsible for, among other matters:</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selecting or recommending for selection candidates for directorships;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evaluating the independence of directors and director nominees;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structure and composition of our board and the board committees;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principles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monitoring the Company’s Code of Business Conduct and Ethics;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overseeing the evaluation of the Company’s management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81" w:name="page82"/>
    <w:bookmarkEnd w:id="8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Our Nominating Committee consists of consists of Kathryn Amooi, Kewei Huang and Jin He Shao, with Ms. Amooi serving as chair of the Nominating Committee. Our board has affirmatively determined that each of the members of the Nominating Committee meets the definition of “independent director” for purposes of serving on a Nominating Committee under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board has adopted a code of business conduct and ethics that applies to our directors, officers and employees. A copy of this code is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Duties of Directors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See “Description of Share Capital—Differences in Corporate Law” for additional information on our directors’ fiduciary duties under Cayman Islands law. In fulfilling their duty of care to us, our directors must ensure compliance with our memorandum and articles of association. We have the right to seek damages if a duty owed by our directors is breached.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and powers of our board of directors include, among others:</w:t>
      </w:r>
    </w:p>
    <w:p>
      <w:pPr>
        <w:spacing w:after="0" w:line="225" w:lineRule="exact"/>
        <w:rPr>
          <w:sz w:val="20"/>
          <w:szCs w:val="20"/>
          <w:color w:val="auto"/>
        </w:rPr>
      </w:pPr>
    </w:p>
    <w:p>
      <w:pPr>
        <w:ind w:left="700" w:hanging="328"/>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225" w:lineRule="exact"/>
        <w:rPr>
          <w:rFonts w:ascii="Arial" w:cs="Arial" w:eastAsia="Arial" w:hAnsi="Arial"/>
          <w:sz w:val="18"/>
          <w:szCs w:val="18"/>
          <w:color w:val="auto"/>
        </w:rPr>
      </w:pPr>
    </w:p>
    <w:p>
      <w:pPr>
        <w:ind w:left="700" w:hanging="328"/>
        <w:spacing w:after="0"/>
        <w:tabs>
          <w:tab w:leader="none" w:pos="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authorizing the payment of donations to religious, charitable, public or other bodies, clubs, funds or associations as deemed advisable;</w:t>
      </w:r>
    </w:p>
    <w:p>
      <w:pPr>
        <w:spacing w:after="0" w:line="236" w:lineRule="exact"/>
        <w:rPr>
          <w:rFonts w:ascii="Arial" w:cs="Arial" w:eastAsia="Arial" w:hAnsi="Arial"/>
          <w:sz w:val="17"/>
          <w:szCs w:val="17"/>
          <w:color w:val="auto"/>
        </w:rPr>
      </w:pPr>
    </w:p>
    <w:p>
      <w:pPr>
        <w:ind w:left="700" w:hanging="328"/>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exercising the borrowing powers of the company and mortgaging the property of the company;</w:t>
      </w:r>
    </w:p>
    <w:p>
      <w:pPr>
        <w:spacing w:after="0" w:line="225" w:lineRule="exact"/>
        <w:rPr>
          <w:rFonts w:ascii="Arial" w:cs="Arial" w:eastAsia="Arial" w:hAnsi="Arial"/>
          <w:sz w:val="18"/>
          <w:szCs w:val="18"/>
          <w:color w:val="auto"/>
        </w:rPr>
      </w:pPr>
    </w:p>
    <w:p>
      <w:pPr>
        <w:ind w:left="700" w:hanging="328"/>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executing checks, promissory notes and other negotiable instruments on behalf of the company; and</w:t>
      </w:r>
    </w:p>
    <w:p>
      <w:pPr>
        <w:spacing w:after="0" w:line="225" w:lineRule="exact"/>
        <w:rPr>
          <w:rFonts w:ascii="Arial" w:cs="Arial" w:eastAsia="Arial" w:hAnsi="Arial"/>
          <w:sz w:val="18"/>
          <w:szCs w:val="18"/>
          <w:color w:val="auto"/>
        </w:rPr>
      </w:pPr>
    </w:p>
    <w:p>
      <w:pPr>
        <w:ind w:left="700" w:hanging="328"/>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maintaining or registering a register of mortgages, charges or other encumbrances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Interested Transactions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Remuneration and Borrowing</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6" w:right="419" w:bottom="1440" w:gutter="0" w:footer="0" w:header="0"/>
        </w:sectPr>
      </w:pPr>
    </w:p>
    <w:bookmarkStart w:id="82" w:name="page83"/>
    <w:bookmarkEnd w:id="8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annual compensation paid by us for the years ended June 30, 2017 and June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9"/>
              </w:rPr>
              <w:t>All Other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500" w:type="dxa"/>
            <w:vAlign w:val="bottom"/>
          </w:tcPr>
          <w:p>
            <w:pPr>
              <w:spacing w:after="0"/>
              <w:rPr>
                <w:sz w:val="20"/>
                <w:szCs w:val="20"/>
                <w:color w:val="auto"/>
              </w:rPr>
            </w:pPr>
            <w:r>
              <w:rPr>
                <w:rFonts w:ascii="Arial" w:cs="Arial" w:eastAsia="Arial" w:hAnsi="Arial"/>
                <w:sz w:val="18"/>
                <w:szCs w:val="18"/>
                <w:b w:val="1"/>
                <w:bCs w:val="1"/>
                <w:color w:val="auto"/>
              </w:rPr>
              <w:t>Name/principal position</w:t>
            </w:r>
          </w:p>
        </w:tc>
        <w:tc>
          <w:tcPr>
            <w:tcW w:w="120" w:type="dxa"/>
            <w:vAlign w:val="bottom"/>
          </w:tcPr>
          <w:p>
            <w:pPr>
              <w:spacing w:after="0"/>
              <w:rPr>
                <w:sz w:val="20"/>
                <w:szCs w:val="20"/>
                <w:color w:val="auto"/>
              </w:rPr>
            </w:pPr>
          </w:p>
        </w:tc>
        <w:tc>
          <w:tcPr>
            <w:tcW w:w="1240" w:type="dxa"/>
            <w:vAlign w:val="bottom"/>
          </w:tcPr>
          <w:p>
            <w:pPr>
              <w:ind w:left="44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Salary</w:t>
            </w:r>
          </w:p>
        </w:tc>
        <w:tc>
          <w:tcPr>
            <w:tcW w:w="8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Compensation</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120" w:type="dxa"/>
            <w:vAlign w:val="bottom"/>
          </w:tcPr>
          <w:p>
            <w:pPr>
              <w:spacing w:after="0"/>
              <w:rPr>
                <w:sz w:val="20"/>
                <w:szCs w:val="20"/>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5"/>
              </w:rPr>
              <w:t>Total Paid</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 Chairman and President (1)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1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8"/>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2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8"/>
              </w:rPr>
              <w:t>]</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2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8"/>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8"/>
              </w:rPr>
              <w:t>]</w:t>
            </w:r>
          </w:p>
        </w:tc>
      </w:tr>
      <w:tr>
        <w:trPr>
          <w:trHeight w:val="216"/>
        </w:trPr>
        <w:tc>
          <w:tcPr>
            <w:tcW w:w="4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2016</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44,601</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44,601</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Raymond Ming Hui Lin, CEO and Director</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2017</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[_]</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[_]</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[_]</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[_]</w:t>
            </w:r>
          </w:p>
        </w:tc>
      </w:tr>
      <w:tr>
        <w:trPr>
          <w:trHeight w:val="216"/>
        </w:trPr>
        <w:tc>
          <w:tcPr>
            <w:tcW w:w="4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2016</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36,332</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36,332</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Tian van Acken, CFO (3)</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2017</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[_]</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[_]</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[_]</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[_]</w:t>
            </w:r>
          </w:p>
        </w:tc>
      </w:tr>
      <w:tr>
        <w:trPr>
          <w:trHeight w:val="216"/>
        </w:trPr>
        <w:tc>
          <w:tcPr>
            <w:tcW w:w="4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2016</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Appointed Chairman and President effective as of December 8, 2017.</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Appointed Chief Executive Officer effective as of December 8, 2017.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Appointed Chief Financial Officer effective as of December 8, 2017.</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3" w:name="page84"/>
    <w:bookmarkEnd w:id="8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Under Chinese law, we may only terminate employment agreements without cause and without penalty by providing notice of non-renewal one month prior to the date on which the employment agreement is scheduled to expire. If we fail to provide this notice or if we wish to terminate an employment agreement in the absence of cause, then we are obligated to pay the employee one month’s salary for each year we have employed the employee. We are, however, permitted to terminate an employee for cause without penalty to our company, where the employee has committed a crime or the employee’s actions or inactions have resulted in a material adverse effect to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Equity Incentive Plan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adopted a 2017 Equity Incentive Plan (the “Plan”). The Plan is a stock-based compensation plan that provides for discretionary grants of, among others, stock options, stock awards and stock unit awards to key employees and directors of the Company. The purpose of the Plan is to recognize contributions made to our company and its subsidiaries by such individuals and to provide them with additional incentive to achieve the objectives of our Company. No grants have been made under the plan as of the date hereof. The following is a summary of the Plan and is qualified by the full text of the Plan.</w:t>
      </w:r>
    </w:p>
    <w:p>
      <w:pPr>
        <w:spacing w:after="0" w:line="18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Plan will be administered by our board of directors, or, once constituted, the Compensation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refer to body administering the Plan as the “Committee”).</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Number of Shares of Common Shares</w:t>
      </w:r>
      <w:r>
        <w:rPr>
          <w:rFonts w:ascii="Arial" w:cs="Arial" w:eastAsia="Arial" w:hAnsi="Arial"/>
          <w:sz w:val="16"/>
          <w:szCs w:val="16"/>
          <w:color w:val="auto"/>
        </w:rPr>
        <w:t>. The number of common shares that may be issued under the Plan is 2,210,000. Shares issuable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may be authorized but unissued shares or treasury shares. If there is a lapse, forfeiture, expiration, termination or cancellation of any award made under the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Plan. The number of common shares issuable under the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Plan. No award granted under the Plan may be transferred, except by will, the laws of descent and distribution.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All key employees and directors of the Company are eligible to receive awards under the Plan.</w:t>
      </w:r>
    </w:p>
    <w:p>
      <w:pPr>
        <w:spacing w:after="0" w:line="225"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i w:val="1"/>
          <w:iCs w:val="1"/>
          <w:color w:val="auto"/>
        </w:rPr>
        <w:t>Awards to Participants</w:t>
      </w:r>
      <w:r>
        <w:rPr>
          <w:rFonts w:ascii="Arial" w:cs="Arial" w:eastAsia="Arial" w:hAnsi="Arial"/>
          <w:sz w:val="18"/>
          <w:szCs w:val="18"/>
          <w:color w:val="auto"/>
        </w:rPr>
        <w:t>. The Plan provides for discretionary awards of, among others, stock options, stock awards and stock unit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Each award made under the Plan will be evidenced by a written award agreement specifying the terms and conditions of the award as determined by the Committee in its sole discretion, consistent with the terms of the Plan.</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Committee has the discretion to grant non-qualified stock options or incentive stock options to participants and to set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It is intended that stock options qualify as “performance-based compensation” under Section 162(m) of the Code and thus be fully deductible by us for federal income tax purposes, to the extent permitted by law. The aggregate maximum number of shares as to which a Key Employee may receive Stock Options and Stock Appreciation Rights in any calendar year is 100,000, except that the aggregate maximum number of shares as to which a Key Employee may receive Stock Options and Stock Appreciation Rights in the calendar year in which such Key Employee begins employment with the Company or its Subsidiaries is 250,000.</w:t>
      </w:r>
    </w:p>
    <w:p>
      <w:pPr>
        <w:spacing w:after="0" w:line="16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The Committee has the discretion to grant stock awards to participants. Shares granted under the Plan will be effective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are intended to qualify as “performance-based” in accordance with Section 162(m) of the Code that may be granted to any Key Employee in any calendar year is 250,000, or, in the event the award is settled in cash, an amount equal to the fair market value of such number of shares on the date on which the award is settled.</w:t>
      </w:r>
    </w:p>
    <w:p>
      <w:pPr>
        <w:spacing w:after="0" w:line="16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Payment for Stock Options and Withholding Taxes</w:t>
      </w:r>
      <w:r>
        <w:rPr>
          <w:rFonts w:ascii="Arial" w:cs="Arial" w:eastAsia="Arial" w:hAnsi="Arial"/>
          <w:sz w:val="16"/>
          <w:szCs w:val="16"/>
          <w:color w:val="auto"/>
        </w:rPr>
        <w:t>. The Committee may make one or more of the following methods available for payment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ectPr>
          <w:pgSz w:w="11900" w:h="16838" w:orient="portrait"/>
          <w:cols w:equalWidth="0" w:num="1">
            <w:col w:w="11240"/>
          </w:cols>
          <w:pgMar w:left="320" w:top="226" w:right="3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84" w:name="page85"/>
    <w:bookmarkEnd w:id="8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i w:val="1"/>
          <w:iCs w:val="1"/>
          <w:color w:val="auto"/>
        </w:rPr>
        <w:t>Amendment of Award Agreements; Amendment and Termination of the Plan; Term of the Plan</w:t>
      </w:r>
      <w:r>
        <w:rPr>
          <w:rFonts w:ascii="Arial" w:cs="Arial" w:eastAsia="Arial" w:hAnsi="Arial"/>
          <w:sz w:val="18"/>
          <w:szCs w:val="18"/>
          <w:color w:val="auto"/>
        </w:rPr>
        <w:t>. The Committee may amend any 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at 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w:t>
      </w:r>
    </w:p>
    <w:p>
      <w:pPr>
        <w:spacing w:after="0" w:line="195" w:lineRule="exact"/>
        <w:rPr>
          <w:sz w:val="20"/>
          <w:szCs w:val="20"/>
          <w:color w:val="auto"/>
        </w:rPr>
      </w:pPr>
    </w:p>
    <w:p>
      <w:pPr>
        <w:jc w:val="both"/>
        <w:ind w:right="160" w:firstLine="648"/>
        <w:spacing w:after="0" w:line="301" w:lineRule="auto"/>
        <w:rPr>
          <w:sz w:val="20"/>
          <w:szCs w:val="20"/>
          <w:color w:val="auto"/>
        </w:rPr>
      </w:pPr>
      <w:r>
        <w:rPr>
          <w:rFonts w:ascii="Arial" w:cs="Arial" w:eastAsia="Arial" w:hAnsi="Arial"/>
          <w:sz w:val="16"/>
          <w:szCs w:val="16"/>
          <w:color w:val="auto"/>
        </w:rPr>
        <w:t>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(This prohibition on repricing without shareholder approval does not apply in case of an equitable adjustment to the awards to reflect changes in the capital structure of the company or similar events.)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awards may be granted under the Plan on or after the tenth anniversary of the effective date of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Transactions</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w:t>
      </w:r>
    </w:p>
    <w:p>
      <w:pPr>
        <w:spacing w:after="0" w:line="18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and Borrowing</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w:t>
      </w:r>
    </w:p>
    <w:p>
      <w:pPr>
        <w:spacing w:after="0" w:line="17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Other Indemnification Matters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85" w:name="page86"/>
    <w:bookmarkEnd w:id="8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All directors hold office until the next annual meeting of shareholders at which their respective class of directors is re-elected and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$[_] per year for serving as directors and may receive option grants from our company. In addition, non-employee directors are entitled to receive compensation for their actual travel expenses for each Board of Directors meeting attended, up to a maximum of $[_] per meeting and $[_] per year. Our directors received no compensation in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 following is a description of transactions since July 1, 2015, in which the amount involved in the transaction exceeded or will exceed the lesser of $120,000 or one percent of the average of our total assets as at the year-end for the last two completed fiscal years, and to which any of our directors, executive officers or beneficial holders of more than 5% of our capital stock, or any immediate family member of, or person sharing the household with, any of these individuals, had or will have a direct or indirect material interest.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color w:val="auto"/>
              </w:rPr>
              <w:t>The balances due to and due from related parties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4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shareholder of CLPS Beijing</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Affiliates of non-controlling interest shareholder of Judge China*</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103,255</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The amount was subsequently offset with the acquisition payable (note 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Shanghai Qisheng Co., Ltd (“Qisheng”), controlled by the Chairman of the Company</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Mr. Raymond Ming Hui Lin, CEO of the Company (i)</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1,722,711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1,140,975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1,729,791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1,148,197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40" w:right="2020" w:hanging="5532"/>
        <w:spacing w:after="0" w:line="778" w:lineRule="auto"/>
        <w:tabs>
          <w:tab w:leader="none" w:pos="3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Due to related parties mainly represents the unpaid bonus, dividends, wages and other benefit to the Company’s executives.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6" w:name="page87"/>
    <w:bookmarkEnd w:id="8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tables set forth certain information with respect to the beneficial ownership of our common shares and as adjusted to reflect the sale of the common shares offered by us in our initial public offering, for:</w:t>
      </w:r>
    </w:p>
    <w:p>
      <w:pPr>
        <w:spacing w:after="0" w:line="170"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common shares;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[_], 2017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 dealer. None of the stockholders listed in the table are located in the United States and none of the common shares held by them are located in the United States. Applicable percentage ownership is based on 11,290,000 common shares outstanding as of [_], 2017. Unless otherwise indicated, the address of each beneficial owner listed in the table below is c/o CLPS Incorporation, c/o 2nd Floor, Building 18, Shanghai Pudong Software Park, 498 Guoshoujing Road, Pudong, Shanghai 201203. People’s Republic of China.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Beneficial</w:t>
            </w:r>
          </w:p>
        </w:tc>
      </w:tr>
      <w:tr>
        <w:trPr>
          <w:trHeight w:val="216"/>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0"/>
              </w:rPr>
              <w:t>Ownership</w:t>
            </w:r>
          </w:p>
        </w:tc>
      </w:tr>
      <w:tr>
        <w:trPr>
          <w:trHeight w:val="216"/>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Beneficial Ownership</w:t>
            </w:r>
          </w:p>
        </w:tc>
        <w:tc>
          <w:tcPr>
            <w:tcW w:w="12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5"/>
              </w:rPr>
              <w:t>After</w:t>
            </w:r>
          </w:p>
        </w:tc>
      </w:tr>
      <w:tr>
        <w:trPr>
          <w:trHeight w:val="241"/>
        </w:trPr>
        <w:tc>
          <w:tcPr>
            <w:tcW w:w="7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Prior to Offering (1)</w:t>
            </w:r>
          </w:p>
        </w:tc>
        <w:tc>
          <w:tcPr>
            <w:tcW w:w="12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4"/>
              </w:rPr>
              <w:t>Offering (1)</w:t>
            </w:r>
          </w:p>
        </w:tc>
      </w:tr>
      <w:tr>
        <w:trPr>
          <w:trHeight w:val="198"/>
        </w:trPr>
        <w:tc>
          <w:tcPr>
            <w:tcW w:w="7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gridSpan w:val="2"/>
          </w:tcPr>
          <w:p>
            <w:pPr>
              <w:ind w:left="140"/>
              <w:spacing w:after="0" w:line="198" w:lineRule="exact"/>
              <w:rPr>
                <w:sz w:val="20"/>
                <w:szCs w:val="20"/>
                <w:color w:val="auto"/>
              </w:rPr>
            </w:pPr>
            <w:r>
              <w:rPr>
                <w:rFonts w:ascii="Arial" w:cs="Arial" w:eastAsia="Arial" w:hAnsi="Arial"/>
                <w:sz w:val="18"/>
                <w:szCs w:val="18"/>
                <w:b w:val="1"/>
                <w:bCs w:val="1"/>
                <w:color w:val="auto"/>
              </w:rPr>
              <w:t>Common</w:t>
            </w:r>
          </w:p>
        </w:tc>
        <w:tc>
          <w:tcPr>
            <w:tcW w:w="10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Beneficial Owner</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Percentage</w:t>
            </w:r>
          </w:p>
        </w:tc>
        <w:tc>
          <w:tcPr>
            <w:tcW w:w="3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220" w:type="dxa"/>
            <w:vAlign w:val="bottom"/>
            <w:tcBorders>
              <w:bottom w:val="single" w:sz="8" w:color="CCEEFF"/>
            </w:tcBorders>
          </w:tcPr>
          <w:p>
            <w:pPr>
              <w:spacing w:after="0"/>
              <w:rPr>
                <w:sz w:val="20"/>
                <w:szCs w:val="20"/>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Xiao Feng Yang (2)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w:t>
            </w: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Raymond Ming Hui Lin (3)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44.29%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[_]%</w:t>
            </w: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 van Acken</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[_]%</w:t>
            </w: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Jin He Shao</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[_]%</w:t>
            </w: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Kewei Huang</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[_]%</w:t>
            </w: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Kathryn Amooi</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[_]%</w:t>
            </w:r>
          </w:p>
        </w:tc>
      </w:tr>
      <w:tr>
        <w:trPr>
          <w:trHeight w:val="216"/>
        </w:trPr>
        <w:tc>
          <w:tcPr>
            <w:tcW w:w="7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(6 persons)</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[_]%</w:t>
            </w:r>
          </w:p>
        </w:tc>
      </w:tr>
      <w:tr>
        <w:trPr>
          <w:trHeight w:val="216"/>
        </w:trPr>
        <w:tc>
          <w:tcPr>
            <w:tcW w:w="7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Qinrui Ltd. (2)</w:t>
            </w:r>
          </w:p>
        </w:tc>
        <w:tc>
          <w:tcPr>
            <w:tcW w:w="1000" w:type="dxa"/>
            <w:vAlign w:val="bottom"/>
          </w:tcPr>
          <w:p>
            <w:pPr>
              <w:ind w:left="220"/>
              <w:spacing w:after="0"/>
              <w:rPr>
                <w:sz w:val="20"/>
                <w:szCs w:val="20"/>
                <w:color w:val="auto"/>
              </w:rPr>
            </w:pPr>
            <w:r>
              <w:rPr>
                <w:rFonts w:ascii="Arial" w:cs="Arial" w:eastAsia="Arial" w:hAnsi="Arial"/>
                <w:sz w:val="18"/>
                <w:szCs w:val="18"/>
                <w:color w:val="auto"/>
                <w:w w:val="94"/>
              </w:rPr>
              <w:t>5,000,000</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44.29%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[_]%</w:t>
            </w: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Qinhui Ltd. (3)</w:t>
            </w:r>
          </w:p>
        </w:tc>
        <w:tc>
          <w:tcPr>
            <w:tcW w:w="10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5,000,000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[_]%</w:t>
            </w:r>
          </w:p>
        </w:tc>
      </w:tr>
      <w:tr>
        <w:trPr>
          <w:trHeight w:val="216"/>
        </w:trPr>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or greater beneficial owners as a group</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2303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9"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340" w:right="120" w:hanging="332"/>
        <w:spacing w:after="0" w:line="265"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the rules of the SEC and includes voting or investment power with respect to the common shares or the power to receive the economic benefit of the common shares. This calculation also assumes that the underwriters exercise their option to purchase [_] additional shares in full for the purpose of covering over-allotments. See “Underwriting”.</w:t>
      </w:r>
    </w:p>
    <w:p>
      <w:pPr>
        <w:ind w:left="340" w:right="200" w:hanging="332"/>
        <w:spacing w:after="0" w:line="250"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British Virgin Islands corporation with the mailing address of c/o Vistra Corporate Services Centre, WIskhams Cay II, Road Town, Tortola, VG 1110, British Virgin Islands, with Xian Feng Yang as its sole shareholder. As such, Mr. Yang is deemed to be the owner of all shares of the Company held by this entity.</w:t>
      </w:r>
    </w:p>
    <w:p>
      <w:pPr>
        <w:spacing w:after="0" w:line="1" w:lineRule="exact"/>
        <w:rPr>
          <w:rFonts w:ascii="Arial" w:cs="Arial" w:eastAsia="Arial" w:hAnsi="Arial"/>
          <w:sz w:val="18"/>
          <w:szCs w:val="18"/>
          <w:color w:val="auto"/>
        </w:rPr>
      </w:pPr>
    </w:p>
    <w:p>
      <w:pPr>
        <w:ind w:left="340" w:right="380" w:hanging="332"/>
        <w:spacing w:after="0" w:line="255"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British Virgin Islands corporation with the mailing address of c/o Vistra Corporate Services Centre, WIskhams Cay II, Road Town, Tortola, VG 1110, British Virgin Islands, with Raymond Ming Hui Lin as its sole shareholder. As such, Mr. Lin is deemed to be the owner of all shares of the Company held by this entity.</w:t>
      </w:r>
    </w:p>
    <w:p>
      <w:pPr>
        <w:spacing w:after="0" w:line="190"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As of December [_], 2017, there were [_] holders of record entered in our share register, of which [no] holders were U.S. residents.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w:t>
      </w:r>
    </w:p>
    <w:p>
      <w:pPr>
        <w:spacing w:after="0" w:line="149"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To our knowledge, no other shareholder beneficially owns more than 5% of our shares. Our company is not owned or controlled directly or indirectly by any government or by any corporation or by any other natural or legal person severally or jointly. Our major shareholders do not have any special voting rights.</w:t>
      </w:r>
    </w:p>
    <w:p>
      <w:pPr>
        <w:sectPr>
          <w:pgSz w:w="11900" w:h="16838" w:orient="portrait"/>
          <w:cols w:equalWidth="0" w:num="1">
            <w:col w:w="11240"/>
          </w:cols>
          <w:pgMar w:left="320" w:top="226"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87" w:name="page88"/>
    <w:bookmarkEnd w:id="8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420" w:firstLine="648"/>
        <w:spacing w:after="0" w:line="257" w:lineRule="auto"/>
        <w:rPr>
          <w:sz w:val="20"/>
          <w:szCs w:val="20"/>
          <w:color w:val="auto"/>
        </w:rPr>
      </w:pPr>
      <w:r>
        <w:rPr>
          <w:rFonts w:ascii="Arial" w:cs="Arial" w:eastAsia="Arial" w:hAnsi="Arial"/>
          <w:sz w:val="18"/>
          <w:szCs w:val="18"/>
          <w:color w:val="auto"/>
        </w:rPr>
        <w:t>We are a Cayman Islands company and our affairs are governed by our Memorandum and Articles of Association and Companies Law of the Cayman Islands, which we refer to as the Companies Law below. As of the date hereof, our authorized share capital consists of 100,000,000 common shares with a par value of US$0.0001 per share. As of the date of this prospectus, there are 11,290,000 common shares issued and outstanding. The following are summaries of material provisions of our memorandum and articles of association and the Companies Law insofar as they relate to the material terms of our common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ommon Shares</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Upon the completion of this offering, our authorized share capital is US$[_] divided into [_] common shares of par value US$[_]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[_] shares of a par value of US$[_] each of such class (however designated) as the board of directors may determine in accordance with the Articles. All of our outstanding common shares are fully paid and non-assessable. Certificates representing the common shares are issued in registered form. Our shareholders, whether or not they are non-residents of the Cayman Islands, may freely hold and transfer their common shares in accordance with the Memorandum and Articles of Association.</w:t>
      </w:r>
    </w:p>
    <w:p>
      <w:pPr>
        <w:spacing w:after="0" w:line="188"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The holders of our common shares are entitled to such dividends as may be declared by our board of directors. Our articles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association provide that our board of directors may declare and pay dividends if justified by our financial position and permitted by law.</w:t>
      </w:r>
    </w:p>
    <w:p>
      <w:pPr>
        <w:spacing w:after="0" w:line="1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In respect of all matters subject to a shareholders’ vote, each common share is entitled to one vote. Voting at any meeting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Transfer of Common Shares. </w:t>
      </w:r>
      <w:r>
        <w:rPr>
          <w:rFonts w:ascii="Arial" w:cs="Arial" w:eastAsia="Arial" w:hAnsi="Arial"/>
          <w:sz w:val="17"/>
          <w:szCs w:val="17"/>
          <w:color w:val="auto"/>
        </w:rPr>
        <w:t>Subject to the restrictions set out below, any of our shareholders may transfer all or any of his or her common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178"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b w:val="1"/>
          <w:bCs w:val="1"/>
          <w:i w:val="1"/>
          <w:iCs w:val="1"/>
          <w:color w:val="auto"/>
        </w:rPr>
        <w:t xml:space="preserve">Calls on Common Shares and Forfeiture of Common Shares. </w:t>
      </w:r>
      <w:r>
        <w:rPr>
          <w:rFonts w:ascii="Arial" w:cs="Arial" w:eastAsia="Arial" w:hAnsi="Arial"/>
          <w:sz w:val="18"/>
          <w:szCs w:val="18"/>
          <w:color w:val="auto"/>
        </w:rPr>
        <w:t>Our board of directors may from time to time make calls upon shareholders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amounts unpaid on their common shares in a notice served to such shareholders at least 14 clear days prior to the specified time of payment. The common shares that have been called upon and remain unpaid are subject to forfeiture.</w:t>
      </w:r>
    </w:p>
    <w:p>
      <w:pPr>
        <w:spacing w:after="0" w:line="18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b w:val="1"/>
          <w:bCs w:val="1"/>
          <w:i w:val="1"/>
          <w:iCs w:val="1"/>
          <w:color w:val="auto"/>
        </w:rPr>
        <w:t xml:space="preserve">Redemption of Common Shares. </w:t>
      </w:r>
      <w:r>
        <w:rPr>
          <w:rFonts w:ascii="Arial" w:cs="Arial" w:eastAsia="Arial" w:hAnsi="Arial"/>
          <w:sz w:val="17"/>
          <w:szCs w:val="17"/>
          <w:color w:val="auto"/>
        </w:rPr>
        <w:t>The Companies Law and our memorandum of association permit us to purchase our own shares.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our articles of association and provided the necessary shareholders or board approval have been obtained, we may issue shares on terms that are subject to redemption, at our option or at the option of the holders of these shares, on such terms and in such manner, provided the requirements under the Companies Law have been satisfied, including out of capital, as may be determined by our board of directors.</w:t>
      </w:r>
    </w:p>
    <w:p>
      <w:pPr>
        <w:spacing w:after="0" w:line="17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Inspection of Books and Records. </w:t>
      </w:r>
      <w:r>
        <w:rPr>
          <w:rFonts w:ascii="Arial" w:cs="Arial" w:eastAsia="Arial" w:hAnsi="Arial"/>
          <w:sz w:val="18"/>
          <w:szCs w:val="18"/>
          <w:color w:val="auto"/>
        </w:rPr>
        <w:t>Holders of our common shares have no general right under our articles of association to inspect or obtain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copies of our list of shareholders or our corporate records. However, we will provide our shareholders with annual audited financial statements. See “Where You Can Find Additional Information.”</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Issuance of Additional Shares. </w:t>
      </w:r>
      <w:r>
        <w:rPr>
          <w:rFonts w:ascii="Arial" w:cs="Arial" w:eastAsia="Arial" w:hAnsi="Arial"/>
          <w:sz w:val="18"/>
          <w:szCs w:val="18"/>
          <w:color w:val="auto"/>
        </w:rPr>
        <w:t>Our memorandum of association authorizes our board of directors to issue additional common shares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as our board of directors shall determine, to the extent of available authorized but unissued shares. Our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18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designation of the series to be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88" w:name="page89"/>
    <w:bookmarkEnd w:id="8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common shares.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memorandum and articles of association may discourage, delay or prevent a change of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 – Exclusive Forum Provision</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Articles of Association provides that the courts of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Companies Law, the Memorandum of Association of the Company or the Articles of Association of the Company, and (iv) any action asserting a claim against the Company in respect of shareholders’ rights as shareholders or distributions of dividends. This choice of forum provision may limit a shareholder’s ability to bring a claim in a judicial forum that it finds favorable for disputes with us or our directors, officers or other employees, which may discourage such lawsuits against us and our directors, officers and employees. Alternatively, a court, including a Cayman Islands court, could find these provisions of our Articles of Association to be inapplicable or unenforceable in respect of one or more of the specified types of actions or proceedings, which may require us to incur additional costs associated with resolving such matters in other jurisdictions, which could adversely affect our business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2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Companies Law is modeled after that of English law but does not follow many recent English law statutory enactments. In addition, the Companies Law differs from laws applicable to United States corporations and their shareholders. Set forth below is a summary of some of the significant differences between the provisions of the Companies Law applicable to us and the laws applicable to companies incorporated in the State of Delaware.</w:t>
      </w:r>
    </w:p>
    <w:p>
      <w:pPr>
        <w:spacing w:after="0" w:line="14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b w:val="1"/>
          <w:bCs w:val="1"/>
          <w:i w:val="1"/>
          <w:iCs w:val="1"/>
          <w:color w:val="auto"/>
        </w:rPr>
        <w:t xml:space="preserve">Mergers and Similar Arrangements. </w:t>
      </w:r>
      <w:r>
        <w:rPr>
          <w:rFonts w:ascii="Arial" w:cs="Arial" w:eastAsia="Arial" w:hAnsi="Arial"/>
          <w:sz w:val="18"/>
          <w:szCs w:val="18"/>
          <w:color w:val="auto"/>
        </w:rPr>
        <w:t>The Companies Law permits mergers and consolidations between Cayman Islands companies and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a “consolidation” means the combination of two or more constituent companies into a consolidated company and the vesting of the undertaking, property and liabilities of such companies to the consolidated company.</w:t>
      </w:r>
    </w:p>
    <w:p>
      <w:pPr>
        <w:spacing w:after="0" w:line="188"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 order to effect a merger or consolidation, the directors of each constituent company must approve a written plan of merger or consolidation, which must then be authorized by a special resolution of the shareholders of each constituent company, and such other authorization, if any, as may be specified in such constituent company’s articles of association.</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under the Companies Law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89" w:name="page90"/>
    <w:bookmarkEnd w:id="8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170"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arrangement is such that an intelligent and honest man of that class acting in respect of his interest would reasonably approve;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When a take-over offer is made and accepted by holders of not less than 90% of the shares within four months, the offer, or may, within a two-month period conversing on the expiration of such four months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87"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4"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b w:val="1"/>
          <w:bCs w:val="1"/>
          <w:i w:val="1"/>
          <w:iCs w:val="1"/>
          <w:color w:val="auto"/>
        </w:rPr>
        <w:t xml:space="preserve">Shareholders’ Suits. </w:t>
      </w:r>
      <w:r>
        <w:rPr>
          <w:rFonts w:ascii="Arial" w:cs="Arial" w:eastAsia="Arial" w:hAnsi="Arial"/>
          <w:sz w:val="18"/>
          <w:szCs w:val="18"/>
          <w:color w:val="auto"/>
        </w:rPr>
        <w:t>In principle, we will normally be the proper plaintiff to sue for a wrong done to us as a company and as a general rule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84"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 and is therefore incapable of ratification by the shareholders;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duly effected if authorized by more than a simple majority vote that has not been obtained;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Indemnification of Directors and Executive Officers and Limitation of Liability. </w:t>
      </w:r>
      <w:r>
        <w:rPr>
          <w:rFonts w:ascii="Arial" w:cs="Arial" w:eastAsia="Arial" w:hAnsi="Arial"/>
          <w:sz w:val="16"/>
          <w:szCs w:val="16"/>
          <w:color w:val="auto"/>
        </w:rPr>
        <w:t>The Companies Law does not limit the extent to which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0" w:name="page91"/>
    <w:bookmarkEnd w:id="9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b w:val="1"/>
          <w:bCs w:val="1"/>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based on his or her position as director (unless the company permits him or her to do so) and a duty not to put himself or herself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courts are moving towards an objective standard with regard to the required skill and care and these authorities are likely to be followed in the Cayman Islands.</w:t>
      </w:r>
    </w:p>
    <w:p>
      <w:pPr>
        <w:spacing w:after="0" w:line="174"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Shareholder Action by Written Consent. </w:t>
      </w:r>
      <w:r>
        <w:rPr>
          <w:rFonts w:ascii="Arial" w:cs="Arial" w:eastAsia="Arial" w:hAnsi="Arial"/>
          <w:sz w:val="18"/>
          <w:szCs w:val="18"/>
          <w:color w:val="auto"/>
        </w:rPr>
        <w:t>Under the Delaware General Corporation Law, a corporation may eliminate the right of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by written consent by amendment to its certificate of incorporation. Cayman Islands law and our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b w:val="1"/>
          <w:bCs w:val="1"/>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The Companies Law provides shareholders with only limited rights to requisition a general meeting and does not provide shareholders with any right to put any proposal before a general meeting. However, these rights may be provided in articles of association. Our articles of association allow our shareholders holding not less than 40%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Cumulative Voting. </w:t>
      </w:r>
      <w:r>
        <w:rPr>
          <w:rFonts w:ascii="Arial" w:cs="Arial" w:eastAsia="Arial" w:hAnsi="Arial"/>
          <w:sz w:val="18"/>
          <w:szCs w:val="18"/>
          <w:color w:val="auto"/>
        </w:rPr>
        <w:t>Under the Delaware General Corporation Law, cumulative voting for elections of directors is not permitted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Law but our articles of association do not provide for cumulative voting.</w:t>
      </w:r>
    </w:p>
    <w:p>
      <w:pPr>
        <w:spacing w:after="0" w:line="188"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b w:val="1"/>
          <w:bCs w:val="1"/>
          <w:i w:val="1"/>
          <w:iCs w:val="1"/>
          <w:color w:val="auto"/>
        </w:rPr>
        <w:t xml:space="preserve">Removal of Directors. </w:t>
      </w:r>
      <w:r>
        <w:rPr>
          <w:rFonts w:ascii="Arial" w:cs="Arial" w:eastAsia="Arial" w:hAnsi="Arial"/>
          <w:sz w:val="18"/>
          <w:szCs w:val="18"/>
          <w:color w:val="auto"/>
        </w:rPr>
        <w:t>Under the Delaware General Corporation Law, a director of a corporation with a may be removed with the approval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outstanding shares entitled to vote, unless the certificate of incorporation provides otherwise. Under our articles of association, directors may be removed with or without cause, by an ordinary resolution of our shareholders.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1" w:name="page92"/>
    <w:bookmarkEnd w:id="9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Companies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7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b w:val="1"/>
          <w:bCs w:val="1"/>
          <w:i w:val="1"/>
          <w:iCs w:val="1"/>
          <w:color w:val="auto"/>
        </w:rPr>
        <w:t xml:space="preserve">Dissolution; Winding up. </w:t>
      </w:r>
      <w:r>
        <w:rPr>
          <w:rFonts w:ascii="Arial" w:cs="Arial" w:eastAsia="Arial" w:hAnsi="Arial"/>
          <w:sz w:val="17"/>
          <w:szCs w:val="17"/>
          <w:color w:val="auto"/>
        </w:rPr>
        <w:t>Under the Delaware General Corporation Law, unless the board of directors approves the proposal to dissolve,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articles of association, our company may be dissolved, liquidated or wound up by a special resolution of our shareholders.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the Companies Law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separate general meeting of the holders of the shares of that class.</w:t>
      </w:r>
    </w:p>
    <w:p>
      <w:pPr>
        <w:spacing w:after="0" w:line="188" w:lineRule="exact"/>
        <w:rPr>
          <w:sz w:val="20"/>
          <w:szCs w:val="20"/>
          <w:color w:val="auto"/>
        </w:rPr>
      </w:pPr>
    </w:p>
    <w:p>
      <w:pPr>
        <w:jc w:val="both"/>
        <w:ind w:right="300" w:firstLine="648"/>
        <w:spacing w:after="0" w:line="311" w:lineRule="auto"/>
        <w:rPr>
          <w:sz w:val="20"/>
          <w:szCs w:val="20"/>
          <w:color w:val="auto"/>
        </w:rPr>
      </w:pPr>
      <w:r>
        <w:rPr>
          <w:rFonts w:ascii="Arial" w:cs="Arial" w:eastAsia="Arial" w:hAnsi="Arial"/>
          <w:sz w:val="16"/>
          <w:szCs w:val="16"/>
          <w:b w:val="1"/>
          <w:bCs w:val="1"/>
          <w:i w:val="1"/>
          <w:iCs w:val="1"/>
          <w:color w:val="auto"/>
        </w:rPr>
        <w:t xml:space="preserve">Amendment of Governing Documents. </w:t>
      </w:r>
      <w:r>
        <w:rPr>
          <w:rFonts w:ascii="Arial" w:cs="Arial" w:eastAsia="Arial" w:hAnsi="Arial"/>
          <w:sz w:val="16"/>
          <w:szCs w:val="16"/>
          <w:color w:val="auto"/>
        </w:rPr>
        <w:t>Under the Delaware General Corporation Law, a corporation’s governing documents may be amended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approval of a majority of the outstanding shares entitled to vote, unless the certificate of incorporation provides otherwise. As permitted by the Companies Law, our memorandum and articles of association may only be amended with a special resolution of our shareholders.</w:t>
      </w:r>
    </w:p>
    <w:p>
      <w:pPr>
        <w:spacing w:after="0" w:line="149"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b w:val="1"/>
          <w:bCs w:val="1"/>
          <w:i w:val="1"/>
          <w:iCs w:val="1"/>
          <w:color w:val="auto"/>
        </w:rPr>
        <w:t xml:space="preserve">Rights of Non-resident or Foreign Shareholders. </w:t>
      </w:r>
      <w:r>
        <w:rPr>
          <w:rFonts w:ascii="Arial" w:cs="Arial" w:eastAsia="Arial" w:hAnsi="Arial"/>
          <w:sz w:val="17"/>
          <w:szCs w:val="17"/>
          <w:color w:val="auto"/>
        </w:rPr>
        <w:t>There are no limitations imposed by our memorandum and articles of association on the rights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Future sales of substantial amounts of common shares in the public market after this offering could adversely affect market prices prevailing from time to time and could impair our ability to raise capital through the sale of our equity securities. We are unable to estimate the number of shares that may be sold in the future.</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Upon the completion of this offering, we will have outstanding [_] common shares. The amount of shares outstanding upon completion of this offering assumes no exercise of the underwriters’ option to purchase additional shares. All of the shares sold in this offering will be freely tradable without restriction under the Securities Act unless purchased by one of our affiliates as that term is defined in Rule 144 under the Securities Act, which generally includes directors, officers or 10% stockholders.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92" w:name="page93"/>
    <w:bookmarkEnd w:id="9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and our executive officers and directors have agreed with the underwriters not to offer, sell, dispose of or hedge any shares of our common shares, subject to specified limited exceptions and extensions described elsewhere in this prospectus, during the period continuing through the date that is [_] months (subject to extension) after the date of this prospectus, except with the prior written consent of [_] on behalf of the underwriters. [_] in its sole discretion on behalf of the underwriters, may release any of the securities subject to these lock-up agreements at any time without notice. The lock-up period may be extended in the circumstances described under “Underwriting.”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Common shares held by any of our affiliates, as that term is defined in Rule 144 of the Securities Act, as well as shares held by our current stockholders, may be resold only pursuant to further registration under the Securities Act or in transactions that are exempt from registration under the Securities Act. In general, under Rule 144 as currently in effect, beginning 90 days after our Form F-1 Registration Statement becomes effective, any of our affiliates would be entitled to sell, without further registration, within any three-month period a number of shares that does not exceed the greater of:</w:t>
      </w:r>
    </w:p>
    <w:p>
      <w:pPr>
        <w:spacing w:after="0" w:line="15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 of the number of common shares then outstanding, which will equal approximately shares immediately after this offering; or</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average weekly trading volume of the common shares during the four calendar weeks preceding the filing of a Form 144 with respect to the sale.</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Sales under Rule 144 by our affiliates will also be subject to manner of sale provisions and notice requirements and to the availability of current public information about 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i w:val="1"/>
          <w:iCs w:val="1"/>
          <w:color w:val="auto"/>
        </w:rPr>
        <w:t>The following summary of the material Cayman Islands, PRC and U.S. federal income tax consequences of an investment in our common shares is based upon laws and relevant interpretations thereof in effect as of the date of this prospectus, all of which are subject to change. This summary does not deal with all possible tax consequences relating to an investment in our common shares, such as the tax consequences under state, local and other tax laws.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Cayman Islands currently levy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the Company. There are no exchange control regulations or currency restrictions in the Cayman Islands.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93" w:name="page94"/>
    <w:bookmarkEnd w:id="9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PRC Income Tax Considerations</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Under the new EIT Law and the Implementing Rules, an enterprise established outside of the PRC with “de facto management bodies” within the PRC is considered as a resident enterprise and will be subject to a PRC income tax on its global income. According to the Implementing Rules, “de facto management bodies” refer to “establishments that carry out substantial and overall management and control over the manufacturing and business operations, personnel, accounting, properties, etc. of an enterprise.” Accordingly, our holding company may be considered a resident enterprise and may therefore be subject to a PRC income tax on our global income. The State Administration of Taxation issued the Notice Regarding the Determination of Chinese-Controlled Offshore Incorporated Enterprises as PRC Tax Resident Enterprises on the Basis of De Facto Management Bodies, or Circular 82, on April 22, 2009. Circular 82 provides certain specific criteria for determining whether the “de facto management body” of a Chinese-controlled offshore incorporated enterprise is located in China. Although Circular 82 only applies to offshore enterprises controlled by PRC enterprises and not those invested in by individuals or foreign enterprises,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or controlled by or invested in by individuals or foreign enterprises. If we are considered a resident enterprise and earn income other than dividends from our PRC subsidiary, such PRC income tax on our global income could significantly increase our tax burden and materially and adversely affect our cash flow and profitability.</w:t>
      </w:r>
    </w:p>
    <w:p>
      <w:pPr>
        <w:spacing w:after="0" w:line="186"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If the PRC tax authorities determine that CLPS Incorporation or any of our subsidiaries outside of China is a “resident enterprise” for PRC enterprise income tax purposes, a number of PRC tax consequences could follow. First, CLPS Incorporation or any of our subsidiaries outside of China may be subject to enterprise income tax at a rate of 25% on our worldwide taxable income, as well as PRC enterprise income tax reporting obligations. Second, under the EIT Law and its implementing rules, dividends paid between “qualified resident enterprises” are exempt from enterprise income tax.</w:t>
      </w:r>
    </w:p>
    <w:p>
      <w:pPr>
        <w:spacing w:after="0" w:line="15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CLPS Incorporation or any of our subsidiaries outside of China were treated as a PRC “non-resident enterprise” under the EIT Law, then dividends that it receives from its PRC operating subsidiary (assuming such dividends were considered sourced within the PRC) (1) may be subject to a 5% PRC withholding tax, if the Arrangement between the Mainland of China and the Hong Kong Special Administrative Region for the Avoidance of Double Taxation and the Prevention of Fiscal Evasion with Respect to Taxes on Income (the “PRC — Hong Kong Tax Treaty”) were applicable, or (2) if such treaty does not apply (i.e., because the PRC tax authorities may deem the Hong Kong enterprise to be a conduit not entitled to treaty benefits), may be subject to a 10% PRC withholding tax. Any such taxes on dividends could materially reduce the amount of dividends, if any, we could pay to its shareholders.</w:t>
      </w:r>
    </w:p>
    <w:p>
      <w:pPr>
        <w:spacing w:after="0" w:line="19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Finally, the new “resident enterprise” classification could result in a situation in which a 10% PRC tax is imposed on dividends we pay to its non-PRC shareholders that are not PRC tax “resident enterprises” and gains derived by them from transferring our common shares or warrants, if such income is considered PRC-sourced income by the relevant PRC authorities. In such event, we may be required to withhold the 10% PRC tax on any dividends paid to its non-PRC resident shareholders. Our non-PRC resident shareholders also may be responsible for paying PRC tax at a rate of 10% on any gain realized from the sale or transfer of common shares or warrants in certain circumstances. We would not, however, have an obligation to withhold PRC tax with respect to such gain. If any such PRC taxes apply, a non-PRC resident shareholder may be entitled to a reduced rate of PRC taxes under an applicable income tax treaty and or a foreign tax credit against such shareholder’s domestic income tax liability (subject to applicable conditions and limitations). Prospective investors should consult with their own tax advisors regarding the applicability of any such taxes, the effects of any applicable income tax treaties, and any available foreign tax credits.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following is a summary of the material U.S. federal income tax consequences of owning and disposing of our ordinary shares. The discussion below of the U.S. federal income tax consequences to “U.S. Holders” will apply to a beneficial owner of our shares that is for U.S. federal income tax purposes:</w:t>
      </w:r>
    </w:p>
    <w:p>
      <w:pPr>
        <w:spacing w:after="0" w:line="184"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that is created or organized (or treated as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225"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94" w:name="page95"/>
    <w:bookmarkEnd w:id="9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If a beneficial owner of our shares is not described as a U.S. Holder in one of the four bullet points below and is not an entity treated as a partnership or other pass-through entity for U.S. federal income tax purposes, such owner will be considered a “Non-U.S. Holder.” The U.S. federal income tax consequences applicable to Non-U.S. Holders is described below under the heading “Tax Consequences to Non-U.S. Holders of Common Shares.”</w:t>
      </w:r>
    </w:p>
    <w:p>
      <w:pPr>
        <w:spacing w:after="0" w:line="14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This summary is based on the Internal Revenue Code of 1986, as amended (the “Code”), its legislative history, existing Treasury regulations promulgated thereunder, published rulings and court decisions, all as currently in effect. These authorities are subject to change or differing interpretations, possibly on a retroactive basis.</w:t>
      </w:r>
    </w:p>
    <w:p>
      <w:pPr>
        <w:spacing w:after="0" w:line="184"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us or to any particular holder of our shares based on such holder’s individual circumstances. In particular, this discussion considers only holders that own our shares as capital assets within the meaning of Section 1221 of the Code. This discussion also does not address the potential application of the alternative minimum tax or the U.S. federal income tax consequences to holders that are subject to special rules, including:</w:t>
      </w:r>
    </w:p>
    <w:p>
      <w:pPr>
        <w:spacing w:after="0" w:line="187"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persons that actually or constructively own 5% or more of our voting shares;</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persons that acquired our shares pursuant to the exercise of employee stock options, in connection with employee stock incentive plans or otherwise as compensation;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persons that hold our shares as part of a straddle, constructive sale, hedging, conversion or other integrated transaction;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This discussion does not address any aspect of U.S. federal non-income tax laws, such as gift or estate tax laws, or state, local or non-U.S. tax laws.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shares, the U.S. federal income tax treatment of a partner in the partnership will generally depend on the status of the partner and the activities of the partnership. This discussion also assumes that any distribution made (or deemed made) in respect of our shares and any consideration received (or deemed received) by a holder in connection with the sale or other disposition of such shares will be in U.S. dollars.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5" w:name="page96"/>
    <w:bookmarkEnd w:id="9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not sought, and will not seek, a ruling from the Internal Revenue Service (or “IRS”), or an opinion of counsel as to any U.S. federal income tax consequence described herein. The IRS may disagree with one or more aspects of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BECAUSE OF THE COMPLEXITY OF THE TAX LAWS AND BECAUSE THE TAX CONSEQUENCES TO ANY PARTICULAR HOLDER OF OUR SECURITIES MAY BE AFFECTED BY MATTERS NOT DISCUSSED HEREIN, EACH HOLDER OF OUR SECURITIES IS URGED TO CONSULT WITH ITS TAX ADVISOR WITH RESPECT TO THE SPECIFIC TAX CONSEQUENCES OF THE OWNERSHIP AND DISPOSITION OF OUR SECURITIES, INCLUDING THE APPLICABILITY AND EFFECT OF STATE, LOCAL AND NON-U.S. TAX LAWS, AS WELL AS U.S. FEDERAL TAX LAWS AND APPLICABLE TAX TREATIES.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 of Common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Taxation of Distributions Paid on Common Shares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Subject to the passive foreign investment company (or “PFIC”), rules discussed below, a U.S. Holder generally will be required to include in gross income as ordinary income the amount of any cash dividend paid on our common shares. A cash distribution on such shares will be treated as a dividend for U.S. federal income tax purposes to the extent the distribution is paid out of our current or accumulated earnings and profits (as determined for U.S. federal income tax purposes). Any distributions in excess of such earnings and profits generally will be applied against and reduce the U.S. Holder’s basis in its common shares and, to the extent in excess of such basis, will be treated as gain from the sale or exchange of such common shares.</w:t>
      </w:r>
    </w:p>
    <w:p>
      <w:pPr>
        <w:spacing w:after="0" w:line="16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With respect to corporate U.S. Holders, dividends on our shares will not be eligible for the dividends-received deduction generally allowed to domestic corporations in respect of dividends received from other domestic corporations. With respect to non-corporate U.S. Holders, dividends on our shares may be taxed at the lower applicable long-term capital gains rate (see “— Taxation on the Disposition of Common Shares” below) provided that (1) our common shares are readily tradable on an established securities market in the United States or, in the event we are deemed to be a Chinese “resident enterprise” under the EIT Law, we are eligible for the benefits of the Agreement between the Government of the United States of America and the Government of the People’s Republic of China for the Avoidance of Double Taxation and the Prevention of Tax Evasion with Respect to Taxes on Income, or the “U.S.-PRC Tax Treaty,” (2) we are not a PFIC, as discussed below, for either the taxable year in which the dividend was paid or the preceding taxable year, and (3) certain holding period requirements are met. Under published IRS authority, shares are considered for purposes of clause (1) above to be readily tradable on an established securities market in the United States only if they are listed on certain exchanges, which presently include the Nasdaq Stock Market. U.S. Holders should consult their own tax advisors regarding the tax treatment of any dividends paid with respect to our common shares.</w:t>
      </w:r>
    </w:p>
    <w:p>
      <w:pPr>
        <w:spacing w:after="0" w:line="16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PRC taxes apply to dividends paid to a U.S. Holder on our common shares, such U.S. Holder may be entitled to a reduced rate of PRC tax under the U.S-PRC Tax Treaty. In addition, such PRC taxes may be treated as foreign taxes eligible for credit against such holder’s U.S. federal income tax liability (subject to certain limitations). U.S. Holders should consult their own tax advisors regarding the creditability of any such PRC tax and their eligibility for the benefits of the U.S.-PRC Tax Treaty.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Taxation on the Disposition of Common Shares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Upon a sale or other taxable disposition of our common shares, and subject to the PFIC rules discussed below, a U.S. Holder should recognize capital gain or loss in an amount equal to the difference between the amount realized and the U.S. Holder’s adjusted tax basis in the common shares. Capital gains recognized by U.S. Holders generally are subject to U.S. federal income tax at the same rate as ordinary income, except that long-term capital gains recognized by non-corporate U.S. Holders are generally subject to U.S. federal income tax at a maximum rate of 20%. Capital gain or loss will constitute long-term capital gain or loss if the U.S. Holder’s holding period for the common shares exceeds one year. The deductibility of capital losses is subject to various limitations. If PRC taxes would otherwise apply to any gain from the disposition of our common shares by a U.S. Holder, such U.S. Holder may be entitled to a reduction in or elimination of such taxes under the U.S.-PRC Tax Treaty. Any PRC taxes that are paid by a U.S. Holder with respect to such gain may be treated as foreign taxes eligible for credit against such holder’s U.S. federal income tax liability (subject to certain limitations that could reduce or eliminate the available tax credit). U.S. Holders should consult their own tax advisors regarding the creditability of any such PRC tax and their eligibility for the benefits of the U.S.-PRC Tax Treaty.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96" w:name="page97"/>
    <w:bookmarkEnd w:id="9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 foreign (i.e., non-U.S.) corporation will be a PFIC if at least 75% of its gross income in a taxable year of the foreign corporation,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certain rents or royalties derived from the active conduct of a trade or business) and gains from the disposition of passive assets. Based on our current composition and assets, we do not expect to be treated as a PFIC under the current PFIC rules. Our PFIC status, however, will not be determinable until after the end of each taxable year. Accordingly, there can be no assurance with respect to our status as a PFIC for our current taxable year or any future taxable year. If we are determined to be a PFIC and a U.S. Holder did not make either a timely qualified electing fund (or “QEF”), election for our first taxable year as a PFIC in which the U.S. Holder held (or was deemed to hold) common shares, or a mark-to-market election, as described below, such holder generally will be subject to special rules with respect to:</w:t>
      </w:r>
    </w:p>
    <w:p>
      <w:pPr>
        <w:spacing w:after="0" w:line="182"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gain recognized by the U.S. Holder on the sale or other disposition of its common shares; and</w:t>
      </w:r>
    </w:p>
    <w:p>
      <w:pPr>
        <w:spacing w:after="0" w:line="225" w:lineRule="exact"/>
        <w:rPr>
          <w:rFonts w:ascii="Arial" w:cs="Arial" w:eastAsia="Arial" w:hAnsi="Arial"/>
          <w:sz w:val="18"/>
          <w:szCs w:val="18"/>
          <w:color w:val="auto"/>
        </w:rPr>
      </w:pPr>
    </w:p>
    <w:p>
      <w:pPr>
        <w:ind w:left="660" w:right="180" w:hanging="328"/>
        <w:spacing w:after="0" w:line="286"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6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Under these rules,</w:t>
      </w:r>
    </w:p>
    <w:p>
      <w:pPr>
        <w:spacing w:after="0" w:line="225" w:lineRule="exact"/>
        <w:rPr>
          <w:rFonts w:ascii="Arial" w:cs="Arial" w:eastAsia="Arial" w:hAnsi="Arial"/>
          <w:sz w:val="17"/>
          <w:szCs w:val="17"/>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common shares;</w:t>
      </w:r>
    </w:p>
    <w:p>
      <w:pPr>
        <w:spacing w:after="0" w:line="225" w:lineRule="exact"/>
        <w:rPr>
          <w:rFonts w:ascii="Arial" w:cs="Arial" w:eastAsia="Arial" w:hAnsi="Arial"/>
          <w:sz w:val="18"/>
          <w:szCs w:val="18"/>
          <w:color w:val="auto"/>
        </w:rPr>
      </w:pPr>
    </w:p>
    <w:p>
      <w:pPr>
        <w:jc w:val="both"/>
        <w:ind w:left="660" w:right="120" w:hanging="328"/>
        <w:spacing w:after="0" w:line="342"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23"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interest charge generally applicable to underpayments of tax will be imposed in respect of the tax attributable to each such year of the U.S. Holder.</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general, a U.S. Holder may avoid the PFIC tax consequences described above in respect to our common shares by making a timely QEF election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There can be no assurance, however, that we will pay current dividends or make other distributions sufficient for a U.S. Holder who makes a QEF election to satisfy the tax liability attributable to income inclusions under the QEF rules, and the U.S. Holder may have to pay the resulting tax from its other assets. A U.S. Holder may make a separate election to defer the payment of taxes on undistributed income inclusions under the QEF rules, but if deferred, any such taxes will be subject to an interest charge.</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97" w:name="page98"/>
    <w:bookmarkEnd w:id="9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to a timely filed U.S. federal income tax return for the tax year to which the election relates. Retroactive QEF elections generally may be made only by filing a protective statement with such return and if certain other conditions are met or with the consent of the IRS. In order to comply with the requirements of a QEF election, a U.S. Holder must receive certain information from us. Upon request from a U.S. Holder, we will endeavor to provide to the U.S. Holder no later than 90 days after the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If a U.S. Holder has made a QEF election with respect to our common shares, and the special tax and interest charge rules do not apply to such shares (because of a timely QEF election for our first taxable year as a PFIC in which the U.S. Holder holds (or is deemed to hold) such shares), any gain recognized on the appreciation of our common shares generally will be taxable as capital gain and no interest charge will be imposed. As discussed above, U.S. Holders of a QEF are currently taxed on their pro rata shares of a PFIC’s earnings and profits, whether or not distributed. In such case, a subsequent distribution of such earnings and profits that were previously included in income generally should not be taxable as a dividend to those U.S. Holders who made a QEF election.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spacing w:after="0" w:line="16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Although a determination as to our PFIC status will be made annually, an initial determination that our company is a PFIC will generally apply for subsequent years to a U.S. Holder who held common shares while we were a PFIC, whether or not we meet the test for PFIC status in those years. A U.S. Holder who makes the QEF election discussed above for our first taxable year as a PFIC in which the U.S. Holder holds (or is deemed to hold) our common shares, however, will not be subject to the PFIC tax and interest charge rules discussed above in respect to such shares. In addition, such U.S. Holder will not be subject to the QEF inclusion regime with respect to such shares for any taxable year of ours that ends within or with a taxable year of the U.S. Holder and in which we are not a PFIC. On the other hand, if the QEF election is not effective for each of our taxable years in which we are a PFIC and the U.S. Holder holds (or is deemed to hold) our common shares, the PFIC rules discussed above will continue to apply to such shares unless the holder makes a purging election, and pays the tax and interest charge with respect to the gain inherent in such shares attributable to the pre-QEF election period.</w:t>
      </w:r>
    </w:p>
    <w:p>
      <w:pPr>
        <w:spacing w:after="0" w:line="196"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shares in us and for which we are determined to be a PFIC, such holder generally will not be subject to the PFIC rules described above in respect to its common shares. Instead, in general, the U.S. Holder will include as ordinary income each year the excess, if any, of the fair market value of its common shares at the end of its taxable year over the adjusted basis in its common shares. The U.S. Holder also will be allowed to take an ordinary loss in respect of the excess, if any, of the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the common shares will be treated as ordinary income.</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mark-to-market election is available only for stock that is regularly traded on a national securities exchange that is registered with the SEC,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common shares under their particular circumstances.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8" w:name="page99"/>
    <w:bookmarkEnd w:id="9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Upon request, we will endeavor to cause any lower-tier PFIC to provide to a U.S.</w:t>
      </w:r>
    </w:p>
    <w:p>
      <w:pPr>
        <w:spacing w:after="0" w:line="2"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Holder no later than 90 days after the request the information that may be required to make or maintain a QEF election with respect to the lower-tier PFIC. However, there is no assurance that we will have timely knowledge of the status of any such lower-tier PFIC or will be able to cause the lower-tier PFIC to provide the required information. U.S. Holders are urged to consult their own tax advisors regarding the tax issues raised by lower-tier PFICs. If a U.S.</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Holder owns (or is deemed to own) shares during any year in a PFIC, such holder may have to file an IRS Form 8621 (whether or not a QEF election or mark-to-market election is made). The rules dealing with PFICs and with the QEF and mark-to-market elections are very complex and are affected by various factors in addition to those described above. Accordingly, U.S. Holders of our common shares should consult their own tax advisors concerning the application of the PFIC rules to our common shares under their particular circumstances.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 of Common Shares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Dividends paid to a Non-U.S. Holder in respect to its common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w:t>
      </w:r>
    </w:p>
    <w:p>
      <w:pPr>
        <w:spacing w:after="0" w:line="16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addition, a Non-U.S. Holder generally will not be subject to U.S. federal income tax on any gain attributable to a sale or other disposition of our common shares, unless such gain is effectively connected with its conduct of a trade or business in the United States (and, if required by an applicable income tax treaty, is attributable to a permanent establishment or fixed base that such holder maintains in the United States) or the Non-U.S. Holder is an individual who is present in the United States for 183 days or more in the taxable year of sale or other disposition and certain other conditions are met (in which case, such gain from United States sources generally is subject to tax at a 30% rate or a lower applicable tax treaty rate).</w:t>
      </w:r>
    </w:p>
    <w:p>
      <w:pPr>
        <w:spacing w:after="0" w:line="16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tax in the same manner as for a U.S. Holder and, in the case of a Non-U.S. Holder that is a corporation for U.S. federal income tax purposes, may also be subject to an additional branch profits tax at a 30% rate or a lower applicable tax treaty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general, information reporting for U.S. federal income tax purposes should apply to distributions made on our common shares within the United States to a non-corporate U.S. Holder and to the proceeds from sales and other dispositions of our common shares by a non-corporate U.S. Holder to or through a U.S. office of a broker. Payments made (and sales and other dispositions effected at an office) outside the United States will be subject to information reporting in limited circumstances. In addition, backup withholding of United States federal income tax, currently at a rate of 28%, generally will apply to dividends paid on our common shares to a non-corporate U.S. Holder and the proceeds from sales and other dispositions of shares by a non-corporate U.S. Holder, in each case who (a) fails to provide an accurate taxpayer identification number; (b) is notified by the IRS that backup withholding is required; or (c) in certain circumstances, fails to comply with applicable certification requirements. A Non-U.S. Holder generally may eliminate the requirement for information reporting and backup withholding by providing certification of its foreign status, under penalties of perjury, on a duly executed applicable IRS Form W-8 or by otherwise establishing an exemption.</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Backup withholding is not an additional tax. Rather, the amount of any backup withholding will be allowed as a credit against a U.S. Holder’s or a Non-U.S. Holder’s U.S. federal income tax liability and may entitle such holder to a refund, provided that certain required information is timely furnished to the IRS. Holders are urged to consult their own tax advisors regarding the application of backup withholding and the availability of and procedure for obtaining an exemption from backup withholding in their particular circumstances.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99" w:name="page100"/>
    <w:bookmarkEnd w:id="9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Individual U.S. Holders may be required to report ownership of our common shares and certain related information on their individual federal income tax returns in certain circumstances. Generally, this reporting requirement will apply if (1) the common shares are held in an account of the individual U.S. Holder maintained with a “foreign financial institution” or (2) the common shares are not held in an account maintained with a “financial institution,” as such terms are defined in the Code. The reporting obligation will not apply to an individual, however, unless the total aggregate value of the individual’s foreign financial assets exceeds US$50,000 during a taxable year. For avoidance of doubt, this reporting requirement should not apply to common shares held in an account with a U.S. brokerage firm. Failure to comply with this reporting requirement, if it applies, will result in substantial penalties. In certain circumstances, additional tax and other reporting requirements may apply, and U.S. Holders of our common shares are advised to consult with their own tax advisors concerning all such reporting requirements.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incorporated in the Cayman Islands in order to enjoy the following benefits: (1) political and economic stability; (2) an effective judicial system; (3) a favorable tax system; (4) the absence of exchange control or currency restrictions; and (5) the availability of professional and support services.</w:t>
      </w:r>
    </w:p>
    <w:p>
      <w:pPr>
        <w:spacing w:after="0" w:line="184"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However, certain disadvantages accompany incorporation in the Cayman Islands. These disadvantages include, but are not limited to, the following: (1) the Cayman Islands has a less developed body of securities laws as compared to the United States and these securities laws provide significantly less protection to investors; and (2) Cayman Islands companies may not have standing to sue before the federal courts of the United States.</w:t>
      </w:r>
    </w:p>
    <w:p>
      <w:pPr>
        <w:spacing w:after="0" w:line="14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All of our operations are conducted outside the United States, and all of our assets are located outside the United States. All of our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appointed [Vcorp Services, LLC, located at 25 Robert Pitt Drive, Suite 204, Monsey, NY 10952,] as our agent upon whom process may be served in any action brought against us under the securities laws of the United States.</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Ogier, our counsel as to Cayman Islands law, and Hansen &amp; Partners, our counsel as to PRC law, have advised us, respectively, that there is uncertainty as to whether the courts of the Cayman Islands and China, respectively, would:</w:t>
      </w:r>
    </w:p>
    <w:p>
      <w:pPr>
        <w:spacing w:after="0" w:line="170" w:lineRule="exact"/>
        <w:rPr>
          <w:sz w:val="20"/>
          <w:szCs w:val="20"/>
          <w:color w:val="auto"/>
        </w:rPr>
      </w:pPr>
    </w:p>
    <w:p>
      <w:pPr>
        <w:ind w:left="660" w:right="2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Ogier has advised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0" w:name="page101"/>
    <w:bookmarkEnd w:id="10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Hansen &amp; Partners has advised us that the recognition and enforcement of foreign judgments are provided for under PRC Civil Procedure Law. PRC courts may recognize and enforce foreign judgments in accordance with the requirements of PRC Civil Procedure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and the underwriters will enter into an underwriting agreement with respect to the common shares being offered. Subject to certain conditions, the underwriters have agreed to purchase common shares listed next to its name in the following table. Benchmark Company LLC will act as representative of the underwriters.</w:t>
      </w:r>
    </w:p>
    <w:p>
      <w:pPr>
        <w:spacing w:after="0" w:line="1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underwriters have committed to take and pay for all common shares being offered, if any are taken, other than the securities covered by the option described below unless and until this option is exercised.</w:t>
      </w:r>
    </w:p>
    <w:p>
      <w:pPr>
        <w:spacing w:after="0" w:line="17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have granted a 45-day option to the underwriters, exercisable one or more times in whole or in part, to purchase up to an additional [ ] common shares on the same terms as the other shares being purchased by the underwriters from us, underwriting discounts and commissions to cover over-allotments, if any. The underwriters may exercise this option only to cover over-allotments made in connection with this offering. If the underwriters exercise this option in whole or in part, then the underwriters will be committed, subject to the conditions described in the underwriting agreement, to purchase the additional offered securities in proportion to each of their commitments set forth in the prior table.</w:t>
      </w:r>
    </w:p>
    <w:p>
      <w:pPr>
        <w:spacing w:after="0" w:line="17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shows the per share price and total underwriting discounts and commissions to be paid to the underwriters. Such amounts are shown assuming both no exercise and full exercise of the underwriters’ option to purchase [ ] additional common shares.</w:t>
      </w:r>
    </w:p>
    <w:p>
      <w:pPr>
        <w:sectPr>
          <w:pgSz w:w="11900" w:h="16838" w:orient="portrait"/>
          <w:cols w:equalWidth="0" w:num="1">
            <w:col w:w="11220"/>
          </w:cols>
          <w:pgMar w:left="320" w:top="2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Per</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6"/>
          <w:szCs w:val="16"/>
          <w:b w:val="1"/>
          <w:bCs w:val="1"/>
          <w:u w:val="single" w:color="auto"/>
          <w:color w:val="auto"/>
        </w:rPr>
        <w:t>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 Warrant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Total Without</w:t>
      </w:r>
    </w:p>
    <w:p>
      <w:pPr>
        <w:spacing w:after="0" w:line="5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Exercise of</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Over-</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allotment</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option</w:t>
      </w:r>
    </w:p>
    <w:p>
      <w:pPr>
        <w:spacing w:after="0" w:line="31" w:lineRule="exact"/>
        <w:rPr>
          <w:sz w:val="20"/>
          <w:szCs w:val="20"/>
          <w:color w:val="auto"/>
        </w:rPr>
      </w:pPr>
    </w:p>
    <w:p>
      <w:pPr>
        <w:sectPr>
          <w:pgSz w:w="11900" w:h="16838" w:orient="portrait"/>
          <w:cols w:equalWidth="0" w:num="3">
            <w:col w:w="8500" w:space="260"/>
            <w:col w:w="980" w:space="300"/>
            <w:col w:w="1180"/>
          </w:cols>
          <w:pgMar w:left="320" w:top="226" w:right="3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Discounts &amp; commissions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Non-accountable expense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proceeds to us</w:t>
      </w:r>
    </w:p>
    <w:p>
      <w:pPr>
        <w:spacing w:after="0" w:line="21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have agreed to pay a non-accountable expense allowance to the underwriters equal to 0.5% of the gross proceeds received in this offering. In addition to the 0.5% non-accountable expense allowance, we have also agreed to pay or reimburse the underwriters for certain of the underwriters’ out-of-pocket expenses relating to the offering, including all reasonable fees and expenses of the underwriters’ outside legal counsel. Furthermore, pursuant to the underwriting agreement, the underwriters’ obligations are subject to customary conditions, representations and warranties contained in the underwriting agreement, such as receipt by the underwriters of officers’ certificates and legal opinions.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type w:val="continuous"/>
        </w:sectPr>
      </w:pPr>
    </w:p>
    <w:bookmarkStart w:id="101" w:name="page102"/>
    <w:bookmarkEnd w:id="10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Common shares sold by the underwriters to the public will initially be offered at the initial public offering price set forth on the cover of this prospectus. Any common shares and warrants sold by the underwriters to securities dealers may be sold at a discount of up to [ ] per share from the initial public offering price with no discount on the warrants. After the initial offering of the common shares and warrants, the underwriters may change the offering price and the other selling terms. The offering of common shares and warrants by the underwriters is subject to receipt and acceptance and subject to the underwriter’s right to reject any order in whole or in part.</w:t>
      </w:r>
    </w:p>
    <w:p>
      <w:pPr>
        <w:spacing w:after="0" w:line="18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have agreed with the underwriters that we will not, without the prior consent Benchmark Company, LLC, as representative of the underwriters, directly or indirectly sell, offer, contract or grant any option to sell, pledge, transfer, or otherwise dispose of or enter into any transaction which may result in the disposition of any common shares or securities convertible into, exchangeable or exercisable for any common shares (excluding the exercise of certain warrants and or options currently outstanding and exercisable) for a period of six months after the date of this prospectus.</w:t>
      </w:r>
    </w:p>
    <w:p>
      <w:pPr>
        <w:spacing w:after="0" w:line="15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each of our executive officers and directors and holders of all of our common shares and warrants outstanding prior to the effective date of this offering, holding an aggregate of [ ] common shares, have agreed with the underwriters not to directly or indirectly sell, offer, contract or grant any option to sell, pledge, transfer (excluding intra-family transfers, transfers to a trust for estate planning purposes or to beneficiaries of officers, directors and shareholders upon their death), or otherwise dispose of or enter into any transaction which may result in the disposition of any common shares or securities convertible into, exchangeable or exercisable for any common shares, without the prior written consent of Benchmark Company, LLC, as representatives of the underwriters, for a period of six months after the date of this prospectus.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 [ ].</w:t>
      </w:r>
    </w:p>
    <w:p>
      <w:pPr>
        <w:spacing w:after="0" w:line="237"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Upon the closing of this offering, we have agreed to sell to the underwriters a warrant to purchase 5% of the common shares sold in this offering. The warrant will be exercisable at a per share and warrant exercise price equal to 120% of the public offering price per common share and warrant sold pursuant to this offering, subject to standard anti-dilution adjustments for share splits and similar transactions, and will become exercisable 180 days after the date of effectiveness of the registration statement of which this prospectus forms a part or the commencement of sales under this prospectus and expire five years from the effective date of the registration statement date of which this prospectus forms a part. The option and the common shares and warrants underlying the option have been deemed compensation by the FINRA and are therefore subject to a 180-day lock-up pursuant to FINRA Rule 5110(g)(1). Except as permitted by Rule 5110(g)(1), the underwriters (or permitted assignees under the Rule) will not sell, transfer, assign, pledge, or hypothecate the option or the securities underlying the option, nor will any, of them engage in any hedging, short sale, derivative, put, or call transaction that would result in the effective economic disposition of the option or the underlying securities for a period of 180 days from the date of effectiveness of the registration statement of which this prospectus forms a part or the commencement of sales under this prospectus. Although the option and the underlying common shares and warrants have been registered in the registration statement of which this prospectus forms a part, we have also agreed on only one occasion to register all of such underlying common shares and warrants at such time as we become eligible to file a resale registration statement on Form F-3. These registration rights apply to all of the securities directly and indirectly issuable upon exercise of the option, and shall expire on the fifth anniversary of the effective date of the registration statement of which this prospectus forms a part. We will bear all fees and expenses attendant to registering the securities issuable on exercise of the option, other than underwriting commissions incurred and payable by the holders. In [______], we placed an escrow fund in the</w:t>
      </w:r>
    </w:p>
    <w:p>
      <w:pPr>
        <w:ind w:right="220"/>
        <w:spacing w:after="0" w:line="260" w:lineRule="auto"/>
        <w:rPr>
          <w:sz w:val="20"/>
          <w:szCs w:val="20"/>
          <w:color w:val="auto"/>
        </w:rPr>
      </w:pPr>
      <w:r>
        <w:rPr>
          <w:rFonts w:ascii="Arial" w:cs="Arial" w:eastAsia="Arial" w:hAnsi="Arial"/>
          <w:sz w:val="18"/>
          <w:szCs w:val="18"/>
          <w:color w:val="auto"/>
        </w:rPr>
        <w:t>amount of USD $200,000 in an escrow account to be released to the underwriters in the connection with the payments of our indemnification pursuant to the underwriting agreement. The escrow account will remain in place for a period of 18 months.</w:t>
      </w:r>
    </w:p>
    <w:p>
      <w:pPr>
        <w:spacing w:after="0" w:line="18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Until twelve months from the closing of the offering, the underwriters shall have a right of first refusal to act on our behalf as lead or managing underwriters or exclusive financial advisors for any offering of securities, merger, acquisition or similar transaction.</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Commencing twelve (12) months from the closing date of this offering, we have agreed to pay the underwriters a warrant solicitation fee equal to 5% of the gross proceeds received by us from the exercise of the warrants.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2" w:name="page103"/>
    <w:bookmarkEnd w:id="10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Prior to the offering, there has been no public market for the common shares. The initial public offering price has been negotiated among us and the underwriters. Among the factors considered in determining the initial public offering price of the common shares in addition to prevailing market conditions, prospects, an assessment of our management and the consideration of the above factors in relation to market valuation of companies in related businesses.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common shares have been approved for listing on The Nasdaq Capital Market under the symbol “CLPS”.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connection with this offering, the underwriters may engage in transactions that stabilize, maintain or otherwise affect the price of our common shares. Specifically, the underwriters may over-allot in connection with this offering by selling more common shares than they are obligated to purchase under the underwriting agreement, creating a short position in our common shares. The short position may be either a covered short position or a naked short position. In a covered short position, the number of shares common of stock over-allotted by the underwriters is not greater than the number of common shares that they may purchase in the over-allotment option. In a naked short position, the number of shares of common shares involved is greater than the number of common shares in the over-allotment option. To close out a short position or to stabilize the price per share of our common shares the underwriters may bid for, and purchase, common shares in the open market. The underwriters may also elect to reduce any short position by exercising all or part of the over-allotment option. In determining the source of common shares to close out the short position, the underwriters will consider, among other things, the price of common share available for purchase in the open market as compared to the price at which it may purchase common shares through the over-allotment option. If the underwriters sell more than could be covered by the over-allotment option, a naked short position, the position can only be closed out by buying common shares in the open market. A naked short position is more likely to be created if the underwriters are concerned that there could be downward pressure on the price of the common shares in the open market after pricing that could adversely affect investors who purchase in the offering.</w:t>
      </w:r>
    </w:p>
    <w:p>
      <w:pPr>
        <w:spacing w:after="0" w:line="186"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common shares sold by or for the account of such underwriter in stabilizing or short covering transactions.</w:t>
      </w:r>
    </w:p>
    <w:p>
      <w:pPr>
        <w:spacing w:after="0" w:line="184"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Finally, the underwriters may bid for, and purchase, common shares in market making transactions, including “passive” market making transactions as described below.</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foregoing transactions may stabilize or maintain the market price of our common shares at a price that is higher than the price that might otherwise exist in the absence of these activities. The underwriters are not required to engage in these activities, and may discontinue any of these activities at any time without notice. These transactions may be effected on the Nasdaq Capital Market or otherwise.</w:t>
      </w:r>
    </w:p>
    <w:p>
      <w:pPr>
        <w:spacing w:after="0" w:line="16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 connection with this offering, the underwriters and selling group members, if any, or their affiliates may engage in passive market making transactions in common shares on the Nasdaq Capital Market immediately prior to the commencement of sales in this offering, in accordance with Rule 103 of Regulation M under the Exchange Act of 1934. Rule 103 generally provides that:</w:t>
      </w:r>
    </w:p>
    <w:p>
      <w:pPr>
        <w:spacing w:after="0" w:line="184" w:lineRule="exact"/>
        <w:rPr>
          <w:sz w:val="20"/>
          <w:szCs w:val="20"/>
          <w:color w:val="auto"/>
        </w:rPr>
      </w:pPr>
    </w:p>
    <w:p>
      <w:pPr>
        <w:ind w:left="660" w:right="40" w:hanging="328"/>
        <w:spacing w:after="0" w:line="259"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passive market maker may not effect transactions or display bids for our common share and or warrants in excess of the highest independent bid price by persons who are not passive market makers; net purchases by a passive market maker on each day are generally limited to 30% of the passive market maker’s average daily trading volume in our common share during a specified two-month prior period or 200 shares, whichever is greater, and must be discontinued when that limit is reached;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passive market making bids must be identified as such.</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Passive market making may stabilize or maintain the market price of our common shares at a level above that which might otherwise prevail and, if commenced, may be discontinued at any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underwriters do not expect sales to discretionary accounts to exceed five percent of the total number of common shares offered.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103" w:name="page104"/>
    <w:bookmarkEnd w:id="10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placement discounts and commissions) will be as follows. With the exception of the filing fees for the U.S. Securities Exchange Commission, FINRA and NASDAQ, all amounts are estimates.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6"/>
              </w:rPr>
              <w:t>U.S. Securities and Exchange Commission registration fee</w:t>
            </w:r>
          </w:p>
        </w:tc>
        <w:tc>
          <w:tcPr>
            <w:tcW w:w="59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FINRA filing fee</w:t>
            </w:r>
          </w:p>
        </w:tc>
        <w:tc>
          <w:tcPr>
            <w:tcW w:w="59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59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Legal fees and expenses for Chinese counsel</w:t>
            </w:r>
          </w:p>
        </w:tc>
        <w:tc>
          <w:tcPr>
            <w:tcW w:w="59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 for Cayman Islands counsel</w:t>
            </w:r>
          </w:p>
        </w:tc>
        <w:tc>
          <w:tcPr>
            <w:tcW w:w="59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Legal fees and expenses for U.S. counsel</w:t>
            </w:r>
          </w:p>
        </w:tc>
        <w:tc>
          <w:tcPr>
            <w:tcW w:w="59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59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Printing fees and expenses</w:t>
            </w:r>
          </w:p>
        </w:tc>
        <w:tc>
          <w:tcPr>
            <w:tcW w:w="59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[_]</w:t>
            </w:r>
          </w:p>
        </w:tc>
      </w:tr>
      <w:tr>
        <w:trPr>
          <w:trHeight w:val="250"/>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54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[_]</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48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[_]</w:t>
            </w:r>
          </w:p>
        </w:tc>
        <w:tc>
          <w:tcPr>
            <w:tcW w:w="100" w:type="dxa"/>
            <w:vAlign w:val="bottom"/>
          </w:tcPr>
          <w:p>
            <w:pPr>
              <w:spacing w:after="0"/>
              <w:rPr>
                <w:sz w:val="20"/>
                <w:szCs w:val="20"/>
                <w:color w:val="auto"/>
              </w:rPr>
            </w:pPr>
          </w:p>
        </w:tc>
      </w:tr>
      <w:tr>
        <w:trPr>
          <w:trHeight w:val="21"/>
        </w:trPr>
        <w:tc>
          <w:tcPr>
            <w:tcW w:w="45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4540" w:type="dxa"/>
            <w:vAlign w:val="bottom"/>
          </w:tcPr>
          <w:p>
            <w:pPr>
              <w:spacing w:after="0"/>
              <w:rPr>
                <w:sz w:val="24"/>
                <w:szCs w:val="24"/>
                <w:color w:val="auto"/>
              </w:rPr>
            </w:pPr>
          </w:p>
        </w:tc>
        <w:tc>
          <w:tcPr>
            <w:tcW w:w="5980" w:type="dxa"/>
            <w:vAlign w:val="bottom"/>
            <w:gridSpan w:val="2"/>
          </w:tcPr>
          <w:p>
            <w:pPr>
              <w:jc w:val="right"/>
              <w:ind w:right="4050"/>
              <w:spacing w:after="0"/>
              <w:rPr>
                <w:sz w:val="20"/>
                <w:szCs w:val="20"/>
                <w:color w:val="auto"/>
              </w:rPr>
            </w:pPr>
            <w:r>
              <w:rPr>
                <w:rFonts w:ascii="Arial" w:cs="Arial" w:eastAsia="Arial" w:hAnsi="Arial"/>
                <w:sz w:val="18"/>
                <w:szCs w:val="18"/>
                <w:b w:val="1"/>
                <w:bCs w:val="1"/>
                <w:color w:val="auto"/>
              </w:rPr>
              <w:t>LEGAL MATTERS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Certain matters as to U.S. federal law in connection with this offering will be passed upon for us by Schiff Hardin LLP. The validity of the shares and certain legal matters relating to the offering as to Cayman Islands law will be passed upon for us by Ogier. Certain legal matters relating to the offering as to Chinese law will be passed upon for us by Hansen &amp; Partners of People’s Republic of China. Hunter Taubman Fischer &amp; Li LLC has acted as counsel for the underwriters with respect to this offering.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Financial statements as of June 30, 2017 and 2016, respectively, and for the years then ended appearing in this prospectus, have been included herein and in the registration statement in reliance upon the report of Friedman LLP an independent registered public accounting firm, appearing elsewhere herein, and upon the authority of that firm as experts in accounting and auditing.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 xml:space="preserve">We have filed with the SEC a registration statement on Form F-1 under the Securities Act with respect to the common shares offered hereby. This prospectus, which constitutes a part of the registration statement, does not contain all of the information set forth in the registration statement or the exhibits filed therewith. For further information about us and the common shares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closing of our initial public offering, we will be required to file periodic reports (including an annual report on Form 20-F, which we will be required to file within 120 days from the end of each fiscal year),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t>
      </w:r>
      <w:r>
        <w:rPr>
          <w:rFonts w:ascii="Arial" w:cs="Arial" w:eastAsia="Arial" w:hAnsi="Arial"/>
          <w:sz w:val="17"/>
          <w:szCs w:val="17"/>
          <w:i w:val="1"/>
          <w:iCs w:val="1"/>
          <w:color w:val="auto"/>
        </w:rPr>
        <w:t>www.sec.gov.</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4" w:name="page105"/>
    <w:bookmarkEnd w:id="10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right"/>
        <w:ind w:right="2439"/>
        <w:spacing w:after="0"/>
        <w:rPr>
          <w:sz w:val="20"/>
          <w:szCs w:val="20"/>
          <w:color w:val="auto"/>
        </w:rPr>
      </w:pPr>
      <w:r>
        <w:rPr>
          <w:rFonts w:ascii="Arial" w:cs="Arial" w:eastAsia="Arial" w:hAnsi="Arial"/>
          <w:sz w:val="18"/>
          <w:szCs w:val="18"/>
          <w:b w:val="1"/>
          <w:bCs w:val="1"/>
          <w:color w:val="auto"/>
        </w:rPr>
        <w:t>FOR THE YEARS ENDED JUNE 30,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05" w:name="page106"/>
    <w:bookmarkEnd w:id="10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40" w:type="dxa"/>
            <w:vAlign w:val="bottom"/>
          </w:tcPr>
          <w:p>
            <w:pPr>
              <w:ind w:left="4600"/>
              <w:spacing w:after="0"/>
              <w:rPr>
                <w:sz w:val="20"/>
                <w:szCs w:val="20"/>
                <w:color w:val="auto"/>
              </w:rPr>
            </w:pPr>
            <w:r>
              <w:rPr>
                <w:rFonts w:ascii="Arial" w:cs="Arial" w:eastAsia="Arial" w:hAnsi="Arial"/>
                <w:sz w:val="18"/>
                <w:szCs w:val="18"/>
                <w:b w:val="1"/>
                <w:bCs w:val="1"/>
                <w:color w:val="auto"/>
              </w:rPr>
              <w:t>CLPS INCORPORATION</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340" w:type="dxa"/>
            <w:vAlign w:val="bottom"/>
          </w:tcPr>
          <w:p>
            <w:pPr>
              <w:ind w:left="4720"/>
              <w:spacing w:after="0"/>
              <w:rPr>
                <w:sz w:val="20"/>
                <w:szCs w:val="20"/>
                <w:color w:val="auto"/>
              </w:rPr>
            </w:pPr>
            <w:r>
              <w:rPr>
                <w:rFonts w:ascii="Arial" w:cs="Arial" w:eastAsia="Arial" w:hAnsi="Arial"/>
                <w:sz w:val="18"/>
                <w:szCs w:val="18"/>
                <w:color w:val="auto"/>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34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09"/>
        </w:trPr>
        <w:tc>
          <w:tcPr>
            <w:tcW w:w="103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Report of Independent Registered Public Accounting Firm</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1034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Consolidated Balance Sheets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Consolidated Statements of Income and Comprehensive Income</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10340" w:type="dxa"/>
            <w:vAlign w:val="bottom"/>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Consolidated Statements of Changes in Shareholders’ Equity</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10340" w:type="dxa"/>
            <w:vAlign w:val="bottom"/>
            <w:shd w:val="clear" w:color="auto" w:fill="CCEEFF"/>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Consolidated Statements of Cash Flows</w:t>
              </w:r>
            </w:hyperlink>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30"/>
        </w:trPr>
        <w:tc>
          <w:tcPr>
            <w:tcW w:w="10340" w:type="dxa"/>
            <w:vAlign w:val="bottom"/>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Notes to Consolidated Financial Statements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2"/>
              </w:rPr>
              <w:t>F-8 - F-31</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6" w:name="page107"/>
    <w:bookmarkEnd w:id="10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2948940" cy="4286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489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audited the accompanying consolidated balance sheets of CLPS Incorporation and Subsidiaries (collectively, the “Company”) as of June 30, 2017 and 2016, and the related consolidated statements of income and comprehensive income, changes in shareholders’ equity, and cash flows for the years then ended. The Company’s management is responsible for these consolidated financial statements. Our responsibility is to express an opinion on these consolidated financial statements based on our audits.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CLPS Incorporation and Subsidiaries as of June 30, 2017 and 2016, and the consolidated results of their operations and their cash flows for the years then ended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142875</wp:posOffset>
            </wp:positionV>
            <wp:extent cx="5366385" cy="522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36638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107" w:name="page108"/>
    <w:bookmarkEnd w:id="10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4,814,568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5,277,196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6,644,774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4,373,489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578,391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260,156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income tax</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169,557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 due from related parties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118,006</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12,325,296</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9,910,841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273,347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326,820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305,464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195,080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114,248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Long-term investment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45,141</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298,953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74,479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13,521,923</w:t>
            </w:r>
          </w:p>
        </w:tc>
        <w:tc>
          <w:tcPr>
            <w:tcW w:w="2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10,471,529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239,165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58,593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640,864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428,675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110,631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97,740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49,612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5,392,434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4,578,928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1,729,791</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1,148,197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8,210,625</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6,264,005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share, $0.0001 par value; 100,000,000 shares authorized; 11,290,000 shares issued and outstanding as of</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June 30, 2017 and 2016 *</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1,129</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7,120,943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7,120,943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Statuary reserves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680,671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418,722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(2,521,285)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(2,984,943)</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(447,270)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(352,361)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4,834,188</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4,203,490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Non-controlling Interests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477,110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5,311,298</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4,207,524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13,521,923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10,471,529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shares and per share data are presented on a retroactive basis to reflect the nominal share issuance.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08" w:name="page109"/>
    <w:bookmarkEnd w:id="10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31,361,976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29,024,178</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Less: Cost of revenues</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(18,669,812)</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(17,463,416)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1,206,493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413,016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4,232,788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5,579,058</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5,647,790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4,955,037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11,087,071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10,947,111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1,605,093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613,651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508,187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1,446,408</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(10,469)</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2,102,811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2,054,124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(118,546)</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269,153</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2,221,357</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1,784,971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173,912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(41,141)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80" w:type="dxa"/>
            <w:vAlign w:val="bottom"/>
            <w:vMerge w:val="continue"/>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2,047,445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1,826,112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gain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(93,177)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(387,100)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Less: foreign currency translation (loss) gain attributable to Non-controlling interest</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1,732</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attributable to CLPS Incorporation’s shareholders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(94,909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CLPS Incorporation shareholders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1,952,536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1,440,483</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175,644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(42,612)</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868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2,128,180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1,397,871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Basic and diluted earnings per common share *</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 and diluted</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shares and per share data are presented on a retroactive basis to reflect the nominal share issuance.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9" w:name="page110"/>
    <w:bookmarkEnd w:id="10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JUNE 30,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Retained</w:t>
            </w:r>
          </w:p>
        </w:tc>
        <w:tc>
          <w:tcPr>
            <w:tcW w:w="2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214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Common Share</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Comprehensive</w:t>
            </w:r>
          </w:p>
        </w:tc>
        <w:tc>
          <w:tcPr>
            <w:tcW w:w="12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00" w:type="dxa"/>
            <w:vAlign w:val="bottom"/>
          </w:tcPr>
          <w:p>
            <w:pPr>
              <w:spacing w:after="0"/>
              <w:rPr>
                <w:sz w:val="20"/>
                <w:szCs w:val="20"/>
                <w:color w:val="auto"/>
              </w:rPr>
            </w:pPr>
          </w:p>
        </w:tc>
        <w:tc>
          <w:tcPr>
            <w:tcW w:w="2140" w:type="dxa"/>
            <w:vAlign w:val="bottom"/>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Paid-in</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8"/>
              </w:rPr>
              <w:t>Statutory</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0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Surplus</w:t>
            </w:r>
          </w:p>
        </w:tc>
        <w:tc>
          <w:tcPr>
            <w:tcW w:w="1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Deficit)</w:t>
            </w:r>
          </w:p>
        </w:tc>
        <w:tc>
          <w:tcPr>
            <w:tcW w:w="20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(Loss)</w:t>
            </w:r>
          </w:p>
        </w:tc>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interest</w:t>
            </w: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2015</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11,290,000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2,696,377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2,639,885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5,913,141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w w:val="99"/>
              </w:rPr>
              <w:t>Shareholder’s contribution</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3,377,813</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3,377,813</w:t>
            </w: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Recapitalization of</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Shanghai CLPS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1,051,952</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(551,684)</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(500,268)</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rPr>
              <w:t>Non-controlling</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180"/>
              <w:spacing w:after="0"/>
              <w:rPr>
                <w:sz w:val="20"/>
                <w:szCs w:val="20"/>
                <w:color w:val="auto"/>
              </w:rPr>
            </w:pPr>
            <w:r>
              <w:rPr>
                <w:rFonts w:ascii="Arial" w:cs="Arial" w:eastAsia="Arial" w:hAnsi="Arial"/>
                <w:sz w:val="18"/>
                <w:szCs w:val="18"/>
                <w:color w:val="auto"/>
              </w:rPr>
              <w:t>contribution</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46,919</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46,919</w:t>
            </w: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Non-</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(5,199)</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Dividends declared</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(6,521,233)</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(6,521,233)</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year</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1,826,112</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1,784,971</w:t>
            </w:r>
          </w:p>
        </w:tc>
        <w:tc>
          <w:tcPr>
            <w:tcW w:w="0" w:type="dxa"/>
            <w:vAlign w:val="bottom"/>
          </w:tcPr>
          <w:p>
            <w:pPr>
              <w:spacing w:after="0"/>
              <w:rPr>
                <w:sz w:val="1"/>
                <w:szCs w:val="1"/>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rPr>
              <w:t>Appropriation of statutory</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180"/>
              <w:spacing w:after="0"/>
              <w:rPr>
                <w:sz w:val="20"/>
                <w:szCs w:val="20"/>
                <w:color w:val="auto"/>
              </w:rPr>
            </w:pPr>
            <w:r>
              <w:rPr>
                <w:rFonts w:ascii="Arial" w:cs="Arial" w:eastAsia="Arial" w:hAnsi="Arial"/>
                <w:sz w:val="18"/>
                <w:szCs w:val="18"/>
                <w:color w:val="auto"/>
              </w:rPr>
              <w:t>reserve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429,439</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(429,439)</w:t>
            </w: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 adjustments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(385,629)</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(387,100)</w:t>
            </w:r>
          </w:p>
        </w:tc>
        <w:tc>
          <w:tcPr>
            <w:tcW w:w="0" w:type="dxa"/>
            <w:vAlign w:val="bottom"/>
          </w:tcPr>
          <w:p>
            <w:pPr>
              <w:spacing w:after="0"/>
              <w:rPr>
                <w:sz w:val="1"/>
                <w:szCs w:val="1"/>
                <w:color w:val="auto"/>
              </w:rPr>
            </w:pPr>
          </w:p>
        </w:tc>
      </w:tr>
      <w:tr>
        <w:trPr>
          <w:trHeight w:val="203"/>
        </w:trPr>
        <w:tc>
          <w:tcPr>
            <w:tcW w:w="21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June 30, 2016</w:t>
            </w: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11,290,000</w:t>
            </w: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1,129</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7,120,943</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418,722</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(2,984,943)</w:t>
            </w: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(352,361)</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4,034</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4,207,524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Non-controlling</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6,438</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rPr>
              <w:t>Non-controlling interest</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180"/>
              <w:spacing w:after="0"/>
              <w:rPr>
                <w:sz w:val="20"/>
                <w:szCs w:val="20"/>
                <w:color w:val="auto"/>
              </w:rPr>
            </w:pPr>
            <w:r>
              <w:rPr>
                <w:rFonts w:ascii="Arial" w:cs="Arial" w:eastAsia="Arial" w:hAnsi="Arial"/>
                <w:sz w:val="18"/>
                <w:szCs w:val="18"/>
                <w:color w:val="auto"/>
              </w:rPr>
              <w:t>through acquisition</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290,994</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290,994</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Dividend declared</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(1,321,838)</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(1,321,838)</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2,047,445</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173,912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2,221,357</w:t>
            </w: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Appropriation of statutory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reserve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261,949</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(261,949)</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0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100" w:type="dxa"/>
            <w:vAlign w:val="bottom"/>
          </w:tcPr>
          <w:p>
            <w:pPr>
              <w:ind w:left="180"/>
              <w:spacing w:after="0"/>
              <w:rPr>
                <w:sz w:val="20"/>
                <w:szCs w:val="20"/>
                <w:color w:val="auto"/>
              </w:rPr>
            </w:pPr>
            <w:r>
              <w:rPr>
                <w:rFonts w:ascii="Arial" w:cs="Arial" w:eastAsia="Arial" w:hAnsi="Arial"/>
                <w:sz w:val="18"/>
                <w:szCs w:val="18"/>
                <w:color w:val="auto"/>
              </w:rPr>
              <w:t>translation adjustments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(94,909)</w:t>
            </w: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(93,177)</w:t>
            </w:r>
          </w:p>
        </w:tc>
        <w:tc>
          <w:tcPr>
            <w:tcW w:w="0" w:type="dxa"/>
            <w:vAlign w:val="bottom"/>
          </w:tcPr>
          <w:p>
            <w:pPr>
              <w:spacing w:after="0"/>
              <w:rPr>
                <w:sz w:val="1"/>
                <w:szCs w:val="1"/>
                <w:color w:val="auto"/>
              </w:rPr>
            </w:pPr>
          </w:p>
        </w:tc>
      </w:tr>
      <w:tr>
        <w:trPr>
          <w:trHeight w:val="188"/>
        </w:trPr>
        <w:tc>
          <w:tcPr>
            <w:tcW w:w="21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w:t>
            </w: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2017</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11,290,000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7,120,943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680,671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line="271" w:lineRule="exact"/>
              <w:rPr>
                <w:sz w:val="20"/>
                <w:szCs w:val="20"/>
                <w:color w:val="auto"/>
              </w:rPr>
            </w:pPr>
            <w:r>
              <w:rPr>
                <w:rFonts w:ascii="Arial" w:cs="Arial" w:eastAsia="Arial" w:hAnsi="Arial"/>
                <w:sz w:val="17"/>
                <w:szCs w:val="17"/>
                <w:color w:val="auto"/>
              </w:rPr>
              <w:t>(2,521,285</w:t>
            </w:r>
            <w:r>
              <w:rPr>
                <w:rFonts w:ascii="Arial" w:cs="Arial" w:eastAsia="Arial" w:hAnsi="Arial"/>
                <w:sz w:val="31"/>
                <w:szCs w:val="31"/>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line="271" w:lineRule="exact"/>
              <w:rPr>
                <w:sz w:val="20"/>
                <w:szCs w:val="20"/>
                <w:color w:val="auto"/>
              </w:rPr>
            </w:pPr>
            <w:r>
              <w:rPr>
                <w:rFonts w:ascii="Arial" w:cs="Arial" w:eastAsia="Arial" w:hAnsi="Arial"/>
                <w:sz w:val="17"/>
                <w:szCs w:val="17"/>
                <w:color w:val="auto"/>
              </w:rPr>
              <w:t>(447,270</w:t>
            </w:r>
            <w:r>
              <w:rPr>
                <w:rFonts w:ascii="Arial" w:cs="Arial" w:eastAsia="Arial" w:hAnsi="Arial"/>
                <w:sz w:val="31"/>
                <w:szCs w:val="31"/>
                <w:color w:val="auto"/>
                <w:vertAlign w:val="superscript"/>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477,110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5,311,298</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shares and per share data are presented on a retroactive basis to reflect the nominal share issuance.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0" w:name="page111"/>
    <w:bookmarkEnd w:id="11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2,221,357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1,784,971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143,626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54,105</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Deferred tax benefit</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(221,114)</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(96,713)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doubtful accounts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86,463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Changes in assets and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(2,410,155)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1,053,207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Prepayment, deposits and other assets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(357,761)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417,190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income tax</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(168,825)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52,574</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27,152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deposits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48,892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51,194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Salaries and benefits payable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899,462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957,167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110,153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Arial" w:cs="Arial" w:eastAsia="Arial" w:hAnsi="Arial"/>
                <w:sz w:val="18"/>
                <w:szCs w:val="18"/>
                <w:color w:val="auto"/>
              </w:rPr>
              <w:t>Taxes payable</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219,672</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208,772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(62,518)</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(327,768)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for business acquisition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(349,617)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acquired from acquisition</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266,856</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Disposition (acquisition) of long term investment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44,061</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(46,580)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(101,218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(374,348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contribution by shareholders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2,135,673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Non-controlling interest shareholder’s contribution</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6,438</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46,919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non-controlling interest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155,267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due from related parties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2,491,794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Amounts due to related parties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(102,754)</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77,590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paid</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(736,436)</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(5,279,093)</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(832,752)</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(378,837)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(153,002)</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(227,771)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increase in cash</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(462,628)</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3,481,312</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5,277,196</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1,795,884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4,814,568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5,277,196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Income tax paid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335,143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285,019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Non-Cash Transactions of Investing and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 included in due to related parties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585,402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Payable for business acquisition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128,371</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Dividend contributed to capital</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1,242,140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11" w:name="page112"/>
    <w:bookmarkEnd w:id="11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in an increasingly global, internet-driven, and competitive marketplace. Mr. Xiao Feng Yang, the Company’s founder, Chairman and president, together with Mr. Raymond Ming Hui Lin, the Company’s Chief Executive Officer (“CEO”) are the controlling shareholders of the Company. (the “controlling shareholder”).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founder, Chairman, together with Mr. Raymond Ming Hui Lin, the Company’s Chief Executive Officer (“CEO”) are the controlling shareholders of the Company (the “Controlling shareholders”).</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 reorganization of the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Prior to the reorganization, CLPS Shanghai’s equity interests were 100% controlled by the same group of the controlling shareholders of CLPS.</w:t>
      </w:r>
    </w:p>
    <w:p>
      <w:pPr>
        <w:spacing w:after="0" w:line="23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CLIVST and FDT-CL are subsidiaries of Qinheng. JQ Technology Co., Limited (“JQ”) and JIALIN Technology Limited (“JL”) are subsidiaries of Qiner since October 17, 2017. CLPS Dalian Co., Ltd (“CLPS Dalian”), CLPS Ruicheng Co., Ltd (“CLPS RC”), CLPS Beijing Hengtong Co., Ltd (“CLPS Beijing”), CLPS TECHNOLOGY (SINGAPORE) PTE.LTD (“CLPS SG”), CLPS TECHNOLOGY (AUSTRALIA) PTY LTD (“CLPS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After the reorganization, CLPS owns 100% equity interests of the entities mentioned above. On December 7, 2017, the Board of Directors approved an amendment of the article association of CLPS and a nominal share issuance to the existing shareholders. As a result, the existing shareholders own the same percentage of ownership in CLPS as their ownership interests in CLPS Shanghai prior to the reorganization.</w:t>
      </w:r>
    </w:p>
    <w:p>
      <w:pPr>
        <w:spacing w:after="0" w:line="17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Since the Company and its subsidiaries are effectively controlled by the same group of the shareholders before and after the reorganization, they are considered under common control. The above mentioned transactions were accounted for as a recapitalization. The consolidation of the Company and its subsidiaries has been accounted for at historical cost and prepared on the basis as if the aforementioned transactions had become effective as of the beginning of the first period presented in the consolidated financial statements.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6" w:right="379" w:bottom="1440" w:gutter="0" w:footer="0" w:header="0"/>
        </w:sectPr>
      </w:pPr>
    </w:p>
    <w:bookmarkStart w:id="112" w:name="page113"/>
    <w:bookmarkEnd w:id="11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 continued</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Upon the reorganization, the Company has subsidiaries in PRC, Hong Kong, Taiwan, British Virgin Islands, Australia and Singapore. Details of the subsidiaries of the Company are set out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Date of Incorporation/</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41"/>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Name of Entity</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acquisition</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Place of Incorporation</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 of Ownership</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Activities</w:t>
            </w:r>
          </w:p>
        </w:tc>
      </w:tr>
      <w:tr>
        <w:trPr>
          <w:trHeight w:val="202"/>
        </w:trPr>
        <w:tc>
          <w:tcPr>
            <w:tcW w:w="30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CLPS Incorporation (“CLPS” or the</w:t>
            </w: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Incorporated on</w:t>
            </w: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Cayman Islands</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Parent</w:t>
            </w: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Holding Company</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11, 2017</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Qinheng Co., Limited (“Qinheng”)</w:t>
            </w:r>
          </w:p>
        </w:tc>
        <w:tc>
          <w:tcPr>
            <w:tcW w:w="22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Incorporated on</w:t>
            </w:r>
          </w:p>
        </w:tc>
        <w:tc>
          <w:tcPr>
            <w:tcW w:w="2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Hong Kong, China</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93"/>
              </w:rPr>
              <w:t>Holding Company</w:t>
            </w: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June 9, 2017</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Qiner Co., Limited (“Qiner”)</w:t>
            </w:r>
          </w:p>
        </w:tc>
        <w:tc>
          <w:tcPr>
            <w:tcW w:w="22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1"/>
              </w:rPr>
              <w:t>Incorporated on</w:t>
            </w:r>
          </w:p>
        </w:tc>
        <w:tc>
          <w:tcPr>
            <w:tcW w:w="2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Hong Kong, China</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Holding Company</w:t>
            </w: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April 21, 2017</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Shanghai Qincheng Information</w:t>
            </w:r>
          </w:p>
        </w:tc>
        <w:tc>
          <w:tcPr>
            <w:tcW w:w="22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1"/>
              </w:rPr>
              <w:t>Incorporated on</w:t>
            </w:r>
          </w:p>
        </w:tc>
        <w:tc>
          <w:tcPr>
            <w:tcW w:w="2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8"/>
              </w:rPr>
              <w:t>Shanghai, China</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93"/>
              </w:rPr>
              <w:t>Holding Company</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Technology Co., Ltd (“CLPS QC” or</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August 4, 2017</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“WOFE”)</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ChinaLink Professional Service Co., Ltd</w:t>
            </w:r>
          </w:p>
        </w:tc>
        <w:tc>
          <w:tcPr>
            <w:tcW w:w="22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Incorporated on August 30,</w:t>
            </w:r>
          </w:p>
        </w:tc>
        <w:tc>
          <w:tcPr>
            <w:tcW w:w="2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8"/>
              </w:rPr>
              <w:t>Shanghai, China</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(“CLPS Shanghai”)</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Dalian Co., Ltd (“CLPS Dalian”)</w:t>
            </w:r>
          </w:p>
        </w:tc>
        <w:tc>
          <w:tcPr>
            <w:tcW w:w="22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Incorporated on May 25,</w:t>
            </w:r>
          </w:p>
        </w:tc>
        <w:tc>
          <w:tcPr>
            <w:tcW w:w="22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Dalian, China</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Ruicheng Co., Ltd (“CLPS RC”)</w:t>
            </w:r>
          </w:p>
        </w:tc>
        <w:tc>
          <w:tcPr>
            <w:tcW w:w="22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Incorporated on</w:t>
            </w:r>
          </w:p>
        </w:tc>
        <w:tc>
          <w:tcPr>
            <w:tcW w:w="2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8"/>
              </w:rPr>
              <w:t>Shanghai, China</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26, 2013</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w w:val="97"/>
              </w:rPr>
              <w:t>CLPS Beijing Hengtong Co., Ltd (“CLPS</w:t>
            </w:r>
          </w:p>
        </w:tc>
        <w:tc>
          <w:tcPr>
            <w:tcW w:w="22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Incorporated on</w:t>
            </w:r>
          </w:p>
        </w:tc>
        <w:tc>
          <w:tcPr>
            <w:tcW w:w="2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5"/>
              </w:rPr>
              <w:t>Beijing, China</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4"/>
              </w:rPr>
              <w:t>70%</w:t>
            </w:r>
          </w:p>
        </w:tc>
        <w:tc>
          <w:tcPr>
            <w:tcW w:w="100" w:type="dxa"/>
            <w:vAlign w:val="bottom"/>
          </w:tcPr>
          <w:p>
            <w:pPr>
              <w:spacing w:after="0"/>
              <w:rPr>
                <w:sz w:val="17"/>
                <w:szCs w:val="17"/>
                <w:color w:val="auto"/>
              </w:rPr>
            </w:pP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Beijing”)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30, 2015</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TECHNOLOGY (SINGAPORE)</w:t>
            </w:r>
          </w:p>
        </w:tc>
        <w:tc>
          <w:tcPr>
            <w:tcW w:w="22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Incorporated on August 18,</w:t>
            </w:r>
          </w:p>
        </w:tc>
        <w:tc>
          <w:tcPr>
            <w:tcW w:w="2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Singapore</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PTE.LTD (“CLPS SG”)</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TECHNOLOGY (AUSTRALIA)</w:t>
            </w:r>
          </w:p>
        </w:tc>
        <w:tc>
          <w:tcPr>
            <w:tcW w:w="22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Incorporated on November</w:t>
            </w:r>
          </w:p>
        </w:tc>
        <w:tc>
          <w:tcPr>
            <w:tcW w:w="2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Australia</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PTY LTD (“CLPS AU”)</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10, 2015</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Technology (Hong Kong) Co.,</w:t>
            </w:r>
          </w:p>
        </w:tc>
        <w:tc>
          <w:tcPr>
            <w:tcW w:w="22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89"/>
              </w:rPr>
              <w:t>Incorporated on January 7,</w:t>
            </w:r>
          </w:p>
        </w:tc>
        <w:tc>
          <w:tcPr>
            <w:tcW w:w="2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Hong Kong, China</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80%</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(“CLPS Hong Kong”)</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Judge (Shanghai) Co., Ltd (“Judge</w:t>
            </w:r>
          </w:p>
        </w:tc>
        <w:tc>
          <w:tcPr>
            <w:tcW w:w="22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1"/>
              </w:rPr>
              <w:t>Acquired on</w:t>
            </w:r>
          </w:p>
        </w:tc>
        <w:tc>
          <w:tcPr>
            <w:tcW w:w="2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8"/>
              </w:rPr>
              <w:t>Shanghai, China</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4"/>
              </w:rPr>
              <w:t>60%</w:t>
            </w:r>
          </w:p>
        </w:tc>
        <w:tc>
          <w:tcPr>
            <w:tcW w:w="100" w:type="dxa"/>
            <w:vAlign w:val="bottom"/>
          </w:tcPr>
          <w:p>
            <w:pPr>
              <w:spacing w:after="0"/>
              <w:rPr>
                <w:sz w:val="17"/>
                <w:szCs w:val="17"/>
                <w:color w:val="auto"/>
              </w:rPr>
            </w:pP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9, 2016</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Judge (Shanghai) Human Resource Co.,</w:t>
            </w:r>
          </w:p>
        </w:tc>
        <w:tc>
          <w:tcPr>
            <w:tcW w:w="22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1"/>
              </w:rPr>
              <w:t>Acquired on</w:t>
            </w:r>
          </w:p>
        </w:tc>
        <w:tc>
          <w:tcPr>
            <w:tcW w:w="2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8"/>
              </w:rPr>
              <w:t>Shanghai, China</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42%</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Ltd (“Judge HR”)</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9, 2016</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CLPS Shenzhen Co., Ltd (“CLPS</w:t>
            </w:r>
          </w:p>
        </w:tc>
        <w:tc>
          <w:tcPr>
            <w:tcW w:w="22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Incorporated on</w:t>
            </w:r>
          </w:p>
        </w:tc>
        <w:tc>
          <w:tcPr>
            <w:tcW w:w="2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8"/>
              </w:rPr>
              <w:t>Shenzhen, China</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4"/>
              </w:rPr>
              <w:t>94%</w:t>
            </w:r>
          </w:p>
        </w:tc>
        <w:tc>
          <w:tcPr>
            <w:tcW w:w="100" w:type="dxa"/>
            <w:vAlign w:val="bottom"/>
          </w:tcPr>
          <w:p>
            <w:pPr>
              <w:spacing w:after="0"/>
              <w:rPr>
                <w:sz w:val="17"/>
                <w:szCs w:val="17"/>
                <w:color w:val="auto"/>
              </w:rPr>
            </w:pP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Shenzhen”)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April 7, 2017</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Guangzhou Co., Ltd(“CLPS</w:t>
            </w:r>
          </w:p>
        </w:tc>
        <w:tc>
          <w:tcPr>
            <w:tcW w:w="22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Incorporated on</w:t>
            </w:r>
          </w:p>
        </w:tc>
        <w:tc>
          <w:tcPr>
            <w:tcW w:w="2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Guangzhou, China</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Guangzhou”)</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27, 2017</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Tianjin Huanyu Qinshang Network</w:t>
            </w:r>
          </w:p>
        </w:tc>
        <w:tc>
          <w:tcPr>
            <w:tcW w:w="22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Incorporated on</w:t>
            </w:r>
          </w:p>
        </w:tc>
        <w:tc>
          <w:tcPr>
            <w:tcW w:w="2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Tianjin, China</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7"/>
                <w:szCs w:val="17"/>
                <w:color w:val="auto"/>
              </w:rPr>
            </w:pP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93"/>
              </w:rPr>
              <w:t>Network technology</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Technology Co., Ltd (“Huan Yu”)</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27, 2017</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CLIVST Ltd. (“CLIVST”)</w:t>
            </w:r>
          </w:p>
        </w:tc>
        <w:tc>
          <w:tcPr>
            <w:tcW w:w="22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Incorporated on</w:t>
            </w:r>
          </w:p>
        </w:tc>
        <w:tc>
          <w:tcPr>
            <w:tcW w:w="2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British Virgin Islands</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Holding Company</w:t>
            </w: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25, 2017</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FDT-CL Financial Technology Services</w:t>
            </w:r>
          </w:p>
        </w:tc>
        <w:tc>
          <w:tcPr>
            <w:tcW w:w="22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Incorporated on</w:t>
            </w:r>
          </w:p>
        </w:tc>
        <w:tc>
          <w:tcPr>
            <w:tcW w:w="2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Hong Kong, China</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4"/>
              </w:rPr>
              <w:t>52%</w:t>
            </w:r>
          </w:p>
        </w:tc>
        <w:tc>
          <w:tcPr>
            <w:tcW w:w="100" w:type="dxa"/>
            <w:vAlign w:val="bottom"/>
          </w:tcPr>
          <w:p>
            <w:pPr>
              <w:spacing w:after="0"/>
              <w:rPr>
                <w:sz w:val="17"/>
                <w:szCs w:val="17"/>
                <w:color w:val="auto"/>
              </w:rPr>
            </w:pP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Limited (“FDT-CL”)</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24, 2017</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JQ Technology Co., Limited(“JQ”)</w:t>
            </w:r>
          </w:p>
        </w:tc>
        <w:tc>
          <w:tcPr>
            <w:tcW w:w="22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1"/>
              </w:rPr>
              <w:t>Acquired on</w:t>
            </w:r>
          </w:p>
        </w:tc>
        <w:tc>
          <w:tcPr>
            <w:tcW w:w="2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Hong Kong, China</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55%</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3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17, 2017</w:t>
            </w: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JIALIN Technology Limited (“JL”)</w:t>
            </w:r>
          </w:p>
        </w:tc>
        <w:tc>
          <w:tcPr>
            <w:tcW w:w="226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1"/>
              </w:rPr>
              <w:t>Acquired on</w:t>
            </w:r>
          </w:p>
        </w:tc>
        <w:tc>
          <w:tcPr>
            <w:tcW w:w="2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Taiwan</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4"/>
              </w:rPr>
              <w:t>55%</w:t>
            </w:r>
          </w:p>
        </w:tc>
        <w:tc>
          <w:tcPr>
            <w:tcW w:w="100" w:type="dxa"/>
            <w:vAlign w:val="bottom"/>
          </w:tcPr>
          <w:p>
            <w:pPr>
              <w:spacing w:after="0"/>
              <w:rPr>
                <w:sz w:val="17"/>
                <w:szCs w:val="17"/>
                <w:color w:val="auto"/>
              </w:rPr>
            </w:pP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17, 2017</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655"/>
        </w:trPr>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F-9</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113" w:name="page114"/>
    <w:bookmarkEnd w:id="11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pursuant to the rules and requirements of the Securities Exchange Commission (“SEC”).</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accompanying consolidated financial statements include the financial statements of CLPS, Qinheng, Qiner, CLIVST, FDT-CL, JQ, JL, CLPS QC, CLPS Shanghai, CLPS Beijing, CLPS RC, CLPS Dalian, CLPS AU, CLPS SG, CLPS Hong Kong, CLPS Shenzhen, Judge China and Judge HR, CLPS Guangzhou. All inter-company balances and transactions have been eliminated upon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22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intangible assets, goodwill impairment, the impairment of long-lived assets, provision for contingent liabilities, revenue recognition, accrued expenses and other current liabilities and realization of deferred tax assets.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7" w:lineRule="exact"/>
        <w:rPr>
          <w:sz w:val="20"/>
          <w:szCs w:val="20"/>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prices (unadjusted) for identical assets or liabilities in active markets.</w:t>
      </w:r>
    </w:p>
    <w:p>
      <w:pPr>
        <w:spacing w:after="0" w:line="225" w:lineRule="exact"/>
        <w:rPr>
          <w:rFonts w:ascii="Arial" w:cs="Arial" w:eastAsia="Arial" w:hAnsi="Arial"/>
          <w:sz w:val="18"/>
          <w:szCs w:val="18"/>
          <w:color w:val="auto"/>
        </w:rPr>
      </w:pPr>
    </w:p>
    <w:p>
      <w:pPr>
        <w:ind w:left="580" w:hanging="572"/>
        <w:spacing w:after="0" w:line="263"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83" w:lineRule="exact"/>
        <w:rPr>
          <w:rFonts w:ascii="Arial" w:cs="Arial" w:eastAsia="Arial" w:hAnsi="Arial"/>
          <w:sz w:val="18"/>
          <w:szCs w:val="18"/>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w:t>
      </w:r>
    </w:p>
    <w:p>
      <w:pPr>
        <w:spacing w:after="0" w:line="22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Unless otherwise disclosed, the fair value of the Company’s financial instruments including cash and cash equivalents, accounts receivable, other receivables and other current assets, accounts payable, customer deposits, accrued expenses and other current liabilities approximates their recorded values due to their short-term maturities.</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6" w:right="419" w:bottom="1440" w:gutter="0" w:footer="0" w:header="0"/>
        </w:sectPr>
      </w:pPr>
    </w:p>
    <w:bookmarkStart w:id="114" w:name="page115"/>
    <w:bookmarkEnd w:id="11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considers all highly liquid investment instruments with an original maturity of three months or less from the date of purchase to be cash equivalents. The Company maintains most of its bank accounts in the PRC. Cash balances in bank accounts in PRC are not insured by the Federal Deposit Insurance Corporation or other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Accounts receivable are recorded at original invoice.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written-off against the allowance for doubtful accounts after management has determined that the likelihood of collection is not probable.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deposit and other assets</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Prepayment, deposit and other assets primarily consists of advances to suppliers for purchasing goods or services that have not been received or provided and advances to employees. These advances are interest free, unsecured and short-term in nature and are reviewed periodically to determine whether their carrying value has become impaired.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contract costs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contract costs represent costs incurred in advance of revenue recognition arising from direct and incremental staff costs in respect of the fixed fee contracts according to the customer’s requirements prior to the delivery of services, and such deferred costs will be recognized upon the recognition of the related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investment</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Investee companies over which the Company has the ability to exercise significant influence, but does not have a controlling interest are accounted for using the equity method. Significant influence is generally considered to exist when the Company has an ownership interest in the voting shares of the investee between 20% and 50%, and other factors, such as representation in the investee’s Board of Directors, voting rights and the impact of commercial arrangements, are considered in determining whether the equity method of accounting is appropriate.</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6" w:right="419" w:bottom="1440" w:gutter="0" w:footer="0" w:header="0"/>
        </w:sectPr>
      </w:pPr>
    </w:p>
    <w:bookmarkStart w:id="115" w:name="page116"/>
    <w:bookmarkEnd w:id="11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Business combinations are recorded using the business acquisition method of accounting. The assets acquired, the liabilities assumed, and any non-controlling interest of the acquiree at the acquisition date, if any, are measured at their fair values as of that date. Goodwill is recognized and measured as the excess of the total consideration transferred plus the fair value of any non-controlling interest of the acquiree, if any, at the acquisition date over the fair values of the identifiable net assets acquired.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 of income and comprehensive income as an allocation of the total income or loss for the year between non-controlling interest holders and the shareholders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color w:val="auto"/>
        </w:rPr>
        <w:t>Property and equipment, net, are stated at cost less accumulated depreciation and amortization. The straight-line method is used to compute depreciation and amortization over the estimated useful lives of the assets,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Borders>
              <w:bottom w:val="single" w:sz="8" w:color="CCEEFF"/>
            </w:tcBorders>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Useful life</w:t>
            </w:r>
          </w:p>
        </w:tc>
      </w:tr>
      <w:tr>
        <w:trPr>
          <w:trHeight w:val="202"/>
        </w:trPr>
        <w:tc>
          <w:tcPr>
            <w:tcW w:w="7320" w:type="dxa"/>
            <w:vAlign w:val="bottom"/>
            <w:shd w:val="clear" w:color="auto" w:fill="CCEEFF"/>
          </w:tcPr>
          <w:p>
            <w:pPr>
              <w:spacing w:after="0"/>
              <w:rPr>
                <w:sz w:val="17"/>
                <w:szCs w:val="17"/>
                <w:color w:val="auto"/>
              </w:rPr>
            </w:pPr>
          </w:p>
        </w:tc>
        <w:tc>
          <w:tcPr>
            <w:tcW w:w="3920" w:type="dxa"/>
            <w:vAlign w:val="bottom"/>
            <w:shd w:val="clear" w:color="auto" w:fill="CCEEFF"/>
          </w:tcPr>
          <w:p>
            <w:pPr>
              <w:ind w:left="940"/>
              <w:spacing w:after="0" w:line="201" w:lineRule="exact"/>
              <w:rPr>
                <w:sz w:val="20"/>
                <w:szCs w:val="20"/>
                <w:color w:val="auto"/>
              </w:rPr>
            </w:pPr>
            <w:r>
              <w:rPr>
                <w:rFonts w:ascii="Arial" w:cs="Arial" w:eastAsia="Arial" w:hAnsi="Arial"/>
                <w:sz w:val="18"/>
                <w:szCs w:val="18"/>
                <w:color w:val="auto"/>
              </w:rPr>
              <w:t>the shorter of lease terms or</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the estimated useful lives</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Machinery equipment</w:t>
            </w:r>
          </w:p>
        </w:tc>
        <w:tc>
          <w:tcPr>
            <w:tcW w:w="3920" w:type="dxa"/>
            <w:vAlign w:val="bottom"/>
          </w:tcPr>
          <w:p>
            <w:pPr>
              <w:jc w:val="center"/>
              <w:spacing w:after="0"/>
              <w:rPr>
                <w:sz w:val="20"/>
                <w:szCs w:val="20"/>
                <w:color w:val="auto"/>
              </w:rPr>
            </w:pPr>
            <w:r>
              <w:rPr>
                <w:rFonts w:ascii="Arial" w:cs="Arial" w:eastAsia="Arial" w:hAnsi="Arial"/>
                <w:sz w:val="18"/>
                <w:szCs w:val="18"/>
                <w:color w:val="auto"/>
                <w:w w:val="87"/>
              </w:rPr>
              <w:t>5–10 years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vehicles</w:t>
            </w:r>
          </w:p>
        </w:tc>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3920" w:type="dxa"/>
            <w:vAlign w:val="bottom"/>
          </w:tcPr>
          <w:p>
            <w:pPr>
              <w:jc w:val="center"/>
              <w:spacing w:after="0"/>
              <w:rPr>
                <w:sz w:val="20"/>
                <w:szCs w:val="20"/>
                <w:color w:val="auto"/>
              </w:rPr>
            </w:pPr>
            <w:r>
              <w:rPr>
                <w:rFonts w:ascii="Arial" w:cs="Arial" w:eastAsia="Arial" w:hAnsi="Arial"/>
                <w:sz w:val="18"/>
                <w:szCs w:val="18"/>
                <w:color w:val="auto"/>
                <w:w w:val="88"/>
              </w:rPr>
              <w:t>5 years</w:t>
            </w:r>
          </w:p>
        </w:tc>
      </w:tr>
    </w:tbl>
    <w:p>
      <w:pPr>
        <w:spacing w:after="0" w:line="187"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charged to the statement of income.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22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Intangible assets, other than goodwill, are initially measured and recorded at their fair values. Intangible assets primarily consists of customer contacts acquired by Judge China. Customer contacts are amortized using the estimated attrition pattern which is estimated over 10 years.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6" w:name="page117"/>
    <w:bookmarkEnd w:id="11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Goodwill represents the excess of the consideration over the fair value of the net assets acquired at the date of acquisition. Goodwill is not amortized but rather tested for impairment at least annually at the reporting unit level by applying a fair-value based test in accordance with accounting and disclosure requirements for goodwill and other indefinite-lived intangible assets. This test is performed by management annually or more frequently if the Company believes impairment indicators are present. There was only one reporting unit (that also represented the operating segment) as of June 30, 2017. Goodwill was allocated to the one reporting unit as of June 30,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assessed discounted cash flow amount.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reviews the carrying value of intangible assets not subject to amortization, including goodwill, to determine whether impairment may exist annually or more frequently if events and circumstances indicate that it is more likely than not that an impairment has occurred. The Company has the option to assess qualitative factors to determine whether it is necessary to perform the two-step in accordance with ASC 350-20. If the Company believes, as a result of the qualitative assessment, that it is more likely than not that the fair value of the reporting unit is less than its carrying amount, the two-step quantities impairment test described below is required. The first step compares the fair values of each reporting unit to its carrying amount, including goodwill. If the fair value of each reporting unit exceeds its carrying amount, goodwill is not considered to be impaired and the second step will not be required. If the carrying amount of a reporting unit exceeds its fair value, the second step compares the implied fair value of goodwill to the carrying value of a reporting unit’s goodwill. The implied fair value of goodwill is determined in a manner similar to accounting for a business acquisition with the allocation of the assessed fair value determined in the first step to the assets and liabilities of the reporting unit. The excess of the fair value of the reporting unit over the amounts assigned to the assets and liabilities is the implied fair value of goodwill. An impairment loss is recognized for any excess in the carrying value of goodwill over the implied fair value of goodwill. Estimating fair value is performed by utilizing various valuation techniques, with the primary technique being a discounted cash flow.</w:t>
      </w: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17" w:name="page118"/>
    <w:bookmarkEnd w:id="11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a comprehensive range of IT services and solutions, which primarily are on a time-and-expense basis, or fixed-price basis</w:t>
      </w:r>
    </w:p>
    <w:p>
      <w:pPr>
        <w:spacing w:after="0" w:line="23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Revenue is considered realizable and earned when all of the following criteria are met: persuasive evidence of a sales arrangement exists; delivery has occurred or services have been rendered; the price is fixed or determinable; and collectability is reasonably assured.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Time-and-expense basis contracts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Revenues from time-and-expense basis contracts are recognized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Fixed-price basis contracts</w:t>
      </w:r>
    </w:p>
    <w:p>
      <w:pPr>
        <w:spacing w:after="0" w:line="22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there are following separated service elements in the fixed-fee customized solution contract:</w:t>
      </w:r>
    </w:p>
    <w:p>
      <w:pPr>
        <w:spacing w:after="0" w:line="225"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Solution development service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Specific service such as training, if applicable</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multiple-element arrangements that include application customized services and PCS as well as specific service component, if applicable, the Company allocates contract revenue to all deliverables based on their relative selling prices. The Company uses a hierarchy to determine the selling price to be used for allocating revenue to the deliverables: (i) vendor-specific objective evidence of fair value (“VSOE”), (ii) third-party evidence of the selling price (“TPE”) and (iii) best estimate of the selling price (“BESP”). The Company uses VSOE of selling price in the selling price allocation in all instances where it exists, otherwise, BESP is used because the Company’s customized application differs substantially from that of competitors, it is difficult to obtain the reliable standalone competitive pricing necessary to establish TPE. VSOE of selling price for products and services is determined when a substantial majority of the selling prices fall within a reasonable range when sold separately.</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18" w:name="page119"/>
    <w:bookmarkEnd w:id="11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(continued)</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Revenue allocates to solution development service component is recognized using contract accounting in accordance with Accounting Standards Codification (“ASC”) 605-35. The revenue recognition for these contracts varies depending on the terms of the individual contracts, and may be recognized proportionally over the term of the contract or deferred until the end of the contract term and recognized when our obligations have been fulfilled with the customer. For contacts with development period within three months, the related revenue is recognized on the completed contract method. Otherwise, revenue is recognized as the service is performed using the percentage of completion method of accounting, under which the total value of revenue is recognized on the basis of the percentage that total labor cost to date bears to the total expected labor costs. The Company considers labor time, the input measurement, is the best available indicator of the pattern and timing in which contract obligations are fulfilled. Pursuant to the contract terms, the Company has enforceable right on payments for the work performed. Provisions for estimated losses, if any, on uncompleted contracts are recorded in the period in which such losses become probable based on the current contract estimates. In instances where substantive acceptance provisions are specified in customer contracts, revenues are deferred until all acceptance criteria have been met.</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fixed-priced customized solution arrangement provides customers with rights to unspecified PCS, if and when available. These services grant the customers on line and telephone access to technical support personnel during the term of the service. The revenue allocated to unspecific PCS component is deferred and recognized on a straight-line basis over the PCS period. Revenue allocates to the specific PCS or other services is recognized as the related services are rendered.</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date, the Company has not incurred a material loss on any contracts. However, as a policy, provisions for estimated losses on such engagements will be made during the period in which a loss becomes probable and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Differences between the timing of billings and the recognition of revenue based on various methods of accounting are recorded as deferred revenue.</w:t>
      </w:r>
    </w:p>
    <w:p>
      <w:pPr>
        <w:spacing w:after="0" w:line="23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Revenue includes reimbursements of travel and out-of-pocket expense, with equivalent amounts of expense recorded in cost of revenue. The Company reports revenues net of value added tax (“VAT”). The Company’s subsidiaries in the PRC are subject to a 6% to 17% value added tax (“VAT”) and related surcharges on the revenues earned from providing services.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9" w:name="page120"/>
    <w:bookmarkEnd w:id="11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incur in the development of new software modules and products, either as part of internally used software or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when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subsidies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Government subsidies mainly represent amounts granted by local government authorities as an incentive for companies to promote development of the local technology industry. The Company receives government subsidies related to government sponsored projects, and records such government subsidies as a liability when it is received. The Company records government subsidies as other income when there is no further performance obligation. Total government subsidies amounted to $385,448 and $1,282,882 for the years ended June 30, 2017 and 2016, respectively, and were included in other income.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expenditures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Advertising expenditures are expensed as incurred and such expenses were minimal for the periods presented. Advertising expenditures have been included as part of selling and marketing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 lease for which substantially all the benefits and risks incidental to ownership remain with the lessor is classified by the lessee as an operating lease. All leases of the Company are currently classified as operating leases. The Company records the total expenses on a straight-line basis over the lease term.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defined contribution plan</w:t>
      </w:r>
    </w:p>
    <w:p>
      <w:pPr>
        <w:spacing w:after="0" w:line="22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Full time employees of the Company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Company make contributions to the government for these benefits based on a certain percentage of the employee’s salaries. The Company has no legal obligation for the benefits beyond the contributions. The total amount was expensed as incurred.</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20" w:name="page121"/>
    <w:bookmarkEnd w:id="12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6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years ended June 30, 2017 and 2016. All of the tax returns of the Company’s subsidiaries in China remain subject to examination by the tax authorities for five years from the date of filing through year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added tax (“VAT”)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represents the invoiced value of service, net of VAT. The VAT is based on gross sales price and VAT rates range up to 17%, depending on the type of service provided. Entities that are VAT general taxpayers are allowed to offset qualified input VAT paid to suppliers against their output VAT liabilities. Net VAT balance between input VAT and output VAT is recorded in tax payable. All of the VAT returns filed by the company’s subsidiaries in China, have been and remain subject to examination by the tax authorities for five years from the date of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computes earnings per share (“EPS”) in accordance with ASC 260, “Earnings per Share”. ASC 260 requires companies to present basic and diluted EPS. Basic EPS is measured as net income divided by the weighted average common share outstanding for the period. Diluted EPS presents the dilutive effect on a per share basis of the potential common shares (e.g., convertible securities, options and warrants) as if they had been converted at the beginning of the periods presented, or issuance date, if later. Potential common shares that have an anti-dilutive effect (i.e., those that increase income per share or decrease loss per share) are excluded from the calculation of diluted EPS.</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121" w:name="page122"/>
    <w:bookmarkEnd w:id="12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functional currencies of the Company are the local currency of the county in which the subsidiary operates. The Company’s financial statements are reported using U.S. Dollars. The results of operations and the consolidated statements of cash flows denominated in foreign currencies are translated at the average rates of exchange during the reporting period. Assets and liabilities denominated in foreign currencies at the balance sheet date are translated at the applicable rates of exchange in effect at that date. The equity denominated in the functional currencies is translated at the historical rates of exchange at the time of capital contributions. Because cash flows are translated based on the average translation rates,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consolidated statements of changes in shareholders’ equity. Gains and losses from foreign currency transactions are included in the consolidated statement of income and comprehensive income.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Comprehensive income (loss) consists of two components, net income (loss) and other comprehensive income (loss). Other comprehensive income (loss) refers to revenue, expenses, gains and losses that under GAAP are recorded as an element of shareholders’ equity but are excluded from net income. Other comprehensive income (loss) consists of a foreign currency translation adjustment resulting from the Company not using the U.S. dollar as its functional currencies.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Foreign currency risk</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functional currency is the RMB, and our financial statements are presented in U.S. dollars. The RMB depreciated by 7.2% in fiscal year 2016 and further depreciated by 2.0% in fiscal 2017. It is difficult to predict how market forces or PRC or U.S. government policy may impact the exchange rate between the RMB and the U.S. dollar in the future. The change in the value of the RMB relative to the U.S. dollar may affect our financial results reported in the U.S. dollar terms without giving effect to any underlying changes in our business or results of operations. Currently, our assets, liabilities, revenues and costs are denominated in RMB.</w:t>
      </w:r>
    </w:p>
    <w:p>
      <w:pPr>
        <w:spacing w:after="0" w:line="18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57" w:lineRule="exact"/>
        <w:rPr>
          <w:sz w:val="20"/>
          <w:szCs w:val="20"/>
          <w:color w:val="auto"/>
        </w:rPr>
      </w:pPr>
    </w:p>
    <w:p>
      <w:pPr>
        <w:ind w:left="300" w:hanging="292"/>
        <w:spacing w:after="0"/>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Concentration of credit risk</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of June 30, 2017 and 2016, $4,199,905 and $4,890,214 of the Company’s cash and cash equivalents was on deposit at financial institutions in the PRC where there currently is no rule or regulation requiring such financial institutions to maintain insurance to cover bank deposits in the event of bank failure. As of June 30, 2017, the Company had $130,614, $130,413 and $353,636 of cash and cash equivalents on deposit at financial institutions in Singapore, Australia and Hong Kong, respectively. As of June 30, 2016, the Company had $224,292, $136,914 and $25,776 of cash and cash equivalents on deposit at financial institutions in Singapore, Australia and Hong Kong, respectively.</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122" w:name="page123"/>
    <w:bookmarkEnd w:id="12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 (continued)</w:t>
      </w:r>
    </w:p>
    <w:p>
      <w:pPr>
        <w:spacing w:after="0" w:line="229" w:lineRule="exact"/>
        <w:rPr>
          <w:sz w:val="20"/>
          <w:szCs w:val="20"/>
          <w:color w:val="auto"/>
        </w:rPr>
      </w:pPr>
    </w:p>
    <w:p>
      <w:pPr>
        <w:ind w:left="300" w:hanging="292"/>
        <w:spacing w:after="0"/>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Significant customers</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For the years ended June 30, 2017 and 2016, one customer with its affiliates accounted for 38.6% and 59.2% of the Company’s total revenues, respectively. For the year ended June 30, 2017, one customer and its affiliates accounted for 39.1% of the Company’s total accounts receivable balance. For the year ended June 30, 2016, two customers and its affiliates accounted for 47.3% and 10.0% of the Company’s total accounts receivable balance.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accordance with ASC 230, “Statement of Cash Flows,”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significant operations of the Company are located in the PRC. Accordingly, the Company’s business, financial condition, and results of operations may be influenced by political, economic, and legal environments in the PRC, as well as by the general state of the PRC economy. The Company’s results may be adversely affected by changes in the political, regulatory and social conditions in the PRC. Although the Company has not experienced losses from these situations and believes that it is in compliance with existing laws and regulations including its organization and structure disclosed in Note 1, may not be indicative of future results.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3" w:name="page124"/>
    <w:bookmarkEnd w:id="12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 May 2014, the Financial Accounting Standards Board (“FASB”) issued ASU No. 2014-09, “Revenue from Contracts with Customers (Topic 606)”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 2015-14, “Deferral of the Effective Date”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the Company’s fiscal year beginning July 1, 2018. In March 2016, the FASB issued ASU No. 2016-08, “Principal versus Agent Considerations (Reporting Revenue versus Net)” (“ASU 2016-08”), which clarifies the implementation guidance on principal versus agent considerations in the new revenue recognition standard. In April 2016, the FASB issued ASU No. 2016-10, “Identifying Performance Obligations and Licensing” (“ASU 2016-10”), which reduces the complexity when applying the guidance for identifying performance obligations and improves the operability and understandability of the license implementation guidance. In May 2016, the FASB issued ASU No. 2016-12 “Narrow-Scope Improvements and Practical Expedients” (“ASU 2016-12”), which amends the guidance on transition, collectability, noncash consideration and the presentation of sales and other similar taxes. In December 2016, the FASB further issued ASU 2016-20, “Technical Corrections and Improvements to Topic 606, Revenue from Contracts with Customers” (“ASU 2016-20”), which makes minor corrections or minor improvements to the Codification that are not expected to have a significant effect on current accounting practice or create a significant administrative cost to most entities. The amendments are intended to address implementation and provide additional practical expedients to reduce the cost and complexity of applying the new revenue standard. These amendments have the same effective date as the new revenue standard. We are planning to adopt Topic 606 in the first quarter of our fiscal 2019 using the retrospective transition method, and are continuing to evaluate the impact our pending adoption of Topic 606 will have on our unaudited condensed consolidated financial statements. The Company’s current revenue recognition policies are generally consistent with the new revenue recognition standards set forth in ASU 2014-09. Potential adjustments to input measures are not expected to be pervasive to the majority of the Company’s contracts. While</w:t>
      </w:r>
    </w:p>
    <w:p>
      <w:pPr>
        <w:spacing w:after="0" w:line="10"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no significant impact is expected upon adoption of the new guidance, the Company will not be able to make that determination until the time of adoption based upon outstanding contracts at that time.</w:t>
      </w:r>
    </w:p>
    <w:p>
      <w:pPr>
        <w:spacing w:after="0" w:line="18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November 2015, the FASB issued ASU No. 2015-17 (“ASU 2015-17”), Income Taxes (Topic 740): Balance Sheet Classification of Deferred Taxes. ASU 2015-17 simplifies the presentation of deferred income taxes by eliminating the separate classification of deferred income tax liabilities and assets into current and noncurrent amounts in the consolidated balance sheet statement of financial position. The amendments in the update require that all deferred tax liabilities and assets be classified as noncurrent in the consolidated balance sheet. The amendments in this update are effective for fiscal years beginning after December 15, 2016, and interim periods therein and may be applied either prospectively or retrospectively to all periods presented. Early adoption is permitted. The Company elected to early adopt the ASU 2015-17 in 2016 on a retrospective basis. The adoption of ASU 2015-17 did not have material impact on the consolidated financial statements.</w:t>
      </w:r>
    </w:p>
    <w:p>
      <w:pPr>
        <w:spacing w:after="0" w:line="17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February 2016, the FASB issued ASU No. 2016-02, Leases (Topic 842), to increase the transparency and comparability about leases among entities. The new guidance requires lessees to recognize a lease liability and a corresponding lease asset for virtually all lease contracts. It also requires additional disclosures about leasing arrangements. ASU 2016-02 is effective for interim and annual periods beginning after December 15, 2018, and requires a modified retrospective approach to adoption assuming the Company will remain an emerging growth company at that date. Early adoption is permitted. The Company has not early adopted this update and it will become effective on July 1, 2019. The Company is currently evaluating the impact of this new standard on its consolidated financial statements and related disclosures.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4" w:name="page125"/>
    <w:bookmarkEnd w:id="12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 August, 2016, the FASB issued a new pronouncement ASU 2016-15, Statement of Cash Flows (Topic 230): Classification of Certain Cash Receipts and Cash Payments, which amends the guidance in ASC 230 on the classification of certain cash receipts and payments in the statement of cash flows. The primary purpose of the ASU is to reduce the diversity in practice that has resulted from the lack of consistent principles on this topic. The ASU’s amendments add or clarify guidance on eight cash flow issues: (1)Debt prepayment or debt extinguishment costs; (2)Settlement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(8) Separately identifiable cash flows and application of the predominance principle. For public business entities, the guidance in the ASU is effective for fiscal years beginning after December 15, 2017, including interim periods within those fiscal years assuming the Company will remain as emerging growth company at that date. Early adoption is permitted for all entities. Entities must apply the guidance retrospectively to all periods presented but may apply it prospectively from the earliest date practicable if retrospective application would be impracticable. The Company has not early adopted this update and it will become effective on July 1, 2018. The Company is in the process of evaluating the impact that this guidance will have on its consolidated financial statements.</w:t>
      </w:r>
    </w:p>
    <w:p>
      <w:pPr>
        <w:spacing w:after="0" w:line="18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October 2016, FASB issued ASU 2016-16, “Income Taxes: Intra-Entity Transfers of Assets Other than Inventory” which amends the accounting for income taxes. The new guidance requires the recognition of the income tax consequences of an intra-entity asset transfer, other than transfers of inventory, when the transfer occurs. For intra-entity transfers of inventory, the income tax effects will continue to be deferred until the inventory has been sold to a third party. The ASU is effective for reporting periods beginning after December 15, 2017 assuming the Company will remain as emerging growth company at the date, with early adoption permitted. The new guidance is required to be applied on a modified retrospective basis through a cumulative-effect adjustment directly to retained earnings as of the beginning of the period of adoption. The Company has not early adopted this update and it will become effective on July 1, 2018. The Company is currently evaluating the effects, if any, that the adoption of this guidance will have on the Company’s consolidated financial position, results of operations and cash flows.</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October 2016, the FASB issued ASU No. 2016-17, Consolidation (Topic 810): Interest Held through Related Parties That Are under Common Control, to provide guidance on the evaluation of whether a reporting entity is the primary beneficiary of a VIE by amending how a reporting entity, that is a single decision maker of a VIE, treats indirect interests in that entity held through related parties that are under common control. The amendments are effective for public business entities for fiscal years beginning after December 15, 2016, including interim periods within those fiscal years assuming the Company will remain an emerging growth company at that date. Early adoption is permitted, including adoption in an interim period. The Company has not early adopted this update and it will become effective on July 1, 2017. The Company is currently evaluating the impact of this new standard on its consolidated financial statements and related disclosures.</w:t>
      </w:r>
    </w:p>
    <w:p>
      <w:pPr>
        <w:spacing w:after="0" w:line="19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The amendments in this ASU clarify the definition of a business with the objective of adding guidance to assist entities with evaluating whether transactions should be accounted for as acquisitions (or disposals) of assets or businesses. These amendments take effect for public businesses for fiscal years beginning after December 15, 2017 and interim periods within those periods assuming the Company will remain an emerging growth company at that date. The Company has not early adopted this update and it will become effective on July 1, 2018. The Company does not expect that the adoption of this guidance will have a material impact on its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5" w:name="page126"/>
    <w:bookmarkEnd w:id="12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January 2017 the FASB issued ASU No. 2017-04, “Intangibles—Goodwill and Other (Topic 350): Simplifying the Test for Goodwill Impairment.” This new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which means that it will be effective for us in the first quarter of our fiscal year beginning July 1, 2020 assuming the Company still remains an emerging growth company at that date. Early adoption is permitted. The Company is currently evaluating the impact of our pending adoption of ASU 2017-04 on its consolidated financial statements.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May 2017, the FASB issued ASU No. 2017-09, Scope of Modification Accounting, to provide guidance to clarify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changes in terms or conditions. ASU 2017-09 is effective for all entities for annual periods, and interim periods within those annual periods, beginning after December 15, 2017 assuming the Company still remains an emerging growth company at that date. Early adoption is permitted and application is prospective. The Company has not early adopted this update and it will become effective on July 1, 2018. The Company does not expect that the adoption of this guidance will have a material impact on its consolidated financial statements.</w:t>
      </w:r>
    </w:p>
    <w:p>
      <w:pPr>
        <w:spacing w:after="0" w:line="19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does not believe other recently issued but not yet effective accounting statements, if recently adopted, would have a material effect on the Company’s consolidated balance sheets, statements of income and comprehensive income and statements of cash flows.</w:t>
      </w: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6" w:right="419" w:bottom="1440" w:gutter="0" w:footer="0" w:header="0"/>
        </w:sectPr>
      </w:pPr>
    </w:p>
    <w:bookmarkStart w:id="126" w:name="page127"/>
    <w:bookmarkEnd w:id="12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Judge China</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November 9, 2016, CLPS Shanghai acquired 60% of Judge China and its 70% owned subsidiary Judge HR from Judge Company Asia Limited (“Judge Asia”) with the final purchase price of $480,061 (RMB 3.25 million). The Company funded the acquisition with cash and a payable to Judge Asia of $128,928 (RMB 0.9 million), of which $103,255 was subsequently offset with the Company’s receivables from Judge Asia. The Company believes that the acquisition will allow it to better manage opportunities and capitalize on the growth potential in the human resource related industries.</w:t>
      </w:r>
    </w:p>
    <w:p>
      <w:pPr>
        <w:spacing w:after="0" w:line="15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Amounts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325,888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Prepayment and other receivable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67,570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1,875</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Intangible – customer relationship, net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339,883</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Wages payable and accruals</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(86,483)</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(16,147)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Other payable and other current liabilities</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(259,361)</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(65,264)</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(290,994)</w:t>
            </w: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195,080</w:t>
            </w:r>
          </w:p>
        </w:tc>
      </w:tr>
      <w:tr>
        <w:trPr>
          <w:trHeight w:val="216"/>
        </w:trPr>
        <w:tc>
          <w:tcPr>
            <w:tcW w:w="100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480,061</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intangible assets include customer contacts of $339,883, which was acquired by Judge China in 2013 with an estimated useful life of 10 years. The goodwill is mainly attributable to the excess of the consideration paid over the fair value of the net assets acquired that cannot be recognized separately as identifiable assets under U.S. GAAP, and comprise (a) the assembled work force and (b) the expected but unidentifiable business growth as a result of the synergy resulting from the acquisition.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7" w:name="page128"/>
    <w:bookmarkEnd w:id="12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4 – ACCOUNTS RECEIVABLE,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Accounts receivable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6,753,891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(109,117)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(46,774)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6,644,774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4,373,489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Unbilled accounts receivable included in trade accounts receivable above amounted to $263,434 and $0 as of June 30, 2017 and 2016,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Movement of the allowance for doubtful accounts is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62,990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end of year</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109,117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NOTE 5 – PREPAYMENTS, DEPOSITS AND OTHER ASSETS,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Prepayments, deposits and other assets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Advances and deposits to suppliers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231,731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179,384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Note receivable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21,813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Advances to employees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47,783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(41,602)</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(18,390)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702,174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374,404</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Less: Long term portion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(123,783)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(114,248)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Prepayments, deposits and other assets – current portion</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578,391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260,156</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Movement of the allowance for doubtful accounts is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23,473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end of year</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41,602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 TERM INVESTMENT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2016, the Company’s subsidiary CLPS Shanghai invested $45,141 (or RMB 300,000) in Guangzhou Rongzhuan Technology Co., Ltd (“Guangzhou Rongzhuan”) to acquire a 30% equity interest in Guangzhou Rongzhuan. The balance of 70% of the equity of Guangzhou Rongzhuan was held by three independent shareholders. Rongzhuan provides system training and software development business in Guangzhou, PRC. As the Company has the ability to exercise significant influence over the operating and financial decisions, the equity method was used to account for the investment. Due to Guangzhou Ronghuan’s slow business development, CLPS Shanghai in March 2017 sold its investment to the other existing shareholders of Guangzhou Rongzhuan at cost.</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28" w:name="page129"/>
    <w:bookmarkEnd w:id="12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7 – PROPERTY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Office Furniture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100,524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104,817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Leasehold improvement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66,157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67,485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(315,630)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(209,929)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273,347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326,820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$109,356 and $54,105 for the years ended June 30, 2017 and 2016,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 consisted of customer contacts acquired by Judge China. Judge China was acquired by the Company on November 9, 2016 (Note 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6"/>
          </w:tcPr>
          <w:p>
            <w:pPr>
              <w:ind w:left="4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tcPr>
          <w:p>
            <w:pPr>
              <w:spacing w:after="0"/>
              <w:rPr>
                <w:sz w:val="20"/>
                <w:szCs w:val="20"/>
                <w:color w:val="auto"/>
              </w:rPr>
            </w:pPr>
          </w:p>
        </w:tc>
        <w:tc>
          <w:tcPr>
            <w:tcW w:w="48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Customer contacts</w:t>
            </w:r>
          </w:p>
        </w:tc>
        <w:tc>
          <w:tcPr>
            <w:tcW w:w="48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(34,419)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vMerge w:val="continue"/>
            <w:shd w:val="clear" w:color="auto" w:fill="CCEEFF"/>
          </w:tcPr>
          <w:p>
            <w:pPr>
              <w:spacing w:after="0"/>
              <w:rPr>
                <w:sz w:val="21"/>
                <w:szCs w:val="21"/>
                <w:color w:val="auto"/>
              </w:rPr>
            </w:pPr>
          </w:p>
        </w:tc>
        <w:tc>
          <w:tcPr>
            <w:tcW w:w="50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305,464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940" w:type="dxa"/>
            <w:vAlign w:val="bottom"/>
            <w:gridSpan w:val="3"/>
          </w:tcPr>
          <w:p>
            <w:pPr>
              <w:spacing w:after="0"/>
              <w:rPr>
                <w:sz w:val="20"/>
                <w:szCs w:val="20"/>
                <w:color w:val="auto"/>
              </w:rPr>
            </w:pPr>
            <w:r>
              <w:rPr>
                <w:rFonts w:ascii="Arial" w:cs="Arial" w:eastAsia="Arial" w:hAnsi="Arial"/>
                <w:sz w:val="18"/>
                <w:szCs w:val="18"/>
                <w:color w:val="auto"/>
                <w:w w:val="91"/>
              </w:rPr>
              <w:t>Amortization expense was $34,270 for the year ended June 30, 2017. Estimated future amortization expense is as follows: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8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Amortization</w:t>
            </w:r>
          </w:p>
        </w:tc>
        <w:tc>
          <w:tcPr>
            <w:tcW w:w="0" w:type="dxa"/>
            <w:vAlign w:val="bottom"/>
          </w:tcPr>
          <w:p>
            <w:pPr>
              <w:spacing w:after="0"/>
              <w:rPr>
                <w:sz w:val="1"/>
                <w:szCs w:val="1"/>
                <w:color w:val="auto"/>
              </w:rPr>
            </w:pPr>
          </w:p>
        </w:tc>
      </w:tr>
      <w:tr>
        <w:trPr>
          <w:trHeight w:val="241"/>
        </w:trPr>
        <w:tc>
          <w:tcPr>
            <w:tcW w:w="3880" w:type="dxa"/>
            <w:vAlign w:val="bottom"/>
          </w:tcPr>
          <w:p>
            <w:pPr>
              <w:spacing w:after="0"/>
              <w:rPr>
                <w:sz w:val="20"/>
                <w:szCs w:val="20"/>
                <w:color w:val="auto"/>
              </w:rPr>
            </w:pPr>
            <w:r>
              <w:rPr>
                <w:rFonts w:ascii="Arial" w:cs="Arial" w:eastAsia="Arial" w:hAnsi="Arial"/>
                <w:sz w:val="18"/>
                <w:szCs w:val="18"/>
                <w:b w:val="1"/>
                <w:bCs w:val="1"/>
                <w:color w:val="auto"/>
              </w:rPr>
              <w:t>Year ending June 30,</w:t>
            </w:r>
          </w:p>
        </w:tc>
        <w:tc>
          <w:tcPr>
            <w:tcW w:w="4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expense</w:t>
            </w:r>
          </w:p>
        </w:tc>
        <w:tc>
          <w:tcPr>
            <w:tcW w:w="0" w:type="dxa"/>
            <w:vAlign w:val="bottom"/>
          </w:tcPr>
          <w:p>
            <w:pPr>
              <w:spacing w:after="0"/>
              <w:rPr>
                <w:sz w:val="1"/>
                <w:szCs w:val="1"/>
                <w:color w:val="auto"/>
              </w:rPr>
            </w:pPr>
          </w:p>
        </w:tc>
      </w:tr>
      <w:tr>
        <w:trPr>
          <w:trHeight w:val="216"/>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4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2019</w:t>
            </w: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51,405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51,405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2021</w:t>
            </w: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51,405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51,405</w:t>
            </w:r>
          </w:p>
        </w:tc>
        <w:tc>
          <w:tcPr>
            <w:tcW w:w="0" w:type="dxa"/>
            <w:vAlign w:val="bottom"/>
          </w:tcPr>
          <w:p>
            <w:pPr>
              <w:spacing w:after="0"/>
              <w:rPr>
                <w:sz w:val="1"/>
                <w:szCs w:val="1"/>
                <w:color w:val="auto"/>
              </w:rPr>
            </w:pPr>
          </w:p>
        </w:tc>
      </w:tr>
      <w:tr>
        <w:trPr>
          <w:trHeight w:val="236"/>
        </w:trPr>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Remaining</w:t>
            </w:r>
          </w:p>
        </w:tc>
        <w:tc>
          <w:tcPr>
            <w:tcW w:w="48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305,464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bottom w:val="single" w:sz="8" w:color="CCEEFF"/>
            </w:tcBorders>
            <w:gridSpan w:val="2"/>
            <w:vMerge w:val="restart"/>
          </w:tcPr>
          <w:p>
            <w:pPr>
              <w:jc w:val="right"/>
              <w:ind w:right="3067"/>
              <w:spacing w:after="0"/>
              <w:rPr>
                <w:sz w:val="20"/>
                <w:szCs w:val="20"/>
                <w:color w:val="auto"/>
              </w:rPr>
            </w:pPr>
            <w:r>
              <w:rPr>
                <w:rFonts w:ascii="Arial" w:cs="Arial" w:eastAsia="Arial" w:hAnsi="Arial"/>
                <w:sz w:val="18"/>
                <w:szCs w:val="18"/>
                <w:color w:val="auto"/>
              </w:rPr>
              <w:t>F-25</w:t>
            </w: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2"/>
            <w:vMerge w:val="continue"/>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6" w:right="339" w:bottom="1440" w:gutter="0" w:footer="0" w:header="0"/>
        </w:sectPr>
      </w:pPr>
    </w:p>
    <w:bookmarkStart w:id="129" w:name="page130"/>
    <w:bookmarkEnd w:id="12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year ended June 30, 2017 were as follows:</w:t>
      </w:r>
    </w:p>
    <w:p>
      <w:pPr>
        <w:spacing w:after="0" w:line="221"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For the year</w:t>
      </w:r>
    </w:p>
    <w:p>
      <w:pPr>
        <w:spacing w:after="0" w:line="27"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2017</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July 1, 2016</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Goodwill arising from acquisition of Judge China (Note 3)</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194,237</w:t>
            </w:r>
          </w:p>
        </w:tc>
        <w:tc>
          <w:tcPr>
            <w:tcW w:w="100" w:type="dxa"/>
            <w:vAlign w:val="bottom"/>
          </w:tcPr>
          <w:p>
            <w:pPr>
              <w:spacing w:after="0"/>
              <w:rPr>
                <w:sz w:val="18"/>
                <w:szCs w:val="18"/>
                <w:color w:val="auto"/>
              </w:rPr>
            </w:pP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r>
      <w:tr>
        <w:trPr>
          <w:trHeight w:val="250"/>
        </w:trPr>
        <w:tc>
          <w:tcPr>
            <w:tcW w:w="10020" w:type="dxa"/>
            <w:vAlign w:val="bottom"/>
            <w:tcBorders>
              <w:top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195,080</w:t>
            </w:r>
          </w:p>
        </w:tc>
        <w:tc>
          <w:tcPr>
            <w:tcW w:w="100" w:type="dxa"/>
            <w:vAlign w:val="bottom"/>
            <w:tcBorders>
              <w:top w:val="single" w:sz="8" w:color="CCEEFF"/>
            </w:tcBorders>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performed its annual goodwill impairment review for the year ended June 30, 2017 and determined there was no impairment as of June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SALARIES AND BENEFITS PAYABLE</w:t>
      </w:r>
    </w:p>
    <w:p>
      <w:pPr>
        <w:spacing w:after="0" w:line="239"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17145</wp:posOffset>
            </wp:positionV>
            <wp:extent cx="156019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tabs>
          <w:tab w:leader="none" w:pos="8660" w:val="left"/>
          <w:tab w:leader="none" w:pos="9060" w:val="left"/>
          <w:tab w:leader="none" w:pos="10000" w:val="left"/>
          <w:tab w:leader="none" w:pos="10400" w:val="left"/>
        </w:tabs>
        <w:rPr>
          <w:sz w:val="20"/>
          <w:szCs w:val="20"/>
          <w:color w:val="auto"/>
        </w:rPr>
      </w:pPr>
      <w:r>
        <w:rPr>
          <w:rFonts w:ascii="Arial" w:cs="Arial" w:eastAsia="Arial" w:hAnsi="Arial"/>
          <w:sz w:val="18"/>
          <w:szCs w:val="18"/>
          <w:color w:val="auto"/>
        </w:rPr>
        <w:t>Salaries and benefits payable</w:t>
      </w:r>
      <w:r>
        <w:rPr>
          <w:sz w:val="20"/>
          <w:szCs w:val="20"/>
          <w:color w:val="auto"/>
        </w:rPr>
        <w:tab/>
      </w:r>
      <w:r>
        <w:rPr>
          <w:rFonts w:ascii="Arial" w:cs="Arial" w:eastAsia="Arial" w:hAnsi="Arial"/>
          <w:sz w:val="34"/>
          <w:szCs w:val="34"/>
          <w:color w:val="auto"/>
          <w:vertAlign w:val="subscript"/>
        </w:rPr>
        <w:t>$</w:t>
      </w:r>
      <w:r>
        <w:rPr>
          <w:rFonts w:ascii="Arial" w:cs="Arial" w:eastAsia="Arial" w:hAnsi="Arial"/>
          <w:sz w:val="34"/>
          <w:szCs w:val="34"/>
          <w:color w:val="auto"/>
        </w:rPr>
        <w:tab/>
      </w:r>
      <w:r>
        <w:rPr>
          <w:rFonts w:ascii="Arial" w:cs="Arial" w:eastAsia="Arial" w:hAnsi="Arial"/>
          <w:sz w:val="34"/>
          <w:szCs w:val="34"/>
          <w:color w:val="auto"/>
          <w:vertAlign w:val="subscript"/>
        </w:rPr>
        <w:t>5,392,434</w:t>
      </w:r>
      <w:r>
        <w:rPr>
          <w:sz w:val="20"/>
          <w:szCs w:val="20"/>
          <w:color w:val="auto"/>
        </w:rPr>
        <w:tab/>
      </w:r>
      <w:r>
        <w:rPr>
          <w:rFonts w:ascii="Arial" w:cs="Arial" w:eastAsia="Arial" w:hAnsi="Arial"/>
          <w:sz w:val="34"/>
          <w:szCs w:val="34"/>
          <w:u w:val="single" w:color="auto"/>
          <w:color w:val="auto"/>
          <w:vertAlign w:val="subscript"/>
        </w:rPr>
        <w:t>$</w:t>
      </w:r>
      <w:r>
        <w:rPr>
          <w:sz w:val="20"/>
          <w:szCs w:val="20"/>
          <w:color w:val="auto"/>
        </w:rPr>
        <w:tab/>
      </w:r>
      <w:r>
        <w:rPr>
          <w:rFonts w:ascii="Arial" w:cs="Arial" w:eastAsia="Arial" w:hAnsi="Arial"/>
          <w:sz w:val="24"/>
          <w:szCs w:val="24"/>
          <w:u w:val="single" w:color="auto"/>
          <w:color w:val="auto"/>
          <w:vertAlign w:val="subscript"/>
        </w:rPr>
        <w:t>4,578,928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26035</wp:posOffset>
            </wp:positionV>
            <wp:extent cx="156019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4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Full time employees of the Company located in the PRC participate in a government-mandated defined contribution plan pursuant to which certain pension benefits, medical care, unemployment insurance, employee housing fund and other welfare benefits are provided to employees. The Company accrued for these benefits based on certain percentages of the employees’ salaries. Wages and benefits payable included $2,349,795 and $2,360,272 accrued employer portion of social benefit payable to local government for the years ended June 30, 2017 and 2016,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11 – RELATED PARTY TRANSACTIONS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The balances due to and due from related parties were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4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shareholder of CLPS Beijing</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Affiliates of non-controlling interest shareholder of Judge China*</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103,255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The amount was subsequently offset with the acquisition payable (Note 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color w:val="auto"/>
              </w:rPr>
              <w:t>Due to related parties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Shanghai Qisheng Co., Ltd (“Qisheng”), controlled by the Chairman of the Company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Mr. Raymond Ming Hui Lin, CEO of the Company (i)</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1,722,711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1,140,975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1,729,791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1,148,197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60" w:right="2020" w:hanging="5452"/>
        <w:spacing w:after="0" w:line="809" w:lineRule="auto"/>
        <w:tabs>
          <w:tab w:leader="none" w:pos="3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Due to related parties mainly represents the unpaid bonus, dividends, wages and other benefit to the Company’s executives. 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0" w:name="page131"/>
    <w:bookmarkEnd w:id="13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TAXES</w:t>
      </w:r>
    </w:p>
    <w:p>
      <w:pPr>
        <w:spacing w:after="0" w:line="225" w:lineRule="exact"/>
        <w:rPr>
          <w:sz w:val="20"/>
          <w:szCs w:val="20"/>
          <w:color w:val="auto"/>
        </w:rPr>
      </w:pPr>
    </w:p>
    <w:p>
      <w:pPr>
        <w:ind w:left="560" w:hanging="552"/>
        <w:spacing w:after="0"/>
        <w:tabs>
          <w:tab w:leader="none" w:pos="5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Income Taxes (“CIT”)</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CLPS was incorporated in the Cayman Islands as an offshore holding company and is not subject to tax on income or capital gain under the laws of Cayman Islands.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CLPS Hong Kong was established in Hong Kong and is subject to statutory income tax rate at 16.5%. CLPS SG are subject to Singapore income taxes at the rate of 17%. CLPS AU was established in Australia and subject to corporate income tax at 30%.</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Enterprise Income Tax (“EIT”) Law of PRC, domestic enterprises and Foreign Investment Enterprises (the “FIE”) are usually subject to a unified 25% enterprise income tax rate while preferential tax rates, tax holidays and even tax exemption may be granted on case-by-case basis. EIT grants preferential tax treatment to certain High and New Technology Enterprises (“HNTEs”). Under this preferential tax treatment, HNTEs are entitled to an income tax rate of 15%, subject to a requirement that they re-apply for HNTE status every three years. CLPS Shanghai, the Company’s main operating subsidiary in PRC, has been approved as HNTEs in 2013 and reapproved in 2016. The Company is entitled to a reduced income tax rate of 15% through November 2019. In addition, CLPS Dalian has qualified as a Software Enterprise company and enjoys a two-year income tax exemption starting from their first profitable year, followed by a reduced income tax rate of 12.5% for the subsequent three years.</w:t>
      </w:r>
    </w:p>
    <w:p>
      <w:pPr>
        <w:spacing w:after="0" w:line="1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EIT is typically governed by the local tax authority in China. Each local tax authority at times may grant tax holidays to local enterprises as a way to encourage entrepreneurship and stimulate local economy. The impact of the tax holidays noted above decreased income taxes by $317,488 and $290,159 for the fiscal year 2017 and 2016, respectively. The benefit of the tax holidays on net income per share (basic and diluted) was $0.03 and $0.03 for the years ended June 30, 2017 and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w:t>
      </w:r>
    </w:p>
    <w:p>
      <w:pPr>
        <w:spacing w:after="0" w:line="221"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2,516,211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2,297,424</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Non-PRC</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(413,400)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(243,300)</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2,102,811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2,054,124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statutory rate to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PRC statutory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Effect of income tax rate difference in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Effect of PRC preferential tax rate and tax holidays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R&amp;D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Permanent difference and others*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02"/>
        </w:trPr>
        <w:tc>
          <w:tcPr>
            <w:tcW w:w="1440" w:type="dxa"/>
            <w:vAlign w:val="bottom"/>
            <w:gridSpan w:val="2"/>
          </w:tcPr>
          <w:p>
            <w:pPr>
              <w:jc w:val="right"/>
              <w:ind w:right="90"/>
              <w:spacing w:after="0" w:line="201" w:lineRule="exact"/>
              <w:rPr>
                <w:sz w:val="20"/>
                <w:szCs w:val="20"/>
                <w:color w:val="auto"/>
              </w:rPr>
            </w:pPr>
            <w:r>
              <w:rPr>
                <w:rFonts w:ascii="Arial" w:cs="Arial" w:eastAsia="Arial" w:hAnsi="Arial"/>
                <w:sz w:val="18"/>
                <w:szCs w:val="18"/>
                <w:color w:val="auto"/>
              </w:rPr>
              <w:t>25%</w:t>
            </w:r>
          </w:p>
        </w:tc>
        <w:tc>
          <w:tcPr>
            <w:tcW w:w="1320" w:type="dxa"/>
            <w:vAlign w:val="bottom"/>
            <w:gridSpan w:val="4"/>
          </w:tcPr>
          <w:p>
            <w:pPr>
              <w:jc w:val="right"/>
              <w:ind w:right="60"/>
              <w:spacing w:after="0" w:line="201" w:lineRule="exact"/>
              <w:rPr>
                <w:sz w:val="20"/>
                <w:szCs w:val="20"/>
                <w:color w:val="auto"/>
              </w:rPr>
            </w:pPr>
            <w:r>
              <w:rPr>
                <w:rFonts w:ascii="Arial" w:cs="Arial" w:eastAsia="Arial" w:hAnsi="Arial"/>
                <w:sz w:val="18"/>
                <w:szCs w:val="18"/>
                <w:color w:val="auto"/>
              </w:rPr>
              <w:t>25%</w:t>
            </w:r>
          </w:p>
        </w:tc>
      </w:tr>
      <w:tr>
        <w:trPr>
          <w:trHeight w:val="216"/>
        </w:trPr>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4.8%</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(15.1)%</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(14.3)%</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(11.9)%</w:t>
            </w:r>
          </w:p>
        </w:tc>
      </w:tr>
      <w:tr>
        <w:trPr>
          <w:trHeight w:val="251"/>
        </w:trPr>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(6.0)%</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8.2%</w:t>
            </w:r>
          </w:p>
        </w:tc>
      </w:tr>
      <w:tr>
        <w:trPr>
          <w:trHeight w:val="250"/>
        </w:trPr>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1"/>
              </w:rPr>
              <w:t>)%</w:t>
            </w: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w:t>
            </w:r>
          </w:p>
        </w:tc>
        <w:tc>
          <w:tcPr>
            <w:tcW w:w="2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w w:val="74"/>
              </w:rPr>
              <w:t>%</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60" w:space="720"/>
            <w:col w:w="2760"/>
          </w:cols>
          <w:pgMar w:left="320" w:top="226" w:right="339" w:bottom="1440" w:gutter="0" w:footer="0" w:header="0"/>
          <w:type w:val="continuous"/>
        </w:sectPr>
      </w:pPr>
    </w:p>
    <w:p>
      <w:pPr>
        <w:spacing w:after="0" w:line="2" w:lineRule="exact"/>
        <w:rPr>
          <w:sz w:val="20"/>
          <w:szCs w:val="20"/>
          <w:color w:val="auto"/>
        </w:rPr>
      </w:pPr>
    </w:p>
    <w:p>
      <w:pPr>
        <w:ind w:left="5460" w:right="4060" w:hanging="5452"/>
        <w:spacing w:after="0" w:line="778" w:lineRule="auto"/>
        <w:tabs>
          <w:tab w:leader="none" w:pos="1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Permanent difference and other primarily represented tax effect on the intercompany transactions.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31" w:name="page132"/>
    <w:bookmarkEnd w:id="13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TAXES - continued</w:t>
      </w:r>
    </w:p>
    <w:p>
      <w:pPr>
        <w:spacing w:after="0" w:line="225" w:lineRule="exact"/>
        <w:rPr>
          <w:sz w:val="20"/>
          <w:szCs w:val="20"/>
          <w:color w:val="auto"/>
        </w:rPr>
      </w:pPr>
    </w:p>
    <w:p>
      <w:pPr>
        <w:ind w:left="560" w:hanging="552"/>
        <w:spacing w:after="0"/>
        <w:tabs>
          <w:tab w:leader="none" w:pos="5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Income Taxes (“CIT”)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 consists of the following:</w:t>
      </w:r>
    </w:p>
    <w:p>
      <w:pPr>
        <w:spacing w:after="0" w:line="221"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provision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365,866</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Deferred income tax benefit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(221,114)</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(96,713)</w:t>
            </w:r>
          </w:p>
        </w:tc>
      </w:tr>
      <w:tr>
        <w:trPr>
          <w:trHeight w:val="250"/>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provision (benefit) for income tax expenses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June 30, 2017, the tax years ended December 31, 2011 through December 31, 2016 for the Company’s PRC entities remain open for statutory examination by PRC tax authorities.</w:t>
      </w:r>
    </w:p>
    <w:p>
      <w:pPr>
        <w:spacing w:after="0" w:line="170"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 of assets and liabilities for financial reporting purposes and the amounts used for income tax purposes. As of June 30, 2017 and 2016, the Company had net operating loss carry forwards of approximately $1,234,500 and $131,500, respectively, from the Company’s PRC subsidiaries, which will expire by December 31, 2021. As of June 30, 2017, the Company had net operating loss carry forwards of approximately $415,800, $40,600 and $200,200 from its operations in Singapore, Australia and Hong Kong, respectively. The net operating losses in Singapore, Australia and Hong Kong will be carried forward indefinitely.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the deferred tax assets are as follows: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operating loss carry forwards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 and other</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r>
      <w:tr>
        <w:trPr>
          <w:trHeight w:val="431"/>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423,543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81,839</w:t>
            </w:r>
          </w:p>
        </w:tc>
      </w:tr>
      <w:tr>
        <w:trPr>
          <w:trHeight w:val="237"/>
        </w:trPr>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9,611</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433,154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81,839</w:t>
            </w:r>
          </w:p>
        </w:tc>
        <w:tc>
          <w:tcPr>
            <w:tcW w:w="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22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Unbilled accounts receivables</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(62,855)</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contract cost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(71,346)</w:t>
            </w:r>
          </w:p>
        </w:tc>
        <w:tc>
          <w:tcPr>
            <w:tcW w:w="3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(7,360)</w:t>
            </w: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(134,201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(7,360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8680" w:type="dxa"/>
            <w:vAlign w:val="bottom"/>
          </w:tcPr>
          <w:p>
            <w:pPr>
              <w:ind w:left="180"/>
              <w:spacing w:after="0"/>
              <w:rPr>
                <w:sz w:val="20"/>
                <w:szCs w:val="20"/>
                <w:color w:val="auto"/>
              </w:rPr>
            </w:pPr>
            <w:r>
              <w:rPr>
                <w:rFonts w:ascii="Arial" w:cs="Arial" w:eastAsia="Arial" w:hAnsi="Arial"/>
                <w:sz w:val="18"/>
                <w:szCs w:val="18"/>
                <w:color w:val="auto"/>
              </w:rPr>
              <w:t>Total deferred tax assets, net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298,953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74,479</w:t>
            </w:r>
          </w:p>
        </w:tc>
        <w:tc>
          <w:tcPr>
            <w:tcW w:w="80" w:type="dxa"/>
            <w:vAlign w:val="bottom"/>
          </w:tcPr>
          <w:p>
            <w:pPr>
              <w:spacing w:after="0"/>
              <w:rPr>
                <w:sz w:val="22"/>
                <w:szCs w:val="22"/>
                <w:color w:val="auto"/>
              </w:rPr>
            </w:pPr>
          </w:p>
        </w:tc>
      </w:tr>
      <w:tr>
        <w:trPr>
          <w:trHeight w:val="20"/>
        </w:trPr>
        <w:tc>
          <w:tcPr>
            <w:tcW w:w="8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ultimate realization of deferred tax assets is dependent upon the generation of future taxable income during the periods in which those temporary differences become deductible. Management considers the cumulative earnings and projected future taxable income in making this assessment. Recovery of substantially all of the group’s deferred tax assets is dependent upon the generation of future income, exclusive of reversing taxable temporary differences. Based upon the level of historical taxable income and projections for future taxable income over the periods in which the deferred tax assets are recoverable, management believes that it is more likely than not that the results of future operations will generate sufficient taxable income to realize the deferred tax assets as at June 30, 2017 and 2016.</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32" w:name="page133"/>
    <w:bookmarkEnd w:id="13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TAXES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(b)</w:t>
            </w:r>
          </w:p>
        </w:tc>
        <w:tc>
          <w:tcPr>
            <w:tcW w:w="8280" w:type="dxa"/>
            <w:vAlign w:val="bottom"/>
          </w:tcPr>
          <w:p>
            <w:pPr>
              <w:ind w:left="160"/>
              <w:spacing w:after="0"/>
              <w:rPr>
                <w:sz w:val="20"/>
                <w:szCs w:val="20"/>
                <w:color w:val="auto"/>
              </w:rPr>
            </w:pPr>
            <w:r>
              <w:rPr>
                <w:rFonts w:ascii="Arial" w:cs="Arial" w:eastAsia="Arial" w:hAnsi="Arial"/>
                <w:sz w:val="18"/>
                <w:szCs w:val="18"/>
                <w:b w:val="1"/>
                <w:bCs w:val="1"/>
                <w:color w:val="auto"/>
              </w:rPr>
              <w:t>Taxes Payable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The Company’s taxes payable consists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0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40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 tax payable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Corporate income tax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63,988</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taxes payable</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458,828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225,611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 taxes payable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640,864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428,675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Uncertain tax positions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evaluates each uncertain tax position (including the potential application of interest and penalties) based on the technical merits, and measure the unrecognized benefits associated with the tax positions. As of June 30, 2017 and 2016, the Company did not have any significant unrecognized uncertain tax positions. The Company did not incur any interest and penalties related to potential underpaid income tax expenses for the years ended June 30, 2017 and 2016, respectively, and also does not anticipate any significant increases or decreases in unrecognized tax benefits in the next 12 months from June 30,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subsidiaries lease administrative office space under various operating leases. Rent expense amounted to $565,328 and $431,043 for the years ended June 30,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non-cancelable operating leases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r>
              <w:rPr>
                <w:rFonts w:ascii="Arial" w:cs="Arial" w:eastAsia="Arial" w:hAnsi="Arial"/>
                <w:sz w:val="18"/>
                <w:szCs w:val="18"/>
                <w:b w:val="1"/>
                <w:bCs w:val="1"/>
                <w:color w:val="auto"/>
              </w:rPr>
              <w:t>Twelve months ending June 30,</w:t>
            </w:r>
          </w:p>
        </w:tc>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Lease expense</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5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2019</w:t>
            </w:r>
          </w:p>
        </w:tc>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374,234</w:t>
            </w:r>
          </w:p>
        </w:tc>
      </w:tr>
      <w:tr>
        <w:trPr>
          <w:trHeight w:val="250"/>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6080" w:type="dxa"/>
            <w:vAlign w:val="bottom"/>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931,047</w:t>
            </w:r>
          </w:p>
        </w:tc>
        <w:tc>
          <w:tcPr>
            <w:tcW w:w="100" w:type="dxa"/>
            <w:vAlign w:val="bottom"/>
          </w:tcPr>
          <w:p>
            <w:pPr>
              <w:spacing w:after="0"/>
              <w:rPr>
                <w:sz w:val="20"/>
                <w:szCs w:val="20"/>
                <w:color w:val="auto"/>
              </w:rPr>
            </w:pPr>
          </w:p>
        </w:tc>
      </w:tr>
      <w:tr>
        <w:trPr>
          <w:trHeight w:val="20"/>
        </w:trPr>
        <w:tc>
          <w:tcPr>
            <w:tcW w:w="39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9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color w:val="auto"/>
              </w:rPr>
              <w:t>F-29</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133" w:name="page134"/>
    <w:bookmarkEnd w:id="13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CLPS was established under the laws of Cayman Islands on May 11, 2017. The original authorized number of common shares was 1 share with a par value of $1. After an amendment on December 7, 2017, the authorized number of common shares became 100,000,000 shares with a par value of $0.0001 each. As of June 30, 2017 and 2016, 11,290,000 shares were issued at par value, the equivalent to share capital of $1,129 for each of the year ended 2017 and 2016. The shares are presented on a retroactive basis to reflect the nominal share issuance discussed below.</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December 7, 2017, in order to optimize the Company’s share capital structure, the Board of Directors approved a stock split of the Company’s issued and outstanding shares of common shares at a ratio of 1-10,000. After the stock split, the Company’s issued and outstanding common shares became 10,000 shares with par value of $0.0001. The Board of Directors also approved to amend the articles of association (the “Amendment”) to increase total authorized number of common shares from 10,000 shares to 100,000,000 shares with par value of $0.0001. In connection with the Amendment, the Board of Directors further approved to issue 11,280,000 common shares at par value (the “Nominal share issuance”) to the existing shareholders of the Company. As a result, the existing shareholders of the Company have the same equity interests percentage in the Company as in CLPS shanghai prior to the reorganization. The Company believes it is appropriate to reflect the stock split, Amendment and the Nominal share issuance on a retroactive basis similar to share split, in accordance with SEC SAB Topic 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paid-in capital</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June 30, 2017 and 2016, additional paid-in capital in the consolidated balance sheet represented the combined contributed capital of the Company’s subsidiaries.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year ended June 30, 2016, the Company’s controlling shareholders contributed additional capital in the aggregate of $3,377,813 to CLPS Shanghai, which was included in additional paid-in capital.</w:t>
      </w:r>
    </w:p>
    <w:p>
      <w:pPr>
        <w:spacing w:after="0" w:line="17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For the year ended June 30, 2016, CLPS Shanghai had a recapitalization. CLPS Shanghai’s accumulated retained earnings and statutory reserve in the aggregate was $1,051,952 which was reclassified to additional paid – in capital in the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Statutory reserve</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subsidiaries located in mainland China are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Company allocated $261,949 and $429,439 to statutory reserves during the years ended June 30, 2017 and 2016, respectively in accordance with PRC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NON-CONTROLLING INTERESTS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CLPS</w:t>
            </w:r>
          </w:p>
        </w:tc>
        <w:tc>
          <w:tcPr>
            <w:tcW w:w="18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CLPS</w:t>
            </w:r>
          </w:p>
        </w:tc>
        <w:tc>
          <w:tcPr>
            <w:tcW w:w="160" w:type="dxa"/>
            <w:vAlign w:val="bottom"/>
          </w:tcPr>
          <w:p>
            <w:pPr>
              <w:spacing w:after="0"/>
              <w:rPr>
                <w:sz w:val="18"/>
                <w:szCs w:val="18"/>
                <w:color w:val="auto"/>
              </w:rPr>
            </w:pPr>
          </w:p>
        </w:tc>
        <w:tc>
          <w:tcPr>
            <w:tcW w:w="1300" w:type="dxa"/>
            <w:vAlign w:val="bottom"/>
            <w:gridSpan w:val="3"/>
          </w:tcPr>
          <w:p>
            <w:pPr>
              <w:jc w:val="right"/>
              <w:ind w:right="607"/>
              <w:spacing w:after="0"/>
              <w:rPr>
                <w:sz w:val="20"/>
                <w:szCs w:val="20"/>
                <w:color w:val="auto"/>
              </w:rPr>
            </w:pPr>
            <w:r>
              <w:rPr>
                <w:rFonts w:ascii="Arial" w:cs="Arial" w:eastAsia="Arial" w:hAnsi="Arial"/>
                <w:sz w:val="18"/>
                <w:szCs w:val="18"/>
                <w:b w:val="1"/>
                <w:bCs w:val="1"/>
                <w:color w:val="auto"/>
              </w:rPr>
              <w:t>CLPS</w:t>
            </w:r>
          </w:p>
        </w:tc>
        <w:tc>
          <w:tcPr>
            <w:tcW w:w="14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5"/>
              </w:rPr>
              <w:t>CLPS</w:t>
            </w:r>
          </w:p>
        </w:tc>
        <w:tc>
          <w:tcPr>
            <w:tcW w:w="1340" w:type="dxa"/>
            <w:vAlign w:val="bottom"/>
            <w:gridSpan w:val="3"/>
          </w:tcPr>
          <w:p>
            <w:pPr>
              <w:ind w:left="100"/>
              <w:spacing w:after="0"/>
              <w:rPr>
                <w:sz w:val="20"/>
                <w:szCs w:val="20"/>
                <w:color w:val="auto"/>
              </w:rPr>
            </w:pPr>
            <w:r>
              <w:rPr>
                <w:rFonts w:ascii="Arial" w:cs="Arial" w:eastAsia="Arial" w:hAnsi="Arial"/>
                <w:sz w:val="18"/>
                <w:szCs w:val="18"/>
                <w:b w:val="1"/>
                <w:bCs w:val="1"/>
                <w:color w:val="auto"/>
              </w:rPr>
              <w:t>Judge</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RC</w:t>
            </w:r>
          </w:p>
        </w:tc>
        <w:tc>
          <w:tcPr>
            <w:tcW w:w="18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Beijing</w:t>
            </w:r>
          </w:p>
        </w:tc>
        <w:tc>
          <w:tcPr>
            <w:tcW w:w="160" w:type="dxa"/>
            <w:vAlign w:val="bottom"/>
          </w:tcPr>
          <w:p>
            <w:pPr>
              <w:spacing w:after="0"/>
              <w:rPr>
                <w:sz w:val="20"/>
                <w:szCs w:val="20"/>
                <w:color w:val="auto"/>
              </w:rPr>
            </w:pPr>
          </w:p>
        </w:tc>
        <w:tc>
          <w:tcPr>
            <w:tcW w:w="1300" w:type="dxa"/>
            <w:vAlign w:val="bottom"/>
            <w:gridSpan w:val="3"/>
          </w:tcPr>
          <w:p>
            <w:pPr>
              <w:jc w:val="right"/>
              <w:ind w:right="447"/>
              <w:spacing w:after="0"/>
              <w:rPr>
                <w:sz w:val="20"/>
                <w:szCs w:val="20"/>
                <w:color w:val="auto"/>
              </w:rPr>
            </w:pPr>
            <w:r>
              <w:rPr>
                <w:rFonts w:ascii="Arial" w:cs="Arial" w:eastAsia="Arial" w:hAnsi="Arial"/>
                <w:sz w:val="18"/>
                <w:szCs w:val="18"/>
                <w:b w:val="1"/>
                <w:bCs w:val="1"/>
                <w:color w:val="auto"/>
                <w:w w:val="89"/>
              </w:rPr>
              <w:t>Shenzhen</w:t>
            </w:r>
          </w:p>
        </w:tc>
        <w:tc>
          <w:tcPr>
            <w:tcW w:w="142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90"/>
              </w:rPr>
              <w:t>Hong Kong</w:t>
            </w:r>
          </w:p>
        </w:tc>
        <w:tc>
          <w:tcPr>
            <w:tcW w:w="1340" w:type="dxa"/>
            <w:vAlign w:val="bottom"/>
            <w:gridSpan w:val="3"/>
          </w:tcPr>
          <w:p>
            <w:pPr>
              <w:ind w:left="120"/>
              <w:spacing w:after="0"/>
              <w:rPr>
                <w:sz w:val="20"/>
                <w:szCs w:val="20"/>
                <w:color w:val="auto"/>
              </w:rPr>
            </w:pPr>
            <w:r>
              <w:rPr>
                <w:rFonts w:ascii="Arial" w:cs="Arial" w:eastAsia="Arial" w:hAnsi="Arial"/>
                <w:sz w:val="18"/>
                <w:szCs w:val="18"/>
                <w:b w:val="1"/>
                <w:bCs w:val="1"/>
                <w:color w:val="auto"/>
              </w:rPr>
              <w:t>China</w:t>
            </w:r>
          </w:p>
        </w:tc>
        <w:tc>
          <w:tcPr>
            <w:tcW w:w="10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July 1, 2015</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(41,141)</w:t>
            </w:r>
          </w:p>
        </w:tc>
        <w:tc>
          <w:tcPr>
            <w:tcW w:w="1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(41,141)</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 contribution from non-controlling</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 (i)</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46,919</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46,919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9"/>
              </w:rPr>
              <w:t>Repurchase of non-controlling interest (ii)</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(1,788)</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(1,402)</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as of June 30, 2016</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4,034</w:t>
            </w:r>
          </w:p>
        </w:tc>
        <w:tc>
          <w:tcPr>
            <w:tcW w:w="160" w:type="dxa"/>
            <w:vAlign w:val="bottom"/>
          </w:tcPr>
          <w:p>
            <w:pPr>
              <w:spacing w:after="0"/>
              <w:rPr>
                <w:sz w:val="24"/>
                <w:szCs w:val="24"/>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4,034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157,775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Capital contribution from non-controlling</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shareholders (iii)</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6,438</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290,994</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297,432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982</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as of June 30, 2017</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42,283</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(978</w:t>
            </w:r>
          </w:p>
        </w:tc>
        <w:tc>
          <w:tcPr>
            <w:tcW w:w="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(13,648</w:t>
            </w:r>
          </w:p>
        </w:tc>
        <w:tc>
          <w:tcPr>
            <w:tcW w:w="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449,453</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477,110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hanging="552"/>
        <w:spacing w:after="0"/>
        <w:tabs>
          <w:tab w:leader="none" w:pos="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the year ended June 30, 2016, the non-controlling shareholder of CLPS Beijing contributed $46,919 to CLPS Beijing.</w:t>
      </w:r>
    </w:p>
    <w:p>
      <w:pPr>
        <w:spacing w:after="0" w:line="225" w:lineRule="exact"/>
        <w:rPr>
          <w:rFonts w:ascii="Arial" w:cs="Arial" w:eastAsia="Arial" w:hAnsi="Arial"/>
          <w:sz w:val="18"/>
          <w:szCs w:val="18"/>
          <w:color w:val="auto"/>
        </w:rPr>
      </w:pPr>
    </w:p>
    <w:p>
      <w:pPr>
        <w:ind w:left="560" w:right="220" w:hanging="552"/>
        <w:spacing w:after="0" w:line="263" w:lineRule="auto"/>
        <w:tabs>
          <w:tab w:leader="none" w:pos="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the year ended June 30, 2016, the Company paid $6,987 to acquire a non-controlling interest in CLPS RC. After the acquisition, CLPS RC became a wholly owned subsidiary of the Company. The payment in excess of carrying value of the non-controlling interest amounted to $5,199, which was charge to additional paid in capital.</w:t>
      </w:r>
    </w:p>
    <w:p>
      <w:pPr>
        <w:sectPr>
          <w:pgSz w:w="11900" w:h="16838" w:orient="portrait"/>
          <w:cols w:equalWidth="0" w:num="1">
            <w:col w:w="11240"/>
          </w:cols>
          <w:pgMar w:left="320" w:top="226" w:right="339" w:bottom="844"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844" w:gutter="0" w:footer="0" w:header="0"/>
          <w:type w:val="continuous"/>
        </w:sectPr>
      </w:pPr>
    </w:p>
    <w:bookmarkStart w:id="134" w:name="page135"/>
    <w:bookmarkEnd w:id="13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NON-CONTROLLING INTERESTS - continued</w:t>
      </w:r>
    </w:p>
    <w:p>
      <w:pPr>
        <w:spacing w:after="0" w:line="229" w:lineRule="exact"/>
        <w:rPr>
          <w:sz w:val="20"/>
          <w:szCs w:val="20"/>
          <w:color w:val="auto"/>
        </w:rPr>
      </w:pPr>
    </w:p>
    <w:p>
      <w:pPr>
        <w:ind w:left="560" w:hanging="552"/>
        <w:spacing w:after="0"/>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the year ended June 30, 2017, the non-controlling shareholder of CLPS Hong Kong contributed $6,438 as capital.</w:t>
      </w:r>
    </w:p>
    <w:p>
      <w:pPr>
        <w:spacing w:after="0" w:line="225" w:lineRule="exact"/>
        <w:rPr>
          <w:rFonts w:ascii="Arial" w:cs="Arial" w:eastAsia="Arial" w:hAnsi="Arial"/>
          <w:sz w:val="18"/>
          <w:szCs w:val="18"/>
          <w:color w:val="auto"/>
        </w:rPr>
      </w:pPr>
    </w:p>
    <w:p>
      <w:pPr>
        <w:ind w:left="560" w:right="300" w:hanging="552"/>
        <w:spacing w:after="0" w:line="277" w:lineRule="auto"/>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November 9, 2016, CLPS Shanghai acquired 60% of Judge China and its 70% owned subsidiary Judge HR from Judge Asia. As a result, the fair value of non-controlling interests was $290,994 (Note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 AND REVENUE ANALYSIS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follows ASC 280, Segment Reporting, which requires that companies to disclose segment data based on how management makes decision about allocating resources to each segment and evaluating their performances. The Company has one reporting segment. The Company’s chief operating decision maker has been identified as the Chief Executive Officer, who reviews consolidated results when making decisions about allocating resources and assessing performance of the Company. The Company has one operating segment. The Company’s revenue and net income are substantially derived from enterprise application services and financial industry IT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the service lines for the years ended June 30, 2017 and 2016.</w:t>
      </w:r>
    </w:p>
    <w:p>
      <w:pPr>
        <w:spacing w:after="0" w:line="221"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Fintech IT consulting service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29,146,470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28,015,173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1,846,423</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927,185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369,083</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31,361,976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29,024,178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29"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On July 25, 2017, the Company incorporated CLIVST as a holding company in BVI. On September 27, 2017 and October 24, 2017, the Company incorporated CLPS Guangzhou in Guangzhou, PRC and FDT-CL in Hong Kong to develop business in the related area.</w:t>
      </w:r>
    </w:p>
    <w:p>
      <w:pPr>
        <w:spacing w:after="0" w:line="14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On September 27, 2017, the Company and a non-controlling interest shareholder of CLPS Beijing incorporated Tianjin Huanyu Qinshang network technology Co., Ltd (“Huan Yu”). The Company subscribed 30% of equity interest in Huan Yu for $0.4 million. The Company planned to complete the capital injection of $0.4 million by the end of 2017.</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October 17, 2017, the Company invested approximately $0.07 million in JQ for its 55% equity interest. JQ and its 100% owned subsidiary – JL operates a software consulting business in Taiwan. The Company believes that these investments could offer new opportunities for operational synergies in the related markets.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November 18, 2017, the Board of Directors (“Board”) approved the 2017 Stock Incentive Plan (“Plan”), subject to approval by the Company’s shareholders. The Plan is a stock-based compensation plan that provides for discretionary grants of, among others, stock options, stock awards and stock unit awards to key employees and directors of the Company. The purpose of the Plan is to recognize contributions made to our company and its subsidiaries by such individuals and to provide them with additional incentive to achieve the objectives of our Company. The Board authorized up to 2,210,000 shares for grants under the terms of the Plan. The grants under the Plan generally have a maximum contractual term of ten years from the date of grant. Stock awards granted under the plan at the determination of the Board shall be effective and exercisable upon the Company’ completion of an initial public offering of its securities. The terms of individual agreements for various grants under the Plan will be determined by the Board (or its Compensation Committee) and might contain both service and performance conditions.</w:t>
      </w:r>
    </w:p>
    <w:p>
      <w:pPr>
        <w:spacing w:after="0" w:line="17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accompanying consolidated financial statements were approved by management and available for issuance on December 8, 2017. The Company evaluated subsequent events through the date these consolidated financial statements were available for issuance.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5" w:name="page136"/>
    <w:bookmarkEnd w:id="13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555625</wp:posOffset>
            </wp:positionV>
            <wp:extent cx="2734310" cy="685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3431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[_]</w:t>
      </w:r>
    </w:p>
    <w:p>
      <w:pPr>
        <w:spacing w:after="0" w:line="200" w:lineRule="exact"/>
        <w:rPr>
          <w:sz w:val="20"/>
          <w:szCs w:val="20"/>
          <w:color w:val="auto"/>
        </w:rPr>
      </w:pPr>
    </w:p>
    <w:p>
      <w:pPr>
        <w:spacing w:after="0" w:line="24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Until [_], [_] (25 days after commencement of our initial public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808990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226" w:right="619" w:bottom="1440" w:gutter="0" w:footer="0" w:header="0"/>
        </w:sectPr>
      </w:pPr>
    </w:p>
    <w:bookmarkStart w:id="136" w:name="page137"/>
    <w:bookmarkEnd w:id="13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Since our inception, we issued [</w:t>
      </w:r>
      <w:r>
        <w:rPr>
          <w:rFonts w:ascii="Arial" w:cs="Arial" w:eastAsia="Arial" w:hAnsi="Arial"/>
          <w:sz w:val="16"/>
          <w:szCs w:val="16"/>
          <w:u w:val="single" w:color="auto"/>
          <w:color w:val="auto"/>
        </w:rPr>
        <w:t>●</w:t>
      </w:r>
      <w:r>
        <w:rPr>
          <w:rFonts w:ascii="Arial" w:cs="Arial" w:eastAsia="Arial" w:hAnsi="Arial"/>
          <w:sz w:val="16"/>
          <w:szCs w:val="16"/>
          <w:color w:val="auto"/>
        </w:rPr>
        <w:t>] shares in the aggregate to [</w:t>
      </w:r>
      <w:r>
        <w:rPr>
          <w:rFonts w:ascii="Arial" w:cs="Arial" w:eastAsia="Arial" w:hAnsi="Arial"/>
          <w:sz w:val="16"/>
          <w:szCs w:val="16"/>
          <w:u w:val="single" w:color="auto"/>
          <w:color w:val="auto"/>
        </w:rPr>
        <w:t>●</w:t>
      </w:r>
      <w:r>
        <w:rPr>
          <w:rFonts w:ascii="Arial" w:cs="Arial" w:eastAsia="Arial" w:hAnsi="Arial"/>
          <w:sz w:val="16"/>
          <w:szCs w:val="16"/>
          <w:color w:val="auto"/>
        </w:rPr>
        <w:t>] shareholders upon the reorganization of our company, in transactions that were not required to be registered under the Securities Act of 1933. All issuances of common shares to these shareholders were deemed to be exempt under the Securities Act by virtue of Section 4(2) thereof as transactions not involving any public offering. In addition, the issuance of [</w:t>
      </w:r>
      <w:r>
        <w:rPr>
          <w:rFonts w:ascii="Arial" w:cs="Arial" w:eastAsia="Arial" w:hAnsi="Arial"/>
          <w:sz w:val="16"/>
          <w:szCs w:val="16"/>
          <w:u w:val="single" w:color="auto"/>
          <w:color w:val="auto"/>
        </w:rPr>
        <w:t>●</w:t>
      </w:r>
      <w:r>
        <w:rPr>
          <w:rFonts w:ascii="Arial" w:cs="Arial" w:eastAsia="Arial" w:hAnsi="Arial"/>
          <w:sz w:val="16"/>
          <w:szCs w:val="16"/>
          <w:color w:val="auto"/>
        </w:rPr>
        <w:t>] shares were deemed not to fall within Section 5 under the Securities Act and to be further exempt under Rule 901 and 903 of Regulation S by virtue of being issuances of securities by non-U.S. companies to non-U.S. citizens or residents, conducted outside the United States and not using any element of interstate commerce. [_]</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37" w:name="page138"/>
    <w:bookmarkEnd w:id="13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 or incorporated by reference in this prospectus: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200" w:type="dxa"/>
            <w:vAlign w:val="bottom"/>
            <w:gridSpan w:val="10"/>
          </w:tcPr>
          <w:p>
            <w:pPr>
              <w:spacing w:after="0"/>
              <w:rPr>
                <w:sz w:val="20"/>
                <w:szCs w:val="20"/>
                <w:color w:val="auto"/>
              </w:rPr>
            </w:pPr>
            <w:r>
              <w:rPr>
                <w:rFonts w:ascii="Arial" w:cs="Arial" w:eastAsia="Arial" w:hAnsi="Arial"/>
                <w:sz w:val="18"/>
                <w:szCs w:val="18"/>
                <w:color w:val="auto"/>
              </w:rPr>
              <w:t>Exhibit title</w:t>
            </w:r>
          </w:p>
        </w:tc>
      </w:tr>
      <w:tr>
        <w:trPr>
          <w:trHeight w:val="216"/>
        </w:trPr>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140" w:type="dxa"/>
            <w:vAlign w:val="bottom"/>
            <w:tcBorders>
              <w:top w:val="single" w:sz="8" w:color="auto"/>
            </w:tcBorders>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2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Form of Underwriting Agreement (*).</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7"/>
                <w:szCs w:val="17"/>
                <w:color w:val="auto"/>
              </w:rPr>
            </w:pPr>
          </w:p>
        </w:tc>
        <w:tc>
          <w:tcPr>
            <w:tcW w:w="1020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Memorandum and Articles of Association.</w:t>
            </w:r>
          </w:p>
        </w:tc>
      </w:tr>
      <w:tr>
        <w:trPr>
          <w:trHeight w:val="216"/>
        </w:trPr>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140" w:type="dxa"/>
            <w:vAlign w:val="bottom"/>
            <w:tcBorders>
              <w:top w:val="single" w:sz="8" w:color="CCEEFF"/>
            </w:tcBorders>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02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Specimen Share Certificate (*).</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02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Opinion of Ogier (*)</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102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Opinion of Hansen &amp; Partners (*).</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02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Opinion of Schiff Hardin LLP (*).</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7"/>
                <w:szCs w:val="17"/>
                <w:color w:val="auto"/>
              </w:rPr>
            </w:pPr>
          </w:p>
        </w:tc>
        <w:tc>
          <w:tcPr>
            <w:tcW w:w="1020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2017 Equity Incentive Plan</w:t>
            </w:r>
          </w:p>
        </w:tc>
      </w:tr>
      <w:tr>
        <w:trPr>
          <w:trHeight w:val="216"/>
        </w:trPr>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14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7"/>
                <w:szCs w:val="17"/>
                <w:color w:val="auto"/>
              </w:rPr>
            </w:pPr>
          </w:p>
        </w:tc>
        <w:tc>
          <w:tcPr>
            <w:tcW w:w="1020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Form independent director agreement</w:t>
            </w:r>
          </w:p>
        </w:tc>
      </w:tr>
      <w:tr>
        <w:trPr>
          <w:trHeight w:val="216"/>
        </w:trPr>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14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7"/>
                <w:szCs w:val="17"/>
                <w:color w:val="auto"/>
              </w:rPr>
            </w:pPr>
          </w:p>
        </w:tc>
        <w:tc>
          <w:tcPr>
            <w:tcW w:w="1020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Code of Conduct and Ethics.</w:t>
            </w:r>
          </w:p>
        </w:tc>
      </w:tr>
      <w:tr>
        <w:trPr>
          <w:trHeight w:val="216"/>
        </w:trPr>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14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7"/>
                <w:szCs w:val="17"/>
                <w:color w:val="auto"/>
              </w:rPr>
            </w:pPr>
          </w:p>
        </w:tc>
        <w:tc>
          <w:tcPr>
            <w:tcW w:w="1020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List of Subsidiaries of the Registrant.</w:t>
            </w:r>
          </w:p>
        </w:tc>
      </w:tr>
      <w:tr>
        <w:trPr>
          <w:trHeight w:val="216"/>
        </w:trPr>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14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7"/>
                <w:szCs w:val="17"/>
                <w:color w:val="auto"/>
              </w:rPr>
            </w:pPr>
          </w:p>
        </w:tc>
        <w:tc>
          <w:tcPr>
            <w:tcW w:w="1020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Consent of Friedman LLP.</w:t>
            </w:r>
          </w:p>
        </w:tc>
      </w:tr>
      <w:tr>
        <w:trPr>
          <w:trHeight w:val="216"/>
        </w:trPr>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140" w:type="dxa"/>
            <w:vAlign w:val="bottom"/>
            <w:tcBorders>
              <w:top w:val="single" w:sz="8" w:color="CCEEFF"/>
            </w:tcBorders>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102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Consent of Ogier (included in Exhibit 5.1) (*).</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102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Consent of Hansen &amp; Partners (included in Exhibit 8.1) (*).</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1020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Consent of Schiff Hardin LLP (included in Exhibit 8.2) (*).</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10200" w:type="dxa"/>
            <w:vAlign w:val="bottom"/>
            <w:gridSpan w:val="10"/>
            <w:shd w:val="clear" w:color="auto" w:fill="CCEEFF"/>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Power of Attorney (included on signature page)</w:t>
              </w:r>
            </w:hyperlink>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20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Charter of the Audit Committee.</w:t>
            </w:r>
          </w:p>
        </w:tc>
      </w:tr>
      <w:tr>
        <w:trPr>
          <w:trHeight w:val="216"/>
        </w:trPr>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14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7"/>
                <w:szCs w:val="17"/>
                <w:color w:val="auto"/>
              </w:rPr>
            </w:pPr>
          </w:p>
        </w:tc>
        <w:tc>
          <w:tcPr>
            <w:tcW w:w="1020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Charter of the Compensation Committee.</w:t>
            </w:r>
          </w:p>
        </w:tc>
      </w:tr>
      <w:tr>
        <w:trPr>
          <w:trHeight w:val="216"/>
        </w:trPr>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140" w:type="dxa"/>
            <w:vAlign w:val="bottom"/>
            <w:tcBorders>
              <w:top w:val="single" w:sz="8" w:color="CCEEFF"/>
            </w:tcBorders>
          </w:tcPr>
          <w:p>
            <w:pPr>
              <w:spacing w:after="0"/>
              <w:rPr>
                <w:sz w:val="18"/>
                <w:szCs w:val="18"/>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5"/>
                <w:szCs w:val="15"/>
                <w:color w:val="auto"/>
              </w:rPr>
            </w:pPr>
          </w:p>
        </w:tc>
        <w:tc>
          <w:tcPr>
            <w:tcW w:w="1020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0000EE"/>
              </w:rPr>
              <w:t>Charter of the Nominating Committee.</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225" w:lineRule="exact"/>
        <w:rPr>
          <w:sz w:val="20"/>
          <w:szCs w:val="20"/>
          <w:color w:val="auto"/>
        </w:rPr>
      </w:pPr>
    </w:p>
    <w:p>
      <w:pPr>
        <w:ind w:left="660" w:right="8660" w:hanging="652"/>
        <w:spacing w:after="0" w:line="498" w:lineRule="auto"/>
        <w:tabs>
          <w:tab w:leader="none" w:pos="267"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Financial Statement Schedules </w:t>
      </w:r>
      <w:r>
        <w:rPr>
          <w:rFonts w:ascii="Arial" w:cs="Arial" w:eastAsia="Arial" w:hAnsi="Arial"/>
          <w:sz w:val="18"/>
          <w:szCs w:val="18"/>
          <w:color w:val="auto"/>
        </w:rPr>
        <w:t>None.</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sz w:val="20"/>
          <w:szCs w:val="20"/>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firstLine="8"/>
        <w:spacing w:after="0" w:line="293" w:lineRule="auto"/>
        <w:tabs>
          <w:tab w:leader="none" w:pos="26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firstLine="8"/>
        <w:spacing w:after="0" w:line="277" w:lineRule="auto"/>
        <w:tabs>
          <w:tab w:leader="none" w:pos="31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11240"/>
          </w:cols>
          <w:pgMar w:left="320" w:top="226" w:right="339" w:bottom="175"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75" w:gutter="0" w:footer="0" w:header="0"/>
          <w:type w:val="continuous"/>
        </w:sectPr>
      </w:pPr>
    </w:p>
    <w:bookmarkStart w:id="138" w:name="page139"/>
    <w:bookmarkEnd w:id="13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 provide to the underwriter at the closing specified in the underwriting agreements certificates in such denominations and registered in such names as required by the underwriter to permit prompt delivery to each purchaser.</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right="280" w:firstLine="8"/>
        <w:spacing w:after="0" w:line="277" w:lineRule="auto"/>
        <w:tabs>
          <w:tab w:leader="none" w:pos="2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170" w:lineRule="exact"/>
        <w:rPr>
          <w:rFonts w:ascii="Arial" w:cs="Arial" w:eastAsia="Arial" w:hAnsi="Arial"/>
          <w:sz w:val="18"/>
          <w:szCs w:val="18"/>
          <w:color w:val="auto"/>
        </w:rPr>
      </w:pPr>
    </w:p>
    <w:p>
      <w:pPr>
        <w:ind w:right="380" w:firstLine="8"/>
        <w:spacing w:after="0" w:line="277" w:lineRule="auto"/>
        <w:tabs>
          <w:tab w:leader="none" w:pos="2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680" w:firstLine="8"/>
        <w:spacing w:after="0" w:line="277" w:lineRule="auto"/>
        <w:tabs>
          <w:tab w:leader="none" w:pos="31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39" w:name="page140"/>
    <w:bookmarkEnd w:id="13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the People’s Republic of China, on [_], 2017.</w:t>
      </w:r>
    </w:p>
    <w:p>
      <w:pPr>
        <w:spacing w:after="0" w:line="39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Raymond Ming Hui Lin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b w:val="1"/>
          <w:bCs w:val="1"/>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Dated: [_], 2017</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40" w:type="dxa"/>
            <w:vAlign w:val="bottom"/>
          </w:tcPr>
          <w:p>
            <w:pPr>
              <w:spacing w:after="0"/>
              <w:rPr>
                <w:sz w:val="22"/>
                <w:szCs w:val="22"/>
                <w:color w:val="auto"/>
              </w:rPr>
            </w:pPr>
          </w:p>
        </w:tc>
        <w:tc>
          <w:tcPr>
            <w:tcW w:w="448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5"/>
        </w:trPr>
        <w:tc>
          <w:tcPr>
            <w:tcW w:w="4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Chairman, President and 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4"/>
              </w:rPr>
              <w:t>[_], 2017</w:t>
            </w:r>
          </w:p>
        </w:tc>
      </w:tr>
      <w:tr>
        <w:trPr>
          <w:trHeight w:val="234"/>
        </w:trPr>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0"/>
              </w:rPr>
              <w:t>Xiao Feng Yang</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99"/>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4"/>
              </w:rPr>
              <w:t>[_], 2017</w:t>
            </w:r>
          </w:p>
        </w:tc>
      </w:tr>
      <w:tr>
        <w:trPr>
          <w:trHeight w:val="224"/>
        </w:trPr>
        <w:tc>
          <w:tcPr>
            <w:tcW w:w="45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800" w:type="dxa"/>
            <w:vAlign w:val="bottom"/>
          </w:tcPr>
          <w:p>
            <w:pPr>
              <w:spacing w:after="0"/>
              <w:rPr>
                <w:sz w:val="19"/>
                <w:szCs w:val="19"/>
                <w:color w:val="auto"/>
              </w:rPr>
            </w:pPr>
          </w:p>
        </w:tc>
      </w:tr>
      <w:tr>
        <w:trPr>
          <w:trHeight w:val="234"/>
        </w:trPr>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5"/>
              </w:rPr>
              <w:t>Raymond Ming Hui Lin</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99"/>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00" w:type="dxa"/>
            <w:vAlign w:val="bottom"/>
          </w:tcPr>
          <w:p>
            <w:pPr>
              <w:jc w:val="center"/>
              <w:spacing w:after="0"/>
              <w:rPr>
                <w:sz w:val="20"/>
                <w:szCs w:val="20"/>
                <w:color w:val="auto"/>
              </w:rPr>
            </w:pPr>
            <w:r>
              <w:rPr>
                <w:rFonts w:ascii="Arial" w:cs="Arial" w:eastAsia="Arial" w:hAnsi="Arial"/>
                <w:sz w:val="18"/>
                <w:szCs w:val="18"/>
                <w:color w:val="auto"/>
                <w:w w:val="94"/>
              </w:rPr>
              <w:t>[_], 2017</w:t>
            </w:r>
          </w:p>
        </w:tc>
      </w:tr>
      <w:tr>
        <w:trPr>
          <w:trHeight w:val="224"/>
        </w:trPr>
        <w:tc>
          <w:tcPr>
            <w:tcW w:w="45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(Principal Accounting and Financial Officer)</w:t>
            </w:r>
          </w:p>
        </w:tc>
        <w:tc>
          <w:tcPr>
            <w:tcW w:w="1800" w:type="dxa"/>
            <w:vAlign w:val="bottom"/>
          </w:tcPr>
          <w:p>
            <w:pPr>
              <w:spacing w:after="0"/>
              <w:rPr>
                <w:sz w:val="19"/>
                <w:szCs w:val="19"/>
                <w:color w:val="auto"/>
              </w:rPr>
            </w:pPr>
          </w:p>
        </w:tc>
      </w:tr>
      <w:tr>
        <w:trPr>
          <w:trHeight w:val="234"/>
        </w:trPr>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2"/>
              </w:rPr>
              <w:t>Tian van Acken</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4"/>
              </w:rPr>
              <w:t>[_], 2017</w:t>
            </w:r>
          </w:p>
        </w:tc>
      </w:tr>
      <w:tr>
        <w:trPr>
          <w:trHeight w:val="234"/>
        </w:trPr>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89"/>
              </w:rPr>
              <w:t>Jin He Shao</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48"/>
        </w:trPr>
        <w:tc>
          <w:tcPr>
            <w:tcW w:w="4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4"/>
              </w:rPr>
              <w:t>[_], 2017</w:t>
            </w:r>
          </w:p>
        </w:tc>
      </w:tr>
      <w:tr>
        <w:trPr>
          <w:trHeight w:val="234"/>
        </w:trPr>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1"/>
              </w:rPr>
              <w:t>Kewei Huang</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48"/>
        </w:trPr>
        <w:tc>
          <w:tcPr>
            <w:tcW w:w="4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4"/>
              </w:rPr>
              <w:t>[_], 2017</w:t>
            </w:r>
          </w:p>
        </w:tc>
      </w:tr>
      <w:tr>
        <w:trPr>
          <w:trHeight w:val="234"/>
        </w:trPr>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4"/>
              </w:rPr>
              <w:t>Kathryn Amooi</w:t>
            </w: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0" w:name="page141"/>
    <w:bookmarkEnd w:id="14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the Company has signed this registration statement or amendment thereto in New York on December [_], 2017.</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Authorized U.S. Representative</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[VCorp Services, LLC</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25 Robert Pitt Drive, Suite 204</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Monsey, NY 10952</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Telephone: (888) 528-2677]</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226" w:right="65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Number: 322728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LAW (AS REVISED)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special resolutions dated 7 December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2" w:name="page143"/>
    <w:bookmarkEnd w:id="142"/>
    <w:p>
      <w:pPr>
        <w:jc w:val="center"/>
        <w:ind w:right="-11"/>
        <w:spacing w:after="0"/>
        <w:rPr>
          <w:sz w:val="20"/>
          <w:szCs w:val="20"/>
          <w:color w:val="auto"/>
        </w:rPr>
      </w:pPr>
      <w:r>
        <w:rPr>
          <w:rFonts w:ascii="Arial" w:cs="Arial" w:eastAsia="Arial" w:hAnsi="Arial"/>
          <w:sz w:val="18"/>
          <w:szCs w:val="18"/>
          <w:b w:val="1"/>
          <w:bCs w:val="1"/>
          <w:color w:val="auto"/>
        </w:rPr>
        <w:t>COMPANIES LAW (REVISED)</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AMENDED AND RESTATED MEMORANDUM OF ASSOCIATION</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(adopted by special resolution dated 7 December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52" w:hanging="652"/>
        <w:spacing w:after="0"/>
        <w:tabs>
          <w:tab w:leader="none" w:pos="6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CLPS INCORPORATION</w:t>
      </w:r>
      <w:r>
        <w:rPr>
          <w:rFonts w:ascii="Arial" w:cs="Arial" w:eastAsia="Arial" w:hAnsi="Arial"/>
          <w:sz w:val="18"/>
          <w:szCs w:val="18"/>
          <w:color w:val="auto"/>
        </w:rPr>
        <w:t>.</w:t>
      </w:r>
    </w:p>
    <w:p>
      <w:pPr>
        <w:spacing w:after="0" w:line="229" w:lineRule="exact"/>
        <w:rPr>
          <w:sz w:val="20"/>
          <w:szCs w:val="20"/>
          <w:color w:val="auto"/>
        </w:rPr>
      </w:pPr>
    </w:p>
    <w:p>
      <w:pPr>
        <w:ind w:left="652" w:right="280" w:hanging="652"/>
        <w:spacing w:after="0" w:line="342" w:lineRule="auto"/>
        <w:tabs>
          <w:tab w:leader="none" w:pos="65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Company’s registered office will be situated at the office of Ogier Global (Cayman) Limited, 89 Nexus Way, Camana Bay, Grand Cayman KY1-9009, Grand Cayman KY1-9009, Cayman Islands or at such other place in the Cayman Islands as the directors may at any time decide.</w:t>
      </w:r>
    </w:p>
    <w:p>
      <w:pPr>
        <w:spacing w:after="0" w:line="124" w:lineRule="exact"/>
        <w:rPr>
          <w:sz w:val="20"/>
          <w:szCs w:val="20"/>
          <w:color w:val="auto"/>
        </w:rPr>
      </w:pPr>
    </w:p>
    <w:p>
      <w:pPr>
        <w:ind w:left="652" w:right="60" w:hanging="652"/>
        <w:spacing w:after="0" w:line="277" w:lineRule="auto"/>
        <w:tabs>
          <w:tab w:leader="none" w:pos="6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Company’s objects are unrestricted. As provided by section 7(4) of the Companies Law (Revised), the Company has full power and authority to carry out any object not prohibited by any law of the Cayman Islands.</w:t>
      </w:r>
    </w:p>
    <w:p>
      <w:pPr>
        <w:spacing w:after="0" w:line="170" w:lineRule="exact"/>
        <w:rPr>
          <w:sz w:val="20"/>
          <w:szCs w:val="20"/>
          <w:color w:val="auto"/>
        </w:rPr>
      </w:pPr>
    </w:p>
    <w:p>
      <w:pPr>
        <w:jc w:val="both"/>
        <w:ind w:left="652" w:right="520" w:hanging="652"/>
        <w:spacing w:after="0" w:line="263" w:lineRule="auto"/>
        <w:tabs>
          <w:tab w:leader="none" w:pos="6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has unrestricted corporate capacity. Without limitation to the foregoing, as provided by section 27 (2) of the Companies Law (Revised), the Company has and is capable of exercising all the functions of a natural person of full capacity irrespective of any question of corporate benefit.</w:t>
      </w:r>
    </w:p>
    <w:p>
      <w:pPr>
        <w:spacing w:after="0" w:line="184" w:lineRule="exact"/>
        <w:rPr>
          <w:sz w:val="20"/>
          <w:szCs w:val="20"/>
          <w:color w:val="auto"/>
        </w:rPr>
      </w:pPr>
    </w:p>
    <w:p>
      <w:pPr>
        <w:ind w:left="652" w:hanging="652"/>
        <w:spacing w:after="0"/>
        <w:tabs>
          <w:tab w:leader="none" w:pos="652"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Nothing in any of the preceding paragraphs permits the Company to carry on any of the following businesses without being duly licensed, namely:</w:t>
      </w:r>
    </w:p>
    <w:p>
      <w:pPr>
        <w:spacing w:after="0" w:line="248" w:lineRule="exact"/>
        <w:rPr>
          <w:rFonts w:ascii="Arial" w:cs="Arial" w:eastAsia="Arial" w:hAnsi="Arial"/>
          <w:sz w:val="16"/>
          <w:szCs w:val="16"/>
          <w:color w:val="auto"/>
        </w:rPr>
      </w:pPr>
    </w:p>
    <w:p>
      <w:pPr>
        <w:ind w:left="1292" w:hanging="644"/>
        <w:spacing w:after="0"/>
        <w:tabs>
          <w:tab w:leader="none" w:pos="1292"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business of a bank or trust company without being licensed in that behalf under the Banks and Trust Companies Law (Revised); or</w:t>
      </w:r>
    </w:p>
    <w:p>
      <w:pPr>
        <w:spacing w:after="0" w:line="248" w:lineRule="exact"/>
        <w:rPr>
          <w:rFonts w:ascii="Arial" w:cs="Arial" w:eastAsia="Arial" w:hAnsi="Arial"/>
          <w:sz w:val="16"/>
          <w:szCs w:val="16"/>
          <w:color w:val="auto"/>
        </w:rPr>
      </w:pPr>
    </w:p>
    <w:p>
      <w:pPr>
        <w:ind w:left="1292" w:right="280" w:hanging="644"/>
        <w:spacing w:after="0" w:line="277" w:lineRule="auto"/>
        <w:tabs>
          <w:tab w:leader="none" w:pos="1292"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insurance business from within the Cayman Islands or the business of an insurance manager, agent, sub-agent or broker without being licensed in that behalf under the Insurance Law (Revised);or</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business of company management without being licensed in that behalf under the Companies Management Law (Revised).</w:t>
      </w:r>
    </w:p>
    <w:p>
      <w:pPr>
        <w:spacing w:after="0" w:line="237" w:lineRule="exact"/>
        <w:rPr>
          <w:sz w:val="20"/>
          <w:szCs w:val="20"/>
          <w:color w:val="auto"/>
        </w:rPr>
      </w:pPr>
    </w:p>
    <w:p>
      <w:pPr>
        <w:ind w:left="652" w:hanging="652"/>
        <w:spacing w:after="0" w:line="263" w:lineRule="auto"/>
        <w:tabs>
          <w:tab w:leader="none" w:pos="6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40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58" w:right="359" w:bottom="1440" w:gutter="0" w:footer="0" w:header="0"/>
        </w:sectPr>
      </w:pPr>
    </w:p>
    <w:bookmarkStart w:id="143" w:name="page144"/>
    <w:bookmarkEnd w:id="143"/>
    <w:p>
      <w:pPr>
        <w:ind w:left="652" w:right="400" w:hanging="652"/>
        <w:spacing w:after="0" w:line="277" w:lineRule="auto"/>
        <w:tabs>
          <w:tab w:leader="none" w:pos="65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is a company limited by shares and accordingly the liability of each member is limited to the amount (if any) unpaid on that member's shares.</w:t>
      </w:r>
    </w:p>
    <w:p>
      <w:pPr>
        <w:spacing w:after="0" w:line="170" w:lineRule="exact"/>
        <w:rPr>
          <w:sz w:val="20"/>
          <w:szCs w:val="20"/>
          <w:color w:val="auto"/>
        </w:rPr>
      </w:pPr>
    </w:p>
    <w:p>
      <w:pPr>
        <w:ind w:left="652" w:hanging="652"/>
        <w:spacing w:after="0" w:line="263" w:lineRule="auto"/>
        <w:tabs>
          <w:tab w:leader="none" w:pos="6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share capital of the Company is US$10,000 divided into 100,000,000 shares of US$0.0001 par value each in accordance with Article 2.3 of the Articles of Association of the Company. However, subject to the Companies Law (Revised) and the Company’s articles of association, the Company has power to do any one or more of the following:</w:t>
      </w:r>
    </w:p>
    <w:p>
      <w:pPr>
        <w:spacing w:after="0" w:line="183" w:lineRule="exact"/>
        <w:rPr>
          <w:rFonts w:ascii="Arial" w:cs="Arial" w:eastAsia="Arial" w:hAnsi="Arial"/>
          <w:sz w:val="18"/>
          <w:szCs w:val="18"/>
          <w:color w:val="auto"/>
        </w:rPr>
      </w:pPr>
    </w:p>
    <w:p>
      <w:pPr>
        <w:ind w:left="1292" w:hanging="644"/>
        <w:spacing w:after="0"/>
        <w:tabs>
          <w:tab w:leader="none" w:pos="1292" w:val="left"/>
        </w:tabs>
        <w:numPr>
          <w:ilvl w:val="1"/>
          <w:numId w:val="78"/>
        </w:numPr>
        <w:rPr>
          <w:rFonts w:ascii="Arial" w:cs="Arial" w:eastAsia="Arial" w:hAnsi="Arial"/>
          <w:sz w:val="18"/>
          <w:szCs w:val="18"/>
          <w:color w:val="auto"/>
        </w:rPr>
      </w:pPr>
      <w:r>
        <w:rPr>
          <w:rFonts w:ascii="Arial" w:cs="Arial" w:eastAsia="Arial" w:hAnsi="Arial"/>
          <w:sz w:val="18"/>
          <w:szCs w:val="18"/>
          <w:color w:val="auto"/>
        </w:rPr>
        <w:t>to redeem or repurchase any of its shares; and</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78"/>
        </w:numPr>
        <w:rPr>
          <w:rFonts w:ascii="Arial" w:cs="Arial" w:eastAsia="Arial" w:hAnsi="Arial"/>
          <w:sz w:val="18"/>
          <w:szCs w:val="18"/>
          <w:color w:val="auto"/>
        </w:rPr>
      </w:pPr>
      <w:r>
        <w:rPr>
          <w:rFonts w:ascii="Arial" w:cs="Arial" w:eastAsia="Arial" w:hAnsi="Arial"/>
          <w:sz w:val="18"/>
          <w:szCs w:val="18"/>
          <w:color w:val="auto"/>
        </w:rPr>
        <w:t>to increase or reduce its capital; and</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78"/>
        </w:numPr>
        <w:rPr>
          <w:rFonts w:ascii="Arial" w:cs="Arial" w:eastAsia="Arial" w:hAnsi="Arial"/>
          <w:sz w:val="18"/>
          <w:szCs w:val="18"/>
          <w:color w:val="auto"/>
        </w:rPr>
      </w:pPr>
      <w:r>
        <w:rPr>
          <w:rFonts w:ascii="Arial" w:cs="Arial" w:eastAsia="Arial" w:hAnsi="Arial"/>
          <w:sz w:val="18"/>
          <w:szCs w:val="18"/>
          <w:color w:val="auto"/>
        </w:rPr>
        <w:t>to issue any part of its capital (whether original, redeemed, increased or reduced):</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78"/>
        </w:numPr>
        <w:rPr>
          <w:rFonts w:ascii="Arial" w:cs="Arial" w:eastAsia="Arial" w:hAnsi="Arial"/>
          <w:sz w:val="18"/>
          <w:szCs w:val="18"/>
          <w:color w:val="auto"/>
        </w:rPr>
      </w:pPr>
      <w:r>
        <w:rPr>
          <w:rFonts w:ascii="Arial" w:cs="Arial" w:eastAsia="Arial" w:hAnsi="Arial"/>
          <w:sz w:val="18"/>
          <w:szCs w:val="18"/>
          <w:color w:val="auto"/>
        </w:rPr>
        <w:t>with or without any preferential, deferred, qualified or special rights, privileges or conditions; 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78"/>
        </w:numPr>
        <w:rPr>
          <w:rFonts w:ascii="Arial" w:cs="Arial" w:eastAsia="Arial" w:hAnsi="Arial"/>
          <w:sz w:val="18"/>
          <w:szCs w:val="18"/>
          <w:color w:val="auto"/>
        </w:rPr>
      </w:pPr>
      <w:r>
        <w:rPr>
          <w:rFonts w:ascii="Arial" w:cs="Arial" w:eastAsia="Arial" w:hAnsi="Arial"/>
          <w:sz w:val="18"/>
          <w:szCs w:val="18"/>
          <w:color w:val="auto"/>
        </w:rPr>
        <w:t>subject to any limitations or restrictions</w:t>
      </w:r>
    </w:p>
    <w:p>
      <w:pPr>
        <w:spacing w:after="0" w:line="225" w:lineRule="exact"/>
        <w:rPr>
          <w:rFonts w:ascii="Arial" w:cs="Arial" w:eastAsia="Arial" w:hAnsi="Arial"/>
          <w:sz w:val="18"/>
          <w:szCs w:val="18"/>
          <w:color w:val="auto"/>
        </w:rPr>
      </w:pPr>
    </w:p>
    <w:p>
      <w:pPr>
        <w:ind w:left="1292" w:right="260" w:hanging="644"/>
        <w:spacing w:after="0" w:line="277" w:lineRule="auto"/>
        <w:tabs>
          <w:tab w:leader="none" w:pos="1292"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and unless the condition of issue expressly declares otherwise, every issue of shares (whether declared to be ordinary, preference or otherwise) is subject to this power; or</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78"/>
        </w:numPr>
        <w:rPr>
          <w:rFonts w:ascii="Arial" w:cs="Arial" w:eastAsia="Arial" w:hAnsi="Arial"/>
          <w:sz w:val="18"/>
          <w:szCs w:val="18"/>
          <w:color w:val="auto"/>
        </w:rPr>
      </w:pPr>
      <w:r>
        <w:rPr>
          <w:rFonts w:ascii="Arial" w:cs="Arial" w:eastAsia="Arial" w:hAnsi="Arial"/>
          <w:sz w:val="18"/>
          <w:szCs w:val="18"/>
          <w:color w:val="auto"/>
        </w:rPr>
        <w:t>to alter any of those rights, privileges, conditions, limitations or restrictions.</w:t>
      </w:r>
    </w:p>
    <w:p>
      <w:pPr>
        <w:spacing w:after="0" w:line="225" w:lineRule="exact"/>
        <w:rPr>
          <w:sz w:val="20"/>
          <w:szCs w:val="20"/>
          <w:color w:val="auto"/>
        </w:rPr>
      </w:pPr>
    </w:p>
    <w:p>
      <w:pPr>
        <w:ind w:left="652" w:right="80" w:hanging="652"/>
        <w:spacing w:after="0" w:line="277" w:lineRule="auto"/>
        <w:tabs>
          <w:tab w:leader="none" w:pos="6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386"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12"/>
          </w:cols>
          <w:pgMar w:left="328" w:top="962" w:right="559" w:bottom="1440" w:gutter="0" w:footer="0" w:header="0"/>
        </w:sectPr>
      </w:pPr>
    </w:p>
    <w:bookmarkStart w:id="144" w:name="page145"/>
    <w:bookmarkEnd w:id="144"/>
    <w:p>
      <w:pPr>
        <w:jc w:val="center"/>
        <w:ind w:right="-159"/>
        <w:spacing w:after="0"/>
        <w:rPr>
          <w:sz w:val="20"/>
          <w:szCs w:val="20"/>
          <w:color w:val="auto"/>
        </w:rPr>
      </w:pPr>
      <w:r>
        <w:rPr>
          <w:rFonts w:ascii="Arial" w:cs="Arial" w:eastAsia="Arial" w:hAnsi="Arial"/>
          <w:sz w:val="18"/>
          <w:szCs w:val="18"/>
          <w:b w:val="1"/>
          <w:bCs w:val="1"/>
          <w:color w:val="auto"/>
        </w:rPr>
        <w:t>COMPANIES LAW (REVISED)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AMENDED AND RESTATED ARTICLES OF ASSOCIATION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(adopted by special resolution dated 7 December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520" w:firstLine="8"/>
        <w:spacing w:after="0" w:line="503" w:lineRule="auto"/>
        <w:tabs>
          <w:tab w:leader="none" w:pos="648"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interpretation and exclusion of Table A Definitions</w:t>
      </w: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these Articles, the following definitions apply:</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as appropriate:</w:t>
      </w:r>
    </w:p>
    <w:p>
      <w:pPr>
        <w:spacing w:after="0" w:line="229"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these Articles of Association as amended from time to time: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two or more particular Articles of these Articles;</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Article</w:t>
      </w:r>
      <w:r>
        <w:rPr>
          <w:rFonts w:ascii="Arial" w:cs="Arial" w:eastAsia="Arial" w:hAnsi="Arial"/>
          <w:sz w:val="18"/>
          <w:szCs w:val="18"/>
          <w:color w:val="auto"/>
        </w:rPr>
        <w:t xml:space="preserve"> refers to a particular Article of these Articles.</w:t>
      </w:r>
    </w:p>
    <w:p>
      <w:pPr>
        <w:spacing w:after="0" w:line="225" w:lineRule="exact"/>
        <w:rPr>
          <w:sz w:val="20"/>
          <w:szCs w:val="20"/>
          <w:color w:val="auto"/>
        </w:rPr>
      </w:pPr>
    </w:p>
    <w:p>
      <w:pPr>
        <w:ind w:left="640" w:right="300"/>
        <w:spacing w:after="0" w:line="503"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public holiday in the place where the Company's registered office is located, a Saturday or a Sunday;</w:t>
      </w:r>
      <w:r>
        <w:rPr>
          <w:rFonts w:ascii="Arial" w:cs="Arial" w:eastAsia="Arial" w:hAnsi="Arial"/>
          <w:sz w:val="18"/>
          <w:szCs w:val="18"/>
          <w:b w:val="1"/>
          <w:bCs w:val="1"/>
          <w:color w:val="auto"/>
        </w:rPr>
        <w:t xml:space="preserve"> Clear Days</w:t>
      </w:r>
      <w:r>
        <w:rPr>
          <w:rFonts w:ascii="Arial" w:cs="Arial" w:eastAsia="Arial" w:hAnsi="Arial"/>
          <w:sz w:val="18"/>
          <w:szCs w:val="18"/>
          <w:color w:val="auto"/>
        </w:rPr>
        <w:t>, in relation a period of notice, means that period excluding:</w:t>
      </w: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day when the notice is given or deemed to be given; and</w:t>
      </w:r>
    </w:p>
    <w:p>
      <w:pPr>
        <w:spacing w:after="0" w:line="225" w:lineRule="exact"/>
        <w:rPr>
          <w:rFonts w:ascii="Arial" w:cs="Arial" w:eastAsia="Arial" w:hAnsi="Arial"/>
          <w:sz w:val="18"/>
          <w:szCs w:val="18"/>
          <w:color w:val="auto"/>
        </w:rPr>
      </w:pPr>
    </w:p>
    <w:p>
      <w:pPr>
        <w:ind w:left="1300" w:hanging="617"/>
        <w:spacing w:after="0"/>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day for which it is given or on which it is to take effect;</w:t>
      </w:r>
    </w:p>
    <w:p>
      <w:pPr>
        <w:spacing w:after="0" w:line="221" w:lineRule="exact"/>
        <w:rPr>
          <w:sz w:val="20"/>
          <w:szCs w:val="20"/>
          <w:color w:val="auto"/>
        </w:rPr>
      </w:pPr>
    </w:p>
    <w:p>
      <w:pPr>
        <w:ind w:left="640" w:right="300"/>
        <w:spacing w:after="0" w:line="282" w:lineRule="auto"/>
        <w:rPr>
          <w:sz w:val="20"/>
          <w:szCs w:val="20"/>
          <w:color w:val="auto"/>
        </w:rPr>
      </w:pPr>
      <w:r>
        <w:rPr>
          <w:rFonts w:ascii="Arial" w:cs="Arial" w:eastAsia="Arial" w:hAnsi="Arial"/>
          <w:sz w:val="18"/>
          <w:szCs w:val="18"/>
          <w:b w:val="1"/>
          <w:bCs w:val="1"/>
          <w:color w:val="auto"/>
        </w:rPr>
        <w:t xml:space="preserve">Commission </w:t>
      </w:r>
      <w:r>
        <w:rPr>
          <w:rFonts w:ascii="Arial" w:cs="Arial" w:eastAsia="Arial" w:hAnsi="Arial"/>
          <w:sz w:val="18"/>
          <w:szCs w:val="18"/>
          <w:color w:val="auto"/>
        </w:rPr>
        <w:t>means the Securities and Exchange Commission of the United States of America or any other federal agency for the time being</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administering the Securities Act;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the above-named company;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Default Rate </w:t>
      </w:r>
      <w:r>
        <w:rPr>
          <w:rFonts w:ascii="Arial" w:cs="Arial" w:eastAsia="Arial" w:hAnsi="Arial"/>
          <w:sz w:val="18"/>
          <w:szCs w:val="18"/>
          <w:color w:val="auto"/>
        </w:rPr>
        <w:t>means 10% (ten per cent) per annum;</w:t>
      </w:r>
    </w:p>
    <w:p>
      <w:pPr>
        <w:spacing w:after="0" w:line="225" w:lineRule="exact"/>
        <w:rPr>
          <w:sz w:val="20"/>
          <w:szCs w:val="20"/>
          <w:color w:val="auto"/>
        </w:rPr>
      </w:pPr>
    </w:p>
    <w:p>
      <w:pPr>
        <w:ind w:left="640"/>
        <w:spacing w:after="0" w:line="282" w:lineRule="auto"/>
        <w:rPr>
          <w:sz w:val="20"/>
          <w:szCs w:val="20"/>
          <w:color w:val="auto"/>
        </w:rPr>
      </w:pPr>
      <w:r>
        <w:rPr>
          <w:rFonts w:ascii="Arial" w:cs="Arial" w:eastAsia="Arial" w:hAnsi="Arial"/>
          <w:sz w:val="18"/>
          <w:szCs w:val="18"/>
          <w:b w:val="1"/>
          <w:bCs w:val="1"/>
          <w:color w:val="auto"/>
        </w:rPr>
        <w:t xml:space="preserve">Designated Stock Exchanges </w:t>
      </w:r>
      <w:r>
        <w:rPr>
          <w:rFonts w:ascii="Arial" w:cs="Arial" w:eastAsia="Arial" w:hAnsi="Arial"/>
          <w:sz w:val="18"/>
          <w:szCs w:val="18"/>
          <w:color w:val="auto"/>
        </w:rPr>
        <w:t>means The Nasdaq Stock Market in the United States for so long as the Company's Shares are there listed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stock exchange on which the Company's Shares are listed for trading;</w:t>
      </w:r>
    </w:p>
    <w:p>
      <w:pPr>
        <w:spacing w:after="0" w:line="162" w:lineRule="exact"/>
        <w:rPr>
          <w:sz w:val="20"/>
          <w:szCs w:val="20"/>
          <w:color w:val="auto"/>
        </w:rPr>
      </w:pPr>
    </w:p>
    <w:p>
      <w:pPr>
        <w:ind w:left="640" w:right="160"/>
        <w:spacing w:after="0" w:line="282" w:lineRule="auto"/>
        <w:rPr>
          <w:sz w:val="20"/>
          <w:szCs w:val="20"/>
          <w:color w:val="auto"/>
        </w:rPr>
      </w:pPr>
      <w:r>
        <w:rPr>
          <w:rFonts w:ascii="Arial" w:cs="Arial" w:eastAsia="Arial" w:hAnsi="Arial"/>
          <w:sz w:val="18"/>
          <w:szCs w:val="18"/>
          <w:b w:val="1"/>
          <w:bCs w:val="1"/>
          <w:color w:val="auto"/>
        </w:rPr>
        <w:t xml:space="preserve">Designated Stock Exchange Rules </w:t>
      </w:r>
      <w:r>
        <w:rPr>
          <w:rFonts w:ascii="Arial" w:cs="Arial" w:eastAsia="Arial" w:hAnsi="Arial"/>
          <w:sz w:val="18"/>
          <w:szCs w:val="18"/>
          <w:color w:val="auto"/>
        </w:rPr>
        <w:t>means the relevant code, rules and regulations, as amended, from time to time, applicable as a result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continued listing of any Shares on the Designated Stock Exchanges;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Electronic </w:t>
      </w:r>
      <w:r>
        <w:rPr>
          <w:rFonts w:ascii="Arial" w:cs="Arial" w:eastAsia="Arial" w:hAnsi="Arial"/>
          <w:sz w:val="18"/>
          <w:szCs w:val="18"/>
          <w:color w:val="auto"/>
        </w:rPr>
        <w:t>has the meaning given to that term in the Electronic Transactions Law (Revised);</w:t>
      </w: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58" w:right="47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 xml:space="preserve">Electronic Record </w:t>
      </w:r>
      <w:r>
        <w:rPr>
          <w:rFonts w:ascii="Arial" w:cs="Arial" w:eastAsia="Arial" w:hAnsi="Arial"/>
          <w:sz w:val="18"/>
          <w:szCs w:val="18"/>
          <w:color w:val="auto"/>
        </w:rPr>
        <w:t>has the meaning given to that term in the Electronic Transactions Law (Revised);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Electronic Signature </w:t>
      </w:r>
      <w:r>
        <w:rPr>
          <w:rFonts w:ascii="Arial" w:cs="Arial" w:eastAsia="Arial" w:hAnsi="Arial"/>
          <w:sz w:val="18"/>
          <w:szCs w:val="18"/>
          <w:color w:val="auto"/>
        </w:rPr>
        <w:t>has the meaning given to that term in the Electronic Transactions Law (Revised);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Fully Paid </w:t>
      </w:r>
      <w:r>
        <w:rPr>
          <w:rFonts w:ascii="Arial" w:cs="Arial" w:eastAsia="Arial" w:hAnsi="Arial"/>
          <w:sz w:val="18"/>
          <w:szCs w:val="18"/>
          <w:color w:val="auto"/>
        </w:rPr>
        <w:t>and</w:t>
      </w:r>
      <w:r>
        <w:rPr>
          <w:rFonts w:ascii="Arial" w:cs="Arial" w:eastAsia="Arial" w:hAnsi="Arial"/>
          <w:sz w:val="18"/>
          <w:szCs w:val="18"/>
          <w:b w:val="1"/>
          <w:bCs w:val="1"/>
          <w:color w:val="auto"/>
        </w:rPr>
        <w:t xml:space="preserve"> Paid Up</w:t>
      </w:r>
      <w:r>
        <w:rPr>
          <w:rFonts w:ascii="Arial" w:cs="Arial" w:eastAsia="Arial" w:hAnsi="Arial"/>
          <w:sz w:val="18"/>
          <w:szCs w:val="18"/>
          <w:color w:val="auto"/>
        </w:rPr>
        <w:t>:</w:t>
      </w:r>
    </w:p>
    <w:p>
      <w:pPr>
        <w:spacing w:after="0" w:line="229" w:lineRule="exact"/>
        <w:rPr>
          <w:sz w:val="20"/>
          <w:szCs w:val="20"/>
          <w:color w:val="auto"/>
        </w:rPr>
      </w:pPr>
    </w:p>
    <w:p>
      <w:pPr>
        <w:ind w:left="660" w:right="360" w:hanging="644"/>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relation to a Share with par value, means that the par value for that Share and any premium payable in respect of the issue of that Share, has been fully paid or credited as paid in money or money's worth;</w:t>
      </w:r>
    </w:p>
    <w:p>
      <w:pPr>
        <w:spacing w:after="0" w:line="170" w:lineRule="exact"/>
        <w:rPr>
          <w:rFonts w:ascii="Arial" w:cs="Arial" w:eastAsia="Arial" w:hAnsi="Arial"/>
          <w:sz w:val="18"/>
          <w:szCs w:val="18"/>
          <w:color w:val="auto"/>
        </w:rPr>
      </w:pPr>
    </w:p>
    <w:p>
      <w:pPr>
        <w:ind w:left="660" w:right="40" w:hanging="617"/>
        <w:spacing w:after="0" w:line="277" w:lineRule="auto"/>
        <w:tabs>
          <w:tab w:leader="none" w:pos="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 relation to a Share without par value, means that the agreed issue price for that Share has been fully paid or credited as paid in money or money's worth;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Islands </w:t>
      </w:r>
      <w:r>
        <w:rPr>
          <w:rFonts w:ascii="Arial" w:cs="Arial" w:eastAsia="Arial" w:hAnsi="Arial"/>
          <w:sz w:val="18"/>
          <w:szCs w:val="18"/>
          <w:color w:val="auto"/>
        </w:rPr>
        <w:t>means the British Overseas Territory of the Cayman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Law </w:t>
      </w:r>
      <w:r>
        <w:rPr>
          <w:rFonts w:ascii="Arial" w:cs="Arial" w:eastAsia="Arial" w:hAnsi="Arial"/>
          <w:sz w:val="18"/>
          <w:szCs w:val="18"/>
          <w:color w:val="auto"/>
        </w:rPr>
        <w:t>means the Companies Law (Revised);</w:t>
      </w:r>
    </w:p>
    <w:p>
      <w:pPr>
        <w:spacing w:after="0" w:line="225" w:lineRule="exact"/>
        <w:rPr>
          <w:sz w:val="20"/>
          <w:szCs w:val="20"/>
          <w:color w:val="auto"/>
        </w:rPr>
      </w:pPr>
    </w:p>
    <w:p>
      <w:pPr>
        <w:ind w:right="2040"/>
        <w:spacing w:after="0" w:line="530" w:lineRule="auto"/>
        <w:rPr>
          <w:sz w:val="20"/>
          <w:szCs w:val="20"/>
          <w:color w:val="auto"/>
        </w:rPr>
      </w:pPr>
      <w:r>
        <w:rPr>
          <w:rFonts w:ascii="Arial" w:cs="Arial" w:eastAsia="Arial" w:hAnsi="Arial"/>
          <w:sz w:val="17"/>
          <w:szCs w:val="17"/>
          <w:b w:val="1"/>
          <w:bCs w:val="1"/>
          <w:color w:val="auto"/>
        </w:rPr>
        <w:t xml:space="preserve">Member </w:t>
      </w:r>
      <w:r>
        <w:rPr>
          <w:rFonts w:ascii="Arial" w:cs="Arial" w:eastAsia="Arial" w:hAnsi="Arial"/>
          <w:sz w:val="17"/>
          <w:szCs w:val="17"/>
          <w:color w:val="auto"/>
        </w:rPr>
        <w:t>means any person or persons entered on the register of members from time to time as the holder of a Share;</w:t>
      </w:r>
      <w:r>
        <w:rPr>
          <w:rFonts w:ascii="Arial" w:cs="Arial" w:eastAsia="Arial" w:hAnsi="Arial"/>
          <w:sz w:val="17"/>
          <w:szCs w:val="17"/>
          <w:b w:val="1"/>
          <w:bCs w:val="1"/>
          <w:color w:val="auto"/>
        </w:rPr>
        <w:t xml:space="preserve"> Memorandum </w:t>
      </w:r>
      <w:r>
        <w:rPr>
          <w:rFonts w:ascii="Arial" w:cs="Arial" w:eastAsia="Arial" w:hAnsi="Arial"/>
          <w:sz w:val="17"/>
          <w:szCs w:val="17"/>
          <w:color w:val="auto"/>
        </w:rPr>
        <w:t>means the Memorandum of Association of the Company as amended from time to time;</w:t>
      </w:r>
    </w:p>
    <w:p>
      <w:pPr>
        <w:spacing w:after="0" w:line="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means a person appointed to hold an office in the Company; and the expression includes a director or liquidator, but does not include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w:t>
      </w:r>
    </w:p>
    <w:p>
      <w:pPr>
        <w:spacing w:after="0" w:line="16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Ordinary Resolution </w:t>
      </w:r>
      <w:r>
        <w:rPr>
          <w:rFonts w:ascii="Arial" w:cs="Arial" w:eastAsia="Arial" w:hAnsi="Arial"/>
          <w:sz w:val="18"/>
          <w:szCs w:val="18"/>
          <w:color w:val="auto"/>
        </w:rPr>
        <w:t>means a resolution of a duly constituted general meeting of the Company passed by a simple majority of the votes cast by,</w:t>
      </w:r>
      <w:r>
        <w:rPr>
          <w:rFonts w:ascii="Arial" w:cs="Arial" w:eastAsia="Arial" w:hAnsi="Arial"/>
          <w:sz w:val="18"/>
          <w:szCs w:val="18"/>
          <w:b w:val="1"/>
          <w:bCs w:val="1"/>
          <w:color w:val="auto"/>
        </w:rPr>
        <w:t xml:space="preserve"> </w:t>
      </w:r>
      <w:r>
        <w:rPr>
          <w:rFonts w:ascii="Arial" w:cs="Arial" w:eastAsia="Arial" w:hAnsi="Arial"/>
          <w:sz w:val="18"/>
          <w:szCs w:val="18"/>
          <w:color w:val="auto"/>
        </w:rPr>
        <w:t>or on behalf of, the Members entitled to vote. The expression also includes a unanimous written resolution;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Secretary </w:t>
      </w:r>
      <w:r>
        <w:rPr>
          <w:rFonts w:ascii="Arial" w:cs="Arial" w:eastAsia="Arial" w:hAnsi="Arial"/>
          <w:sz w:val="16"/>
          <w:szCs w:val="16"/>
          <w:color w:val="auto"/>
        </w:rPr>
        <w:t>means a person appointed to perform the duties of the secretary of the Company, including a joint, assistant or deputy secretary;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means a share in the share capital of the Company; and the expression:</w:t>
      </w:r>
    </w:p>
    <w:p>
      <w:pPr>
        <w:spacing w:after="0" w:line="229" w:lineRule="exact"/>
        <w:rPr>
          <w:sz w:val="20"/>
          <w:szCs w:val="20"/>
          <w:color w:val="auto"/>
        </w:rPr>
      </w:pPr>
    </w:p>
    <w:p>
      <w:pPr>
        <w:ind w:left="660" w:hanging="644"/>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stock (except where a distinction between shares and stock is expressed or implied); and</w:t>
      </w:r>
    </w:p>
    <w:p>
      <w:pPr>
        <w:spacing w:after="0" w:line="225" w:lineRule="exact"/>
        <w:rPr>
          <w:rFonts w:ascii="Arial" w:cs="Arial" w:eastAsia="Arial" w:hAnsi="Arial"/>
          <w:sz w:val="18"/>
          <w:szCs w:val="18"/>
          <w:color w:val="auto"/>
        </w:rPr>
      </w:pPr>
    </w:p>
    <w:p>
      <w:pPr>
        <w:ind w:left="660" w:hanging="617"/>
        <w:spacing w:after="0"/>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where the context permits, also includes a fraction of a share;</w:t>
      </w:r>
    </w:p>
    <w:p>
      <w:pPr>
        <w:spacing w:after="0" w:line="221" w:lineRule="exact"/>
        <w:rPr>
          <w:sz w:val="20"/>
          <w:szCs w:val="20"/>
          <w:color w:val="auto"/>
        </w:rPr>
      </w:pPr>
    </w:p>
    <w:p>
      <w:pPr>
        <w:ind w:right="1300"/>
        <w:spacing w:after="0" w:line="530" w:lineRule="auto"/>
        <w:rPr>
          <w:sz w:val="20"/>
          <w:szCs w:val="20"/>
          <w:color w:val="auto"/>
        </w:rPr>
      </w:pPr>
      <w:r>
        <w:rPr>
          <w:rFonts w:ascii="Arial" w:cs="Arial" w:eastAsia="Arial" w:hAnsi="Arial"/>
          <w:sz w:val="17"/>
          <w:szCs w:val="17"/>
          <w:b w:val="1"/>
          <w:bCs w:val="1"/>
          <w:color w:val="auto"/>
        </w:rPr>
        <w:t xml:space="preserve">Special Resolution </w:t>
      </w:r>
      <w:r>
        <w:rPr>
          <w:rFonts w:ascii="Arial" w:cs="Arial" w:eastAsia="Arial" w:hAnsi="Arial"/>
          <w:sz w:val="17"/>
          <w:szCs w:val="17"/>
          <w:color w:val="auto"/>
        </w:rPr>
        <w:t>has the meaning given to that term in the Law; and the expression includes a unanimous written resolution;</w:t>
      </w:r>
      <w:r>
        <w:rPr>
          <w:rFonts w:ascii="Arial" w:cs="Arial" w:eastAsia="Arial" w:hAnsi="Arial"/>
          <w:sz w:val="17"/>
          <w:szCs w:val="17"/>
          <w:b w:val="1"/>
          <w:bCs w:val="1"/>
          <w:color w:val="auto"/>
        </w:rPr>
        <w:t xml:space="preserve"> Treasury Shares </w:t>
      </w:r>
      <w:r>
        <w:rPr>
          <w:rFonts w:ascii="Arial" w:cs="Arial" w:eastAsia="Arial" w:hAnsi="Arial"/>
          <w:sz w:val="17"/>
          <w:szCs w:val="17"/>
          <w:color w:val="auto"/>
        </w:rPr>
        <w:t>means Shares of the Company held in treasury pursuant to the Law and Article 2.13.</w:t>
      </w:r>
    </w:p>
    <w:p>
      <w:pPr>
        <w:spacing w:after="0" w:line="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U.S. Securities Act </w:t>
      </w:r>
      <w:r>
        <w:rPr>
          <w:rFonts w:ascii="Arial" w:cs="Arial" w:eastAsia="Arial" w:hAnsi="Arial"/>
          <w:sz w:val="18"/>
          <w:szCs w:val="18"/>
          <w:color w:val="auto"/>
        </w:rPr>
        <w:t>means the Securities Act of 1933 of the United States, as amended, or any similar federal statue and the 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Commission thereunder, all as the same shall be in effect at the time;</w:t>
      </w:r>
    </w:p>
    <w:p>
      <w:pPr>
        <w:spacing w:after="0" w:line="38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960" w:top="958" w:right="459" w:bottom="1440" w:gutter="0" w:footer="0" w:header="0"/>
        </w:sectPr>
      </w:pPr>
    </w:p>
    <w:bookmarkStart w:id="146" w:name="page147"/>
    <w:bookmarkEnd w:id="146"/>
    <w:p>
      <w:pPr>
        <w:ind w:left="640"/>
        <w:spacing w:after="0"/>
        <w:rPr>
          <w:sz w:val="20"/>
          <w:szCs w:val="20"/>
          <w:color w:val="auto"/>
        </w:rPr>
      </w:pPr>
      <w:r>
        <w:rPr>
          <w:rFonts w:ascii="Arial" w:cs="Arial" w:eastAsia="Arial" w:hAnsi="Arial"/>
          <w:sz w:val="18"/>
          <w:szCs w:val="18"/>
          <w:b w:val="1"/>
          <w:bCs w:val="1"/>
          <w:color w:val="auto"/>
        </w:rPr>
        <w:t xml:space="preserve">United States </w:t>
      </w:r>
      <w:r>
        <w:rPr>
          <w:rFonts w:ascii="Arial" w:cs="Arial" w:eastAsia="Arial" w:hAnsi="Arial"/>
          <w:sz w:val="18"/>
          <w:szCs w:val="18"/>
          <w:color w:val="auto"/>
        </w:rPr>
        <w:t>means the United States of America, its territories, its possessions and all areas subject to tits jurisdiction;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the interpretation of these Articles, the following provisions apply unless the context otherwise requires:</w:t>
      </w:r>
    </w:p>
    <w:p>
      <w:pPr>
        <w:spacing w:after="0" w:line="225"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reference in these Articles to a statute is a reference to a statute of the Islands as known by its short title, and includes:</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statutory modification, amendment or re-enactment; and</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subordinate legislation or regulations issued under that statute.</w:t>
      </w:r>
    </w:p>
    <w:p>
      <w:pPr>
        <w:spacing w:after="0" w:line="225" w:lineRule="exact"/>
        <w:rPr>
          <w:sz w:val="20"/>
          <w:szCs w:val="20"/>
          <w:color w:val="auto"/>
        </w:rPr>
      </w:pPr>
    </w:p>
    <w:p>
      <w:pPr>
        <w:ind w:left="1280"/>
        <w:spacing w:after="0" w:line="277" w:lineRule="auto"/>
        <w:rPr>
          <w:sz w:val="20"/>
          <w:szCs w:val="20"/>
          <w:color w:val="auto"/>
        </w:rPr>
      </w:pPr>
      <w:r>
        <w:rPr>
          <w:rFonts w:ascii="Arial" w:cs="Arial" w:eastAsia="Arial" w:hAnsi="Arial"/>
          <w:sz w:val="18"/>
          <w:szCs w:val="18"/>
          <w:color w:val="auto"/>
        </w:rPr>
        <w:t>Without limitation to the preceding sentence, a reference to a revised Law of the Cayman Islands is taken to be a reference to the revision of that Law in force from time to time as amended from time to time.</w:t>
      </w:r>
    </w:p>
    <w:p>
      <w:pPr>
        <w:spacing w:after="0" w:line="170"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Headings are inserted for convenience only and do not affect the interpretation of these Articles, unless there is ambiguity.</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 day on which any act, matter or thing is to be done under these Articles is not a Business Day, the act, matter or thing must be done on the next Business Day.</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word which denotes the singular also denotes the plural, a word which denotes the plural also denotes the singular, and a reference to any gender also denotes the other genders.</w:t>
      </w:r>
    </w:p>
    <w:p>
      <w:pPr>
        <w:spacing w:after="0" w:line="166" w:lineRule="exact"/>
        <w:rPr>
          <w:rFonts w:ascii="Arial" w:cs="Arial" w:eastAsia="Arial" w:hAnsi="Arial"/>
          <w:sz w:val="18"/>
          <w:szCs w:val="18"/>
          <w:color w:val="auto"/>
        </w:rPr>
      </w:pPr>
    </w:p>
    <w:p>
      <w:pPr>
        <w:ind w:left="1300" w:right="60" w:hanging="644"/>
        <w:spacing w:after="0" w:line="282"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 reference to 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as appropriate, a company, trust, partnership, joint venture, association, body corporate or government agency.</w:t>
      </w:r>
    </w:p>
    <w:p>
      <w:pPr>
        <w:spacing w:after="0" w:line="165"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Where a word or phrase is given a defined meaning another part of speech or grammatical form in respect to that word or phrase has a corresponding meaning.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All references to time are to be calculated by reference to time in the place where the Company's registered office is located.</w:t>
      </w:r>
    </w:p>
    <w:p>
      <w:pPr>
        <w:spacing w:after="0" w:line="232" w:lineRule="exact"/>
        <w:rPr>
          <w:rFonts w:ascii="Arial" w:cs="Arial" w:eastAsia="Arial" w:hAnsi="Arial"/>
          <w:sz w:val="17"/>
          <w:szCs w:val="17"/>
          <w:color w:val="auto"/>
        </w:rPr>
      </w:pPr>
    </w:p>
    <w:p>
      <w:pPr>
        <w:ind w:left="1300" w:right="520" w:hanging="644"/>
        <w:spacing w:after="0" w:line="347" w:lineRule="auto"/>
        <w:tabs>
          <w:tab w:leader="none" w:pos="13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The words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and </w:t>
      </w:r>
      <w:r>
        <w:rPr>
          <w:rFonts w:ascii="Arial" w:cs="Arial" w:eastAsia="Arial" w:hAnsi="Arial"/>
          <w:sz w:val="16"/>
          <w:szCs w:val="16"/>
          <w:b w:val="1"/>
          <w:bCs w:val="1"/>
          <w:color w:val="auto"/>
        </w:rPr>
        <w:t>in writing</w:t>
      </w:r>
      <w:r>
        <w:rPr>
          <w:rFonts w:ascii="Arial" w:cs="Arial" w:eastAsia="Arial" w:hAnsi="Arial"/>
          <w:sz w:val="16"/>
          <w:szCs w:val="16"/>
          <w:color w:val="auto"/>
        </w:rPr>
        <w:t xml:space="preserve"> include all modes of representing or reproducing words in a visible form, but do not include an Electronic Record where the distinction between a document in writing and an Electronic Record is expressed or implied.</w:t>
      </w:r>
    </w:p>
    <w:p>
      <w:pPr>
        <w:spacing w:after="0" w:line="115" w:lineRule="exact"/>
        <w:rPr>
          <w:rFonts w:ascii="Arial" w:cs="Arial" w:eastAsia="Arial" w:hAnsi="Arial"/>
          <w:sz w:val="16"/>
          <w:szCs w:val="16"/>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words </w:t>
      </w:r>
      <w:r>
        <w:rPr>
          <w:rFonts w:ascii="Arial" w:cs="Arial" w:eastAsia="Arial" w:hAnsi="Arial"/>
          <w:sz w:val="18"/>
          <w:szCs w:val="18"/>
          <w:b w:val="1"/>
          <w:bCs w:val="1"/>
          <w:color w:val="auto"/>
        </w:rPr>
        <w:t>including</w:t>
      </w:r>
      <w:r>
        <w:rPr>
          <w:rFonts w:ascii="Arial" w:cs="Arial" w:eastAsia="Arial" w:hAnsi="Arial"/>
          <w:sz w:val="18"/>
          <w:szCs w:val="18"/>
          <w:color w:val="auto"/>
        </w:rPr>
        <w:t xml:space="preserve">, </w:t>
      </w:r>
      <w:r>
        <w:rPr>
          <w:rFonts w:ascii="Arial" w:cs="Arial" w:eastAsia="Arial" w:hAnsi="Arial"/>
          <w:sz w:val="18"/>
          <w:szCs w:val="18"/>
          <w:b w:val="1"/>
          <w:bCs w:val="1"/>
          <w:color w:val="auto"/>
        </w:rPr>
        <w:t>include</w:t>
      </w:r>
      <w:r>
        <w:rPr>
          <w:rFonts w:ascii="Arial" w:cs="Arial" w:eastAsia="Arial" w:hAnsi="Arial"/>
          <w:sz w:val="18"/>
          <w:szCs w:val="18"/>
          <w:color w:val="auto"/>
        </w:rPr>
        <w:t xml:space="preserve"> and </w:t>
      </w:r>
      <w:r>
        <w:rPr>
          <w:rFonts w:ascii="Arial" w:cs="Arial" w:eastAsia="Arial" w:hAnsi="Arial"/>
          <w:sz w:val="18"/>
          <w:szCs w:val="18"/>
          <w:b w:val="1"/>
          <w:bCs w:val="1"/>
          <w:color w:val="auto"/>
        </w:rPr>
        <w:t>in particular</w:t>
      </w:r>
      <w:r>
        <w:rPr>
          <w:rFonts w:ascii="Arial" w:cs="Arial" w:eastAsia="Arial" w:hAnsi="Arial"/>
          <w:sz w:val="18"/>
          <w:szCs w:val="18"/>
          <w:color w:val="auto"/>
        </w:rPr>
        <w:t xml:space="preserve"> or any similar expression are to be construed without limitation.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Exclusion of Table A articles</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regulations contained in Table A in the First Schedule of the Law and any other regulations contained in any statute or subordinate legislation are expressly excluded and do not apply to the Company.</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58" w:right="399" w:bottom="1440" w:gutter="0" w:footer="0" w:header="0"/>
        </w:sectPr>
      </w:pPr>
    </w:p>
    <w:bookmarkStart w:id="147" w:name="page148"/>
    <w:bookmarkEnd w:id="147"/>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issue Shares and options, with or without special rights</w:t>
      </w:r>
    </w:p>
    <w:p>
      <w:pPr>
        <w:spacing w:after="0" w:line="229"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Subject to the provisions of the Law and the Articles about the redemption and purchase of the Company's own Shares, the directors have general and unconditional authority to allot (with or without confirming rights of renunciation), grant options over or otherwise deal with any unissued Shares of the Company to such persons, at such times and on such terms and conditions as they may decide. No Share may be issued at a discount except in accordance with the provisions of the Law.</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Without limitation to the preceding Article, the directors may so deal with the unissued Shares of the Company:</w:t>
      </w:r>
    </w:p>
    <w:p>
      <w:pPr>
        <w:spacing w:after="0" w:line="225"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either at a premium or at par;</w:t>
      </w:r>
    </w:p>
    <w:p>
      <w:pPr>
        <w:spacing w:after="0" w:line="225"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with or without preferred, deferred or other special rights or restrictions whether in regard to dividend, voting, return of capital or otherwise.</w:t>
      </w:r>
    </w:p>
    <w:p>
      <w:pPr>
        <w:spacing w:after="0" w:line="170" w:lineRule="exact"/>
        <w:rPr>
          <w:sz w:val="20"/>
          <w:szCs w:val="20"/>
          <w:color w:val="auto"/>
        </w:rPr>
      </w:pPr>
    </w:p>
    <w:p>
      <w:pPr>
        <w:ind w:left="660" w:right="160" w:hanging="647"/>
        <w:spacing w:after="0" w:line="259"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Subject to Article 2.8, the directors may authorise the division of Shares into any number of classes and the different classes shall be authorised, established and designated (or re-designated, as the case may be) and the difference in the relative rights (including, without limitation, voting, dividend and redemption rights), restrictions, preferences, privileges and payment obligations as between the different classes (if any) may be fixed and determined by the directors or by a Special Resolution.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issue fractions of a Share</w:t>
      </w:r>
    </w:p>
    <w:p>
      <w:pPr>
        <w:spacing w:after="0" w:line="229"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Subject to the Law,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pay commissions and brokerage fees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The Company may pay a commission to any person in consideration of that person:</w:t>
      </w:r>
    </w:p>
    <w:p>
      <w:pPr>
        <w:spacing w:after="0" w:line="225"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subscribing or agreeing to subscribe, whether absolutely or conditionally;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procuring or agreeing to procure subscriptions, whether absolute or conditional</w:t>
      </w:r>
    </w:p>
    <w:p>
      <w:pPr>
        <w:spacing w:after="0" w:line="225"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color w:val="auto"/>
        </w:rPr>
        <w:t>for any Shares in the Company. That commission may be satisfied by the payment of cash or the allotment of Fully Paid or partly-paid Shares or partly in one way and partly in another.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The Company may employ a broker in the issue of its capital and pay him any proper commission or brokerage.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58" w:right="39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Trusts not recognised</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Except as required by law:</w:t>
      </w:r>
    </w:p>
    <w:p>
      <w:pPr>
        <w:spacing w:after="0" w:line="225"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person shall be recognised by the Company as holding any Share on any trust;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person other than the Member shall be recognised by the Company as having any right in a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vary class rights</w:t>
      </w:r>
    </w:p>
    <w:p>
      <w:pPr>
        <w:spacing w:after="0" w:line="229" w:lineRule="exact"/>
        <w:rPr>
          <w:sz w:val="20"/>
          <w:szCs w:val="20"/>
          <w:color w:val="auto"/>
        </w:rPr>
      </w:pPr>
    </w:p>
    <w:p>
      <w:pPr>
        <w:ind w:left="660" w:right="420" w:hanging="647"/>
        <w:spacing w:after="0" w:line="277"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If the share capital is divided into different classes of Shares then, unless the terms on which a class of Shares was issued state otherwise, the rights attaching to a class of Shares may only be varied if one of the following applies:</w:t>
      </w:r>
    </w:p>
    <w:p>
      <w:pPr>
        <w:spacing w:after="0" w:line="170"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Members holding two thirds of the issued Shares of that class consent in writing to the variation; or</w:t>
      </w:r>
    </w:p>
    <w:p>
      <w:pPr>
        <w:spacing w:after="0" w:line="225"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variation is made with the sanction of a Special Resolution passed at a separate general meeting of the Members holding the issued Shares of that class.</w:t>
      </w:r>
    </w:p>
    <w:p>
      <w:pPr>
        <w:spacing w:after="0" w:line="170" w:lineRule="exact"/>
        <w:rPr>
          <w:sz w:val="20"/>
          <w:szCs w:val="20"/>
          <w:color w:val="auto"/>
        </w:rPr>
      </w:pPr>
    </w:p>
    <w:p>
      <w:pPr>
        <w:ind w:left="660" w:right="580" w:hanging="647"/>
        <w:spacing w:after="0" w:line="277" w:lineRule="auto"/>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For the purpose of paragraph 2.8(b), all the provisions of these Articles relating to general meetings apply, mutatis mutandis, to every such separate meeting except that:</w:t>
      </w:r>
    </w:p>
    <w:p>
      <w:pPr>
        <w:spacing w:after="0" w:line="170" w:lineRule="exact"/>
        <w:rPr>
          <w:sz w:val="20"/>
          <w:szCs w:val="20"/>
          <w:color w:val="auto"/>
        </w:rPr>
      </w:pPr>
    </w:p>
    <w:p>
      <w:pPr>
        <w:ind w:left="1300" w:right="180" w:hanging="644"/>
        <w:spacing w:after="0" w:line="277"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necessary quorum shall be one or more persons holding, or representing by proxy, not less than one third of the issued Shares of the class; and</w:t>
      </w:r>
    </w:p>
    <w:p>
      <w:pPr>
        <w:spacing w:after="0" w:line="170" w:lineRule="exact"/>
        <w:rPr>
          <w:rFonts w:ascii="Arial" w:cs="Arial" w:eastAsia="Arial" w:hAnsi="Arial"/>
          <w:sz w:val="18"/>
          <w:szCs w:val="18"/>
          <w:color w:val="auto"/>
        </w:rPr>
      </w:pPr>
    </w:p>
    <w:p>
      <w:pPr>
        <w:ind w:left="1300" w:right="760" w:hanging="644"/>
        <w:spacing w:after="0" w:line="277"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Member holding issued Shares of the class, present in person or by proxy or, in the case of a corporate Member, by its duly authorised representative, may demand a poll.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Share issue on existing class rights</w:t>
      </w:r>
    </w:p>
    <w:p>
      <w:pPr>
        <w:spacing w:after="0" w:line="229" w:lineRule="exact"/>
        <w:rPr>
          <w:sz w:val="20"/>
          <w:szCs w:val="20"/>
          <w:color w:val="auto"/>
        </w:rPr>
      </w:pPr>
    </w:p>
    <w:p>
      <w:pPr>
        <w:ind w:left="660" w:right="160" w:hanging="647"/>
        <w:spacing w:after="0" w:line="308" w:lineRule="auto"/>
        <w:tabs>
          <w:tab w:leader="none" w:pos="6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7"/>
          <w:szCs w:val="17"/>
          <w:color w:val="auto"/>
        </w:rPr>
        <w:t>Unless the terms on which a class of Shares was issued state otherwise, the rights conferred on the Member holding Shares of any class shall not be deemed to be varied by the creation or issue of further Shares ranking pari passu with the existing Shares of that class.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 without issue of further Shares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With the consent of a Member, the directors may accept a voluntary contribution to the capital of the Company from that Member without issuing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in consideration for that contribution. In that event, the contribution shall be dealt with in the following manner:</w:t>
      </w:r>
    </w:p>
    <w:p>
      <w:pPr>
        <w:spacing w:after="0" w:line="211" w:lineRule="exact"/>
        <w:rPr>
          <w:sz w:val="20"/>
          <w:szCs w:val="20"/>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It shall be treated as if it were a share premium.</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Unless the Member agrees otherwise:</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if the Member holds Shares in a single class of Shares - it shall be credited to the share premium account for that class of Shares;</w:t>
      </w:r>
    </w:p>
    <w:p>
      <w:pPr>
        <w:spacing w:after="0" w:line="248" w:lineRule="exact"/>
        <w:rPr>
          <w:rFonts w:ascii="Arial" w:cs="Arial" w:eastAsia="Arial" w:hAnsi="Arial"/>
          <w:sz w:val="16"/>
          <w:szCs w:val="16"/>
          <w:color w:val="auto"/>
        </w:rPr>
      </w:pPr>
    </w:p>
    <w:p>
      <w:pPr>
        <w:ind w:left="1920" w:hanging="643"/>
        <w:spacing w:after="0" w:line="263" w:lineRule="auto"/>
        <w:tabs>
          <w:tab w:leader="none" w:pos="19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the Member holds Shares of more than one class - it shall be credited rateably to the share premium accounts for those classes of Shares (in the proportion that the sum of the issue prices for each class of Shares that the Member holds bears to the total issue prices for all classes of Shares that the Member holds).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149" w:name="page150"/>
    <w:bookmarkEnd w:id="149"/>
    <w:p>
      <w:pPr>
        <w:ind w:left="1300" w:hanging="644"/>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It shall be subject to the provisions of the Law and these Articles applicable to share premiums.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bearer Shares or warrants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color w:val="auto"/>
        </w:rPr>
        <w:t>The Company shall not issue Shares or warrants to bearers.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Shares</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Shares that the Company purchases, redeems or acquires by way of surrender in accordance with the Law shall be held as Treasury Shares and not treated as cancelled if:</w:t>
      </w:r>
    </w:p>
    <w:p>
      <w:pPr>
        <w:spacing w:after="0" w:line="170"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directors so determine prior to the purchase, redemption or surrender of those shares;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relevant provisions of the Memorandum and Articles and the Law are otherwise complied 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attaching to Treasury Shares and related matters</w:t>
      </w:r>
    </w:p>
    <w:p>
      <w:pPr>
        <w:spacing w:after="0" w:line="229"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The Company shall be entered in the Register as the holder of the Treasury Shares. However:</w:t>
      </w:r>
    </w:p>
    <w:p>
      <w:pPr>
        <w:spacing w:after="0" w:line="225" w:lineRule="exact"/>
        <w:rPr>
          <w:sz w:val="20"/>
          <w:szCs w:val="20"/>
          <w:color w:val="auto"/>
        </w:rPr>
      </w:pPr>
    </w:p>
    <w:p>
      <w:pPr>
        <w:ind w:left="1300" w:right="40" w:hanging="644"/>
        <w:spacing w:after="0" w:line="277"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shall not be treated as a member for any purpose and shall not exercise any right in respect of the Treasury Shares, and any purported exercise of such a right shall be void;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Treasury Share shall not be voted, directly or indirectly, at any meeting of the Company and shall not be counted in determining the total number of issued shares at any given time, whether for the purposes of these Articles or the Law.</w:t>
      </w:r>
    </w:p>
    <w:p>
      <w:pPr>
        <w:spacing w:after="0" w:line="170" w:lineRule="exact"/>
        <w:rPr>
          <w:sz w:val="20"/>
          <w:szCs w:val="20"/>
          <w:color w:val="auto"/>
        </w:rPr>
      </w:pPr>
    </w:p>
    <w:p>
      <w:pPr>
        <w:ind w:left="660" w:right="180" w:hanging="647"/>
        <w:spacing w:after="0" w:line="277" w:lineRule="auto"/>
        <w:tabs>
          <w:tab w:leader="none" w:pos="6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Nothing in the preceding Article prevents an allotment of Shares as fully paid bonus shares in respect of a Treasury Share and Shares allotted as fully paid bonus shares in respect of a Treasury Share shall be treated as Treasury Shares.</w:t>
      </w:r>
    </w:p>
    <w:p>
      <w:pPr>
        <w:spacing w:after="0" w:line="170" w:lineRule="exact"/>
        <w:rPr>
          <w:sz w:val="20"/>
          <w:szCs w:val="20"/>
          <w:color w:val="auto"/>
        </w:rPr>
      </w:pPr>
    </w:p>
    <w:p>
      <w:pPr>
        <w:ind w:left="660" w:right="360" w:hanging="647"/>
        <w:spacing w:after="0" w:line="277" w:lineRule="auto"/>
        <w:tabs>
          <w:tab w:leader="none" w:pos="6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color w:val="auto"/>
        </w:rPr>
        <w:t>Treasury Shares may be disposed of by the Company in accordance with the Law and otherwise on such terms and conditions as the directors determine.</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62" w:right="379" w:bottom="1440" w:gutter="0" w:footer="0" w:header="0"/>
        </w:sectPr>
      </w:pPr>
    </w:p>
    <w:bookmarkStart w:id="150" w:name="page151"/>
    <w:bookmarkEnd w:id="150"/>
    <w:p>
      <w:pPr>
        <w:jc w:val="both"/>
        <w:ind w:right="9120" w:firstLine="8"/>
        <w:spacing w:after="0" w:line="603" w:lineRule="auto"/>
        <w:tabs>
          <w:tab w:leader="none" w:pos="648"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Share certificates Issue of share certificates</w:t>
      </w:r>
    </w:p>
    <w:p>
      <w:pPr>
        <w:spacing w:after="0" w:line="1"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directors may determine that Shares may be represented by book-entry only without the need for a certificate. Subject to such determination, upon being entered in the register of members as the holder of a Share, a Member shall be entitled:</w:t>
      </w:r>
    </w:p>
    <w:p>
      <w:pPr>
        <w:spacing w:after="0" w:line="170" w:lineRule="exact"/>
        <w:rPr>
          <w:sz w:val="20"/>
          <w:szCs w:val="20"/>
          <w:color w:val="auto"/>
        </w:rPr>
      </w:pPr>
    </w:p>
    <w:p>
      <w:pPr>
        <w:ind w:left="1300" w:right="140" w:hanging="644"/>
        <w:spacing w:after="0" w:line="277" w:lineRule="auto"/>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without payment, to one certificate for all the Shares of each class held by that Member (and, upon transferring a part of the Member's holding of Shares of any class, to a certificate for the balance of that holding); and</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upon payment of such reasonable sum as the directors may determine for every certificate after the first, to several certificates each for one or more of that Member's Shares.</w:t>
      </w:r>
    </w:p>
    <w:p>
      <w:pPr>
        <w:spacing w:after="0" w:line="170" w:lineRule="exact"/>
        <w:rPr>
          <w:sz w:val="20"/>
          <w:szCs w:val="20"/>
          <w:color w:val="auto"/>
        </w:rPr>
      </w:pPr>
    </w:p>
    <w:p>
      <w:pPr>
        <w:ind w:left="660" w:right="100" w:hanging="647"/>
        <w:spacing w:after="0" w:line="308"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Every certificate shall specify the number, class and distinguishing numbers (if any) of the Shares to which it relates and whether they are Fully Paid or partly paid up. A certificate may be executed under seal or executed in such other manner as the directors determine.</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Every certificate shall bear legends required under the applicable laws, including the U.S. Securities Act.</w:t>
      </w:r>
    </w:p>
    <w:p>
      <w:pPr>
        <w:spacing w:after="0" w:line="225" w:lineRule="exact"/>
        <w:rPr>
          <w:sz w:val="20"/>
          <w:szCs w:val="20"/>
          <w:color w:val="auto"/>
        </w:rPr>
      </w:pPr>
    </w:p>
    <w:p>
      <w:pPr>
        <w:ind w:left="660" w:right="200" w:hanging="647"/>
        <w:spacing w:after="0" w:line="277"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Company shall not be bound to issue more than one certificate for Shares held jointly by several persons and delivery of a certificate for a Share to one joint holder shall be a sufficient delivery to all of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Renewal of lost or damaged share certificates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If a share certificate is defaced, worn-out, lost or destroyed, it may be renewed on such terms (if any) as to:</w:t>
      </w:r>
    </w:p>
    <w:p>
      <w:pPr>
        <w:spacing w:after="0" w:line="225"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evidence;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indemnity;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payment of the expenses reasonably incurred by the Company in investigating the evidence;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payment of a reasonable fee, if any, for issuing a replacement share certificate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the directors may determine, and (in the case of defacement or wearing-out) on delivery to the Company of the old certificate.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58" w:right="479" w:bottom="1440" w:gutter="0" w:footer="0" w:header="0"/>
        </w:sectPr>
      </w:pPr>
    </w:p>
    <w:bookmarkStart w:id="151" w:name="page152"/>
    <w:bookmarkEnd w:id="151"/>
    <w:p>
      <w:pPr>
        <w:jc w:val="both"/>
        <w:ind w:right="9320" w:firstLine="8"/>
        <w:spacing w:after="0" w:line="566" w:lineRule="auto"/>
        <w:tabs>
          <w:tab w:leader="none" w:pos="648"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Lien on Shares Nature and scope of lien</w:t>
      </w:r>
    </w:p>
    <w:p>
      <w:pPr>
        <w:ind w:left="660" w:right="380" w:hanging="647"/>
        <w:spacing w:after="0" w:line="308"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The Company has a first and paramount lien on all Shares (whether Fully Paid or not) registered in the name of a Member (whether solely or jointly with others). The lien is for all moneys payable to the Company by the Member or the Member's estate:</w:t>
      </w:r>
    </w:p>
    <w:p>
      <w:pPr>
        <w:spacing w:after="0" w:line="146" w:lineRule="exact"/>
        <w:rPr>
          <w:sz w:val="20"/>
          <w:szCs w:val="20"/>
          <w:color w:val="auto"/>
        </w:rPr>
      </w:pPr>
    </w:p>
    <w:p>
      <w:pPr>
        <w:ind w:left="1300" w:hanging="644"/>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either alone or jointly with any other person, whether or not that other person is a Member;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whether or not those moneys are presently payable.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At any time the directors may declare any Share to be wholly or partly exempt from the provisions of this Article.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may sell Shares to satisfy lien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Company may sell any Shares over which it has a lien if all of the following conditions are met:</w:t>
      </w:r>
    </w:p>
    <w:p>
      <w:pPr>
        <w:spacing w:after="0" w:line="225"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sum in respect of which the lien exists is presently payable;</w:t>
      </w:r>
    </w:p>
    <w:p>
      <w:pPr>
        <w:spacing w:after="0" w:line="225" w:lineRule="exact"/>
        <w:rPr>
          <w:rFonts w:ascii="Arial" w:cs="Arial" w:eastAsia="Arial" w:hAnsi="Arial"/>
          <w:sz w:val="18"/>
          <w:szCs w:val="18"/>
          <w:color w:val="auto"/>
        </w:rPr>
      </w:pPr>
    </w:p>
    <w:p>
      <w:pPr>
        <w:ind w:left="1300" w:right="160" w:hanging="644"/>
        <w:spacing w:after="0" w:line="308" w:lineRule="auto"/>
        <w:tabs>
          <w:tab w:leader="none" w:pos="1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Company gives notice to the Member holding the Share (or to the person entitled to it in consequence of the death or bankruptcy of that Member) demanding payment and stating that if the notice is not complied with the Shares may be sold; and</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that sum is not paid within 14 Clear Days after that notice is deemed to be given under these Articles.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The Shares may be sold in such manner as the directors determine.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To the maximum extent permitted by law, the directors shall incur no personal liability to the Member concerned in respect of the sale.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Authority to execute instrument of transfer</w:t>
      </w:r>
    </w:p>
    <w:p>
      <w:pPr>
        <w:spacing w:after="0" w:line="229"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To give effect to a sale, the directors may authorise any person to execute an instrument of transfer of the Shares sold to, or in accordance with the directions of, the purchaser. The title of the transferee of the Shares shall not be affected by any irregularity or invalidity in the proceedings in respect of the sale.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sale of Shares to satisfy lien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On sale pursuant to the preceding Articles:</w:t>
      </w:r>
    </w:p>
    <w:p>
      <w:pPr>
        <w:spacing w:after="0" w:line="225" w:lineRule="exact"/>
        <w:rPr>
          <w:sz w:val="20"/>
          <w:szCs w:val="20"/>
          <w:color w:val="auto"/>
        </w:rPr>
      </w:pPr>
    </w:p>
    <w:p>
      <w:pPr>
        <w:jc w:val="center"/>
        <w:ind w:left="5540" w:right="1440" w:hanging="4884"/>
        <w:spacing w:after="0" w:line="778"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name of the Member concerned shall be removed from the register of members as the holder of those Shares; and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58" w:right="399" w:bottom="1440" w:gutter="0" w:footer="0" w:header="0"/>
        </w:sectPr>
      </w:pPr>
    </w:p>
    <w:bookmarkStart w:id="152" w:name="page153"/>
    <w:bookmarkEnd w:id="152"/>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that person shall deliver to the Company for cancellation the certificate for those Shares.</w:t>
      </w:r>
    </w:p>
    <w:p>
      <w:pPr>
        <w:spacing w:after="0" w:line="225" w:lineRule="exact"/>
        <w:rPr>
          <w:sz w:val="20"/>
          <w:szCs w:val="20"/>
          <w:color w:val="auto"/>
        </w:rPr>
      </w:pPr>
    </w:p>
    <w:p>
      <w:pPr>
        <w:ind w:left="640" w:right="40"/>
        <w:spacing w:after="0" w:line="301" w:lineRule="auto"/>
        <w:rPr>
          <w:sz w:val="20"/>
          <w:szCs w:val="20"/>
          <w:color w:val="auto"/>
        </w:rPr>
      </w:pPr>
      <w:r>
        <w:rPr>
          <w:rFonts w:ascii="Arial" w:cs="Arial" w:eastAsia="Arial" w:hAnsi="Arial"/>
          <w:sz w:val="16"/>
          <w:szCs w:val="16"/>
          <w:color w:val="auto"/>
        </w:rPr>
        <w:t>Despite this, that person shall remain liable to the Company for all monies which, at the date of sale, were presently payable by him to the Company in respect of those Shares. That person shall also be liable to pay interest on those monies from the date of sale until payment at the rate at which interest was payable before that sale or, failing that, at the Default Rate. The directors may waive payment wholly or in part or enforce payment without any allowance for the value of the Shares at the time of sale or for any consideration received on their disposal.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proceeds of sale</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The net proceeds of the sale, after payment of the costs, shall be applied in payment of so much of the sum for which the lien exists as is presently payable. Any residue shall be paid to the person whose Shares have been sold:</w:t>
      </w:r>
    </w:p>
    <w:p>
      <w:pPr>
        <w:spacing w:after="0" w:line="170"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no certificate for the Shares was issued, at the date of the sale;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 certificate for the Shares was issued, upon surrender to the Company of that certificate for cancellation.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but, in either case, subject to the Company retaining a like lien for all sums not presently payable as existed on the Shares before the sale.</w:t>
      </w:r>
    </w:p>
    <w:p>
      <w:pPr>
        <w:spacing w:after="0" w:line="221" w:lineRule="exact"/>
        <w:rPr>
          <w:sz w:val="20"/>
          <w:szCs w:val="20"/>
          <w:color w:val="auto"/>
        </w:rPr>
      </w:pPr>
    </w:p>
    <w:p>
      <w:pPr>
        <w:jc w:val="both"/>
        <w:ind w:right="8220" w:firstLine="8"/>
        <w:spacing w:after="0" w:line="566" w:lineRule="auto"/>
        <w:tabs>
          <w:tab w:leader="none" w:pos="648"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Calls on Shares and forfeiture Power to make calls and effect of calls</w:t>
      </w:r>
    </w:p>
    <w:p>
      <w:pPr>
        <w:ind w:left="660" w:right="160" w:hanging="647"/>
        <w:spacing w:after="0" w:line="311"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Subject to the terms of allotment, the directors may make calls on the Members in respect of any moneys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spacing w:after="0" w:line="149" w:lineRule="exact"/>
        <w:rPr>
          <w:sz w:val="20"/>
          <w:szCs w:val="20"/>
          <w:color w:val="auto"/>
        </w:rPr>
      </w:pPr>
    </w:p>
    <w:p>
      <w:pPr>
        <w:ind w:left="660" w:right="60" w:hanging="647"/>
        <w:spacing w:after="0" w:line="263"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spacing w:after="0" w:line="184" w:lineRule="exact"/>
        <w:rPr>
          <w:sz w:val="20"/>
          <w:szCs w:val="20"/>
          <w:color w:val="auto"/>
        </w:rPr>
      </w:pPr>
    </w:p>
    <w:p>
      <w:pPr>
        <w:ind w:left="660" w:right="160" w:hanging="647"/>
        <w:spacing w:after="0" w:line="308"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when call made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A call shall be deemed to have been made at the time when the resolution of the directors authorising the call was passed.</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62" w:right="39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Liability of joint holders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Members registered as the joint holders of a Share shall be jointly and severally liable to pay all calls in respect of the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unpaid calls</w:t>
      </w:r>
    </w:p>
    <w:p>
      <w:pPr>
        <w:spacing w:after="0" w:line="229"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If a call remains unpaid after it has become due and payable the person from whom it is due and payable shall pay interest on the amount unpaid from the day it became due and payable until it is paid:</w:t>
      </w:r>
    </w:p>
    <w:p>
      <w:pPr>
        <w:spacing w:after="0" w:line="170"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the rate fixed by the terms of allotment of the Share or in the notice of the call;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no rate is fixed, at the Default Rate.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directors may waive payment of the interest wholly or in part.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Deemed calls</w:t>
      </w:r>
    </w:p>
    <w:p>
      <w:pPr>
        <w:spacing w:after="0" w:line="229" w:lineRule="exact"/>
        <w:rPr>
          <w:sz w:val="20"/>
          <w:szCs w:val="20"/>
          <w:color w:val="auto"/>
        </w:rPr>
      </w:pPr>
    </w:p>
    <w:p>
      <w:pPr>
        <w:ind w:left="660" w:right="320" w:hanging="647"/>
        <w:spacing w:after="0" w:line="342" w:lineRule="auto"/>
        <w:tabs>
          <w:tab w:leader="none" w:pos="6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accept early payment</w:t>
      </w:r>
    </w:p>
    <w:p>
      <w:pPr>
        <w:spacing w:after="0" w:line="229" w:lineRule="exact"/>
        <w:rPr>
          <w:sz w:val="20"/>
          <w:szCs w:val="20"/>
          <w:color w:val="auto"/>
        </w:rPr>
      </w:pPr>
    </w:p>
    <w:p>
      <w:pPr>
        <w:ind w:left="660" w:right="360" w:hanging="647"/>
        <w:spacing w:after="0" w:line="277" w:lineRule="auto"/>
        <w:tabs>
          <w:tab w:leader="none" w:pos="6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The Company may accept from a Member the whole or a part of the amount remaining unpaid on Shares held by him although no part of that amount has been called up.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make different arrangements at time of issue of Shares</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Subject to the terms of allotment, the directors may make arrangements on the issue of Shares to distinguish between Members in the amounts and times of payment of calls on their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default</w:t>
      </w:r>
    </w:p>
    <w:p>
      <w:pPr>
        <w:spacing w:after="0" w:line="229"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8"/>
          <w:szCs w:val="18"/>
          <w:color w:val="auto"/>
        </w:rPr>
        <w:t>If a call remains unpaid after it has become due and payable the directors may give to the person from whom it is due not less than 14 Clear Days' notice requiring payment of:</w:t>
      </w:r>
    </w:p>
    <w:p>
      <w:pPr>
        <w:spacing w:after="0" w:line="170"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amount unpaid;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interest which may have accrued;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expenses which have been incurred by the Company due to that person's default.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5.11</w:t>
      </w:r>
      <w:r>
        <w:rPr>
          <w:rFonts w:ascii="Arial" w:cs="Arial" w:eastAsia="Arial" w:hAnsi="Arial"/>
          <w:sz w:val="16"/>
          <w:szCs w:val="16"/>
          <w:color w:val="auto"/>
        </w:rPr>
        <w:t>The notice shall state the following:</w:t>
      </w:r>
    </w:p>
    <w:p>
      <w:pPr>
        <w:spacing w:after="0" w:line="225"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place where payment is to be made; and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58" w:right="379" w:bottom="1440" w:gutter="0" w:footer="0" w:header="0"/>
        </w:sectPr>
      </w:pPr>
    </w:p>
    <w:bookmarkStart w:id="154" w:name="page155"/>
    <w:bookmarkEnd w:id="154"/>
    <w:p>
      <w:pPr>
        <w:ind w:left="1300" w:hanging="644"/>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warning that if the notice is not complied with the Shares in respect of which the call is made will be liable to be forfeited.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 or surrender of Shares</w:t>
      </w:r>
    </w:p>
    <w:p>
      <w:pPr>
        <w:spacing w:after="0" w:line="229" w:lineRule="exact"/>
        <w:rPr>
          <w:sz w:val="20"/>
          <w:szCs w:val="20"/>
          <w:color w:val="auto"/>
        </w:rPr>
      </w:pPr>
    </w:p>
    <w:p>
      <w:pPr>
        <w:ind w:left="660" w:right="200" w:hanging="647"/>
        <w:spacing w:after="0" w:line="279" w:lineRule="auto"/>
        <w:tabs>
          <w:tab w:leader="none" w:pos="64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7"/>
          <w:szCs w:val="17"/>
          <w:color w:val="auto"/>
        </w:rPr>
        <w:t>If the notice under the preceding Article is not complied with, the directors may, before the payment required by the notice has been received, resolve that any Share the subject of that notice be forfeited. The forfeiture shall include all dividends or other moneys payable in respect of the forfeited Share and not paid before the forfeiture. Despite the foregoing, the directors may determine that any Share the subject of that notice be accepted by the Company as surrendered by the Member holding that Share in lieu of forfeiture.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Disposal of forfeited or surrendered Share and power to cancel forfeiture or surrender</w:t>
      </w:r>
    </w:p>
    <w:p>
      <w:pPr>
        <w:spacing w:after="0" w:line="229" w:lineRule="exact"/>
        <w:rPr>
          <w:sz w:val="20"/>
          <w:szCs w:val="20"/>
          <w:color w:val="auto"/>
        </w:rPr>
      </w:pPr>
    </w:p>
    <w:p>
      <w:pPr>
        <w:ind w:left="660" w:hanging="647"/>
        <w:spacing w:after="0" w:line="301" w:lineRule="auto"/>
        <w:tabs>
          <w:tab w:leader="none" w:pos="64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color w:val="auto"/>
        </w:rPr>
        <w:t>A forfeited or surrendered Share may be sold, re-allotted or otherwise disposed of on such terms and in such manner as the directors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forfeiture or surrender on former Member</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color w:val="auto"/>
        </w:rPr>
        <w:t>On forfeiture or surrender:</w:t>
      </w:r>
    </w:p>
    <w:p>
      <w:pPr>
        <w:spacing w:after="0" w:line="225" w:lineRule="exact"/>
        <w:rPr>
          <w:sz w:val="20"/>
          <w:szCs w:val="20"/>
          <w:color w:val="auto"/>
        </w:rPr>
      </w:pPr>
    </w:p>
    <w:p>
      <w:pPr>
        <w:ind w:left="1300" w:right="300" w:hanging="644"/>
        <w:spacing w:after="0" w:line="277" w:lineRule="auto"/>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name of the Member concerned shall be removed from the register of members as the holder of those Shares and that person shall cease to be a Member in respect of those Shares;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person shall surrender to the Company for cancellation the certificate (if any) for the forfeited or surrendered Shares.</w:t>
      </w:r>
    </w:p>
    <w:p>
      <w:pPr>
        <w:spacing w:after="0" w:line="225" w:lineRule="exact"/>
        <w:rPr>
          <w:sz w:val="20"/>
          <w:szCs w:val="20"/>
          <w:color w:val="auto"/>
        </w:rPr>
      </w:pPr>
    </w:p>
    <w:p>
      <w:pPr>
        <w:ind w:left="660" w:right="220" w:hanging="647"/>
        <w:spacing w:after="0" w:line="277" w:lineRule="auto"/>
        <w:tabs>
          <w:tab w:leader="none" w:pos="64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8"/>
          <w:szCs w:val="18"/>
          <w:color w:val="auto"/>
        </w:rPr>
        <w:t>Despite the forfeiture or surrender of his Shares, that person shall remain liable to the Company for all moneys which at the date of forfeiture or surrender were presently payable by him to the Company in respect of those Shares together with:</w:t>
      </w:r>
    </w:p>
    <w:p>
      <w:pPr>
        <w:spacing w:after="0" w:line="170"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expenses;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interest from the date of forfeiture or surrender until payment:</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at the rate of which interest was payable on those moneys before forfeiture; or</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if no interest was so payable, at the Default Rate.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directors, however, may waive payment wholly or in part.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2" w:right="3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Evidence of forfeiture or surrender</w:t>
      </w:r>
    </w:p>
    <w:p>
      <w:pPr>
        <w:spacing w:after="0" w:line="229"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8"/>
          <w:szCs w:val="18"/>
          <w:color w:val="auto"/>
        </w:rPr>
        <w:t>A declaration, whether statutory or under oath, made by a director or the Secretary shall be conclusive evidence of the following matters stated in it as against all persons claiming to be entitled to forfeited Shares:</w:t>
      </w:r>
    </w:p>
    <w:p>
      <w:pPr>
        <w:spacing w:after="0" w:line="170"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that the person making the declaration is a director or Secretary of the Company,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that the particular Shares have been forfeited or surrendered on a particular date.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the execution of an instrument of transfer, if necessary, the declaration shall constitute good title to the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forfeited or surrendered Shares</w:t>
      </w:r>
    </w:p>
    <w:p>
      <w:pPr>
        <w:spacing w:after="0" w:line="229" w:lineRule="exact"/>
        <w:rPr>
          <w:sz w:val="20"/>
          <w:szCs w:val="20"/>
          <w:color w:val="auto"/>
        </w:rPr>
      </w:pPr>
    </w:p>
    <w:p>
      <w:pPr>
        <w:jc w:val="center"/>
        <w:spacing w:after="0"/>
        <w:tabs>
          <w:tab w:leader="none" w:pos="32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color w:val="auto"/>
        </w:rPr>
        <w:t>Any person to whom the forfeited or surrendered Shares are disposed of shall not be bound to see to the application of the consideration, if any, of</w:t>
      </w:r>
    </w:p>
    <w:p>
      <w:pPr>
        <w:spacing w:after="0" w:line="23" w:lineRule="exact"/>
        <w:rPr>
          <w:sz w:val="20"/>
          <w:szCs w:val="20"/>
          <w:color w:val="auto"/>
        </w:rPr>
      </w:pPr>
    </w:p>
    <w:p>
      <w:pPr>
        <w:ind w:left="660" w:right="620"/>
        <w:spacing w:after="0" w:line="260" w:lineRule="auto"/>
        <w:rPr>
          <w:sz w:val="20"/>
          <w:szCs w:val="20"/>
          <w:color w:val="auto"/>
        </w:rPr>
      </w:pPr>
      <w:r>
        <w:rPr>
          <w:rFonts w:ascii="Arial" w:cs="Arial" w:eastAsia="Arial" w:hAnsi="Arial"/>
          <w:sz w:val="18"/>
          <w:szCs w:val="18"/>
          <w:color w:val="auto"/>
        </w:rPr>
        <w:t>those Shares nor shall his title to the Shares be affected by any irregularity in, or invalidity of the proceedings in respect of, the forfeiture, surrender or disposal of those Shares.</w:t>
      </w:r>
    </w:p>
    <w:p>
      <w:pPr>
        <w:spacing w:after="0" w:line="181" w:lineRule="exact"/>
        <w:rPr>
          <w:sz w:val="20"/>
          <w:szCs w:val="20"/>
          <w:color w:val="auto"/>
        </w:rPr>
      </w:pPr>
    </w:p>
    <w:p>
      <w:pPr>
        <w:ind w:right="9100" w:firstLine="8"/>
        <w:spacing w:after="0" w:line="503" w:lineRule="auto"/>
        <w:tabs>
          <w:tab w:leader="none" w:pos="648"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 Form of transfer</w:t>
      </w:r>
    </w:p>
    <w:p>
      <w:pPr>
        <w:ind w:left="660" w:right="260" w:hanging="647"/>
        <w:spacing w:after="0" w:line="277"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Subject to the following Articles about the transfer of Shares, a Member may transfer Shares to another person by completing an instrument of transfer, in a common form or in a form approved by the directors, executed:</w:t>
      </w:r>
    </w:p>
    <w:p>
      <w:pPr>
        <w:spacing w:after="0" w:line="170"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where the Shares are Fully Paid, by or on behalf of that Member;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where the Shares are partly paid, by or on behalf of that Member and the transferee.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refuse registration</w:t>
      </w:r>
    </w:p>
    <w:p>
      <w:pPr>
        <w:spacing w:after="0" w:line="229"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directors may refuse to register the transfer of a Share to any person. They may do so in their absolute discretion, without giving any reason for their refusal, and irrespective of whether the Share is Fully Paid or the Company has no lien over 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refusal to register</w:t>
      </w:r>
    </w:p>
    <w:p>
      <w:pPr>
        <w:spacing w:after="0" w:line="229" w:lineRule="exact"/>
        <w:rPr>
          <w:sz w:val="20"/>
          <w:szCs w:val="20"/>
          <w:color w:val="auto"/>
        </w:rPr>
      </w:pPr>
    </w:p>
    <w:p>
      <w:pPr>
        <w:ind w:left="660" w:right="200" w:hanging="647"/>
        <w:spacing w:after="0" w:line="277"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the directors refuse to register a transfer of a Share, they must send notice of their refusal to the existing Member within two months after the date on which the transfer was lodged with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suspend registration</w:t>
      </w:r>
    </w:p>
    <w:p>
      <w:pPr>
        <w:spacing w:after="0" w:line="229"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The directors may suspend registration of the transfer of Shares at such times and for such periods, not exceeding 30 days in any calendar year, as they determine.</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58" w:right="39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Fee, if any, payable for registration</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If the directors so decide, the Company may charge a reasonable fee for the registration of any instrument of transfer or other document relating to the title to a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may retain instrument of transfer</w:t>
      </w:r>
    </w:p>
    <w:p>
      <w:pPr>
        <w:spacing w:after="0" w:line="229"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The Company shall be entitled to retain any instrument of transfer which is registered; but an instrument of transfer which the directors refuse to register shall be returned to the person lodging it when notice of the refusal is given.</w:t>
      </w:r>
    </w:p>
    <w:p>
      <w:pPr>
        <w:spacing w:after="0" w:line="166" w:lineRule="exact"/>
        <w:rPr>
          <w:sz w:val="20"/>
          <w:szCs w:val="20"/>
          <w:color w:val="auto"/>
        </w:rPr>
      </w:pPr>
    </w:p>
    <w:p>
      <w:pPr>
        <w:ind w:right="8220" w:firstLine="8"/>
        <w:spacing w:after="0" w:line="566" w:lineRule="auto"/>
        <w:tabs>
          <w:tab w:leader="none" w:pos="648"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Transmission of Shares Persons entitled on death of a Member</w:t>
      </w: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If a Member dies, the only persons recognised by the Company as having any title to the deceased Members' interest are the following:</w:t>
      </w:r>
    </w:p>
    <w:p>
      <w:pPr>
        <w:spacing w:after="0" w:line="225" w:lineRule="exact"/>
        <w:rPr>
          <w:sz w:val="20"/>
          <w:szCs w:val="20"/>
          <w:color w:val="auto"/>
        </w:rPr>
      </w:pPr>
    </w:p>
    <w:p>
      <w:pPr>
        <w:ind w:left="1300" w:hanging="644"/>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where the deceased Member was a joint holder, the survivor or survivors;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where the deceased Member was a sole holder, that Member's personal representative or representatives.</w:t>
      </w:r>
    </w:p>
    <w:p>
      <w:pPr>
        <w:spacing w:after="0" w:line="225" w:lineRule="exact"/>
        <w:rPr>
          <w:sz w:val="20"/>
          <w:szCs w:val="20"/>
          <w:color w:val="auto"/>
        </w:rPr>
      </w:pPr>
    </w:p>
    <w:p>
      <w:pPr>
        <w:ind w:left="660" w:right="220" w:hanging="647"/>
        <w:spacing w:after="0" w:line="277"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Nothing in these Articles shall release the deceased Member's estate from any liability in respect of any Share, whether the deceased was a sole holder or a joint 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transfer of a Share following death or bankruptcy</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A person becoming entitled to a Share in consequence of the death or bankruptcy of a Member may elect to do either of the following:</w:t>
      </w:r>
    </w:p>
    <w:p>
      <w:pPr>
        <w:spacing w:after="0" w:line="225" w:lineRule="exact"/>
        <w:rPr>
          <w:sz w:val="20"/>
          <w:szCs w:val="20"/>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become the holder of the Share;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transfer the Share to another person.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That person must produce such evidence of his entitlement as the directors may properly require.</w:t>
      </w:r>
    </w:p>
    <w:p>
      <w:pPr>
        <w:spacing w:after="0" w:line="225" w:lineRule="exact"/>
        <w:rPr>
          <w:sz w:val="20"/>
          <w:szCs w:val="20"/>
          <w:color w:val="auto"/>
        </w:rPr>
      </w:pPr>
    </w:p>
    <w:p>
      <w:pPr>
        <w:ind w:left="660" w:right="200" w:hanging="647"/>
        <w:spacing w:after="0" w:line="277" w:lineRule="auto"/>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If the person elects to become the holder of the Share, he must give notice to the Company to that effect. For the purposes of these Articles, that notice shall be treated as though it were an executed instrument of transfer.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If the person elects to transfer the Share to another person then:</w:t>
      </w:r>
    </w:p>
    <w:p>
      <w:pPr>
        <w:spacing w:after="0" w:line="225" w:lineRule="exact"/>
        <w:rPr>
          <w:sz w:val="20"/>
          <w:szCs w:val="20"/>
          <w:color w:val="auto"/>
        </w:rPr>
      </w:pPr>
    </w:p>
    <w:p>
      <w:pPr>
        <w:ind w:left="1300" w:hanging="64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Share is Fully Paid, the transferor must execute an instrument of transfer;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Share is partly paid, the transferor and the transferee must execute an instrument of transfer.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58" w:right="379" w:bottom="1440" w:gutter="0" w:footer="0" w:header="0"/>
        </w:sectPr>
      </w:pPr>
    </w:p>
    <w:bookmarkStart w:id="157" w:name="page158"/>
    <w:bookmarkEnd w:id="157"/>
    <w:p>
      <w:pPr>
        <w:spacing w:after="0"/>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All the Articles relating to the transfer of Shares shall apply to the notice or, as appropriate, the instrument of transfer.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A person registered as a Member by reason of the death or bankruptcy of another Member shall indemnify the Company and the directors against any loss or damage suffered by the Company or the directors as a result of that registration.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person entitled to a Share following death or bankruptcy</w:t>
      </w:r>
    </w:p>
    <w:p>
      <w:pPr>
        <w:spacing w:after="0" w:line="229" w:lineRule="exact"/>
        <w:rPr>
          <w:sz w:val="20"/>
          <w:szCs w:val="20"/>
          <w:color w:val="auto"/>
        </w:rPr>
      </w:pPr>
    </w:p>
    <w:p>
      <w:pPr>
        <w:jc w:val="both"/>
        <w:ind w:left="660" w:right="80" w:hanging="647"/>
        <w:spacing w:after="0" w:line="286" w:lineRule="auto"/>
        <w:tabs>
          <w:tab w:leader="none" w:pos="6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7"/>
          <w:szCs w:val="17"/>
          <w:color w:val="auto"/>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 in the Company.</w:t>
      </w:r>
    </w:p>
    <w:p>
      <w:pPr>
        <w:spacing w:after="0" w:line="161"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Alteration of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Increasing, consolidating, converting, dividing and cancelling share capital</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To the fullest extent permitted by the Law, the Company may by Ordinary Resolution do any of the following and amend its Memorandum for that purpose:</w:t>
      </w:r>
    </w:p>
    <w:p>
      <w:pPr>
        <w:spacing w:after="0" w:line="170" w:lineRule="exact"/>
        <w:rPr>
          <w:sz w:val="20"/>
          <w:szCs w:val="20"/>
          <w:color w:val="auto"/>
        </w:rPr>
      </w:pPr>
    </w:p>
    <w:p>
      <w:pPr>
        <w:ind w:left="1300" w:right="500" w:hanging="644"/>
        <w:spacing w:after="0" w:line="277"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increase its share capital by new Shares of the amount fixed by that Ordinary Resolution and with the attached rights, priorities and privileges set out in that Ordinary Resolution;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convert all or any of its Paid Up Shares into stock, and reconvert that stock into Paid Up Shares of any denomination;</w:t>
      </w:r>
    </w:p>
    <w:p>
      <w:pPr>
        <w:spacing w:after="0" w:line="225" w:lineRule="exact"/>
        <w:rPr>
          <w:rFonts w:ascii="Arial" w:cs="Arial" w:eastAsia="Arial" w:hAnsi="Arial"/>
          <w:sz w:val="18"/>
          <w:szCs w:val="18"/>
          <w:color w:val="auto"/>
        </w:rPr>
      </w:pPr>
    </w:p>
    <w:p>
      <w:pPr>
        <w:ind w:left="1300" w:right="20" w:hanging="644"/>
        <w:spacing w:after="0" w:line="263"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spacing w:after="0" w:line="183" w:lineRule="exact"/>
        <w:rPr>
          <w:rFonts w:ascii="Arial" w:cs="Arial" w:eastAsia="Arial" w:hAnsi="Arial"/>
          <w:sz w:val="18"/>
          <w:szCs w:val="18"/>
          <w:color w:val="auto"/>
        </w:rPr>
      </w:pPr>
    </w:p>
    <w:p>
      <w:pPr>
        <w:ind w:left="1300" w:right="80" w:hanging="644"/>
        <w:spacing w:after="0" w:line="263"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Dealing with fractions resulting from consolidation of Shares</w:t>
      </w:r>
    </w:p>
    <w:p>
      <w:pPr>
        <w:spacing w:after="0" w:line="229" w:lineRule="exact"/>
        <w:rPr>
          <w:sz w:val="20"/>
          <w:szCs w:val="20"/>
          <w:color w:val="auto"/>
        </w:rPr>
      </w:pPr>
    </w:p>
    <w:p>
      <w:pPr>
        <w:ind w:left="660" w:right="380" w:hanging="647"/>
        <w:spacing w:after="0" w:line="277"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Whenever, as a result of a consolidation of Shares, any Members would become entitled to fractions of a Share the directors may on behalf of those Members:</w:t>
      </w:r>
    </w:p>
    <w:p>
      <w:pPr>
        <w:spacing w:after="0" w:line="170" w:lineRule="exact"/>
        <w:rPr>
          <w:sz w:val="20"/>
          <w:szCs w:val="20"/>
          <w:color w:val="auto"/>
        </w:rPr>
      </w:pPr>
    </w:p>
    <w:p>
      <w:pPr>
        <w:ind w:left="1300" w:right="40" w:hanging="644"/>
        <w:spacing w:after="0" w:line="277"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sell the Shares representing the fractions for the best price reasonably obtainable to any person (including, subject to the provisions of the Law, the Company);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distribute the net proceeds in due proportion among those Members.</w:t>
      </w:r>
    </w:p>
    <w:p>
      <w:pPr>
        <w:spacing w:after="0" w:line="225" w:lineRule="exact"/>
        <w:rPr>
          <w:sz w:val="20"/>
          <w:szCs w:val="20"/>
          <w:color w:val="auto"/>
        </w:rPr>
      </w:pPr>
    </w:p>
    <w:p>
      <w:pPr>
        <w:ind w:left="640" w:right="160"/>
        <w:spacing w:after="0" w:line="263" w:lineRule="auto"/>
        <w:rPr>
          <w:sz w:val="20"/>
          <w:szCs w:val="20"/>
          <w:color w:val="auto"/>
        </w:rPr>
      </w:pPr>
      <w:r>
        <w:rPr>
          <w:rFonts w:ascii="Arial" w:cs="Arial" w:eastAsia="Arial" w:hAnsi="Arial"/>
          <w:sz w:val="18"/>
          <w:szCs w:val="18"/>
          <w:color w:val="auto"/>
        </w:rPr>
        <w:t>For that purpose, the directors may authorise some person to execute an instrument of transfer of the Shares to, or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Reducing share capital</w:t>
      </w:r>
    </w:p>
    <w:p>
      <w:pPr>
        <w:spacing w:after="0" w:line="229" w:lineRule="exact"/>
        <w:rPr>
          <w:sz w:val="20"/>
          <w:szCs w:val="20"/>
          <w:color w:val="auto"/>
        </w:rPr>
      </w:pPr>
    </w:p>
    <w:p>
      <w:pPr>
        <w:ind w:left="660" w:right="460" w:hanging="647"/>
        <w:spacing w:after="0" w:line="277"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Subject to the Law and to any rights for the time being conferred on the Members holding a particular class of Shares, the Company may, by Special Resolution, reduce its share capital in any way.</w:t>
      </w:r>
    </w:p>
    <w:p>
      <w:pPr>
        <w:spacing w:after="0" w:line="166"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and purchase of own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issue redeemable Shares and to purchase own Shares</w:t>
      </w:r>
    </w:p>
    <w:p>
      <w:pPr>
        <w:spacing w:after="0" w:line="229" w:lineRule="exact"/>
        <w:rPr>
          <w:sz w:val="20"/>
          <w:szCs w:val="20"/>
          <w:color w:val="auto"/>
        </w:rPr>
      </w:pPr>
    </w:p>
    <w:p>
      <w:pPr>
        <w:ind w:left="660" w:right="260" w:hanging="647"/>
        <w:spacing w:after="0" w:line="277"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Subject to the Law, and to any rights for the time being conferred on the Members holding a particular class of Shares, the Company may by its directors:</w:t>
      </w:r>
    </w:p>
    <w:p>
      <w:pPr>
        <w:spacing w:after="0" w:line="170" w:lineRule="exact"/>
        <w:rPr>
          <w:sz w:val="20"/>
          <w:szCs w:val="20"/>
          <w:color w:val="auto"/>
        </w:rPr>
      </w:pPr>
    </w:p>
    <w:p>
      <w:pPr>
        <w:ind w:left="1300" w:right="340" w:hanging="644"/>
        <w:spacing w:after="0" w:line="277" w:lineRule="auto"/>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issue Shares that are to be redeemed or liable to be redeemed, at the option of the Company or the Member holding those redeemable Shares, on the terms and in the manner its directors determine before the issue of those Shares;</w:t>
      </w:r>
    </w:p>
    <w:p>
      <w:pPr>
        <w:spacing w:after="0" w:line="170"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spacing w:after="0" w:line="183"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purchase all or any of its own Shares of any class including any redeemable Shares on the terms and in the manner which the directors determine at the time of such purchase.</w:t>
      </w:r>
    </w:p>
    <w:p>
      <w:pPr>
        <w:spacing w:after="0" w:line="17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Company may make a payment in respect of the redemption or purchase of its own Shares in any manner authorised by the Law, including out of any combination of the following: capital, its profits and the proceeds of a fresh issue of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pay for redemption or purchase in cash or in specie</w:t>
      </w:r>
    </w:p>
    <w:p>
      <w:pPr>
        <w:spacing w:after="0" w:line="229" w:lineRule="exact"/>
        <w:rPr>
          <w:sz w:val="20"/>
          <w:szCs w:val="20"/>
          <w:color w:val="auto"/>
        </w:rPr>
      </w:pPr>
    </w:p>
    <w:p>
      <w:pPr>
        <w:ind w:left="660" w:right="80" w:hanging="647"/>
        <w:spacing w:after="0" w:line="263"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When making a payment in respect of the redemption or purchase of Shares, the directors may make the payment in cash or in specie (or partly in one and partly in the other) if so authorised by the terms of the allotment of those Shares or by the terms applying to those Shares in accordance with Article 9.1, or otherwise by agreement with the Member holding those Shares.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Effect of redemption or purchase of a Share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Upon the date of redemption or purchase of a Share:</w:t>
      </w:r>
    </w:p>
    <w:p>
      <w:pPr>
        <w:spacing w:after="0" w:line="225"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Member holding that Share shall cease to be entitled to any rights in respect of the Share other than the right to receive:</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price for the Share; and</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dividend declared in respect of the Share prior to the date of redemption or purchase;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Member's name shall be removed from the register of members with respect to the Share;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Share shall be cancelled or held as a Treasury Share, as the directors may determine.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purpose of this Article, the date of redemption or purchase is the date when the redemption or purchase falls due.</w:t>
      </w:r>
    </w:p>
    <w:p>
      <w:pPr>
        <w:spacing w:after="0" w:line="221"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Meetings of Members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Power to call meetings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directors may call a general meeting at any time.</w:t>
      </w:r>
    </w:p>
    <w:p>
      <w:pPr>
        <w:spacing w:after="0" w:line="22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The directors must also call a general meeting if requisitioned in the manner set out in the next two Articles.</w:t>
      </w:r>
    </w:p>
    <w:p>
      <w:pPr>
        <w:spacing w:after="0" w:line="225" w:lineRule="exact"/>
        <w:rPr>
          <w:sz w:val="20"/>
          <w:szCs w:val="20"/>
          <w:color w:val="auto"/>
        </w:rPr>
      </w:pPr>
    </w:p>
    <w:p>
      <w:pPr>
        <w:ind w:left="660" w:right="620" w:hanging="647"/>
        <w:spacing w:after="0" w:line="277" w:lineRule="auto"/>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requisition must be in writing and given by one or more Members who together hold at least 40% of the rights to vote at such general meeting.</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The requisition must also:</w:t>
      </w:r>
    </w:p>
    <w:p>
      <w:pPr>
        <w:spacing w:after="0" w:line="225" w:lineRule="exact"/>
        <w:rPr>
          <w:sz w:val="20"/>
          <w:szCs w:val="20"/>
          <w:color w:val="auto"/>
        </w:rPr>
      </w:pPr>
    </w:p>
    <w:p>
      <w:pPr>
        <w:ind w:left="1300" w:hanging="644"/>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specify the specific purpose of the meeting, including the specific resolutions to be considered at such meeting.</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be signed by or on behalf of each requisitioner (and for this purpose each joint holder shall be obliged to sign). The requisition may consist of several documents in like form signed by one or more of the requisitioners.</w:t>
      </w:r>
    </w:p>
    <w:p>
      <w:pPr>
        <w:spacing w:after="0" w:line="170" w:lineRule="exact"/>
        <w:rPr>
          <w:rFonts w:ascii="Arial" w:cs="Arial" w:eastAsia="Arial" w:hAnsi="Arial"/>
          <w:sz w:val="18"/>
          <w:szCs w:val="18"/>
          <w:color w:val="auto"/>
        </w:rPr>
      </w:pPr>
    </w:p>
    <w:p>
      <w:pPr>
        <w:ind w:left="1300" w:hanging="644"/>
        <w:spacing w:after="0" w:line="263" w:lineRule="auto"/>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be delivered in accordance with the notice provisions, provided that commencing upon completion of an offering of Shares pursuant to which the Shares shall be listed on a Designated Stock Exchange, such notice must be provided to the Company at least 120 days prior to the anniversary date of the previous year’s annual general meeting.</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58" w:right="379" w:bottom="1440" w:gutter="0" w:footer="0" w:header="0"/>
        </w:sectPr>
      </w:pPr>
    </w:p>
    <w:bookmarkStart w:id="160" w:name="page161"/>
    <w:bookmarkEnd w:id="160"/>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Should the directors fail to call a general meeting within 120 Clear Days from the date of receipt of a requisition, the requisitioners or any of them may call a general meeting within three months after the end of that period.</w:t>
      </w:r>
    </w:p>
    <w:p>
      <w:pPr>
        <w:spacing w:after="0" w:line="170"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Without limitation to the foregoing, if there are insufficient directors to constitute a quorum and the remaining directors are unable to agree on the appointment of additional directors, any one or more Members who together hold at least 10% of the rights to vote at a general meeting may call a general meeting for the purpose of considering the business specified in the notice of meeting which shall include as an item of business the appointment of additional directors.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If the Members call a meeting under the above provisions, the Company shall reimburse their reasonable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of notice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Notice of a general meeting shall specify each of the following:</w:t>
      </w:r>
    </w:p>
    <w:p>
      <w:pPr>
        <w:spacing w:after="0" w:line="225" w:lineRule="exact"/>
        <w:rPr>
          <w:sz w:val="20"/>
          <w:szCs w:val="20"/>
          <w:color w:val="auto"/>
        </w:rPr>
      </w:pPr>
    </w:p>
    <w:p>
      <w:pPr>
        <w:ind w:left="1300" w:hanging="644"/>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place, the date and the hour of the meeting;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the meeting is to be held in two or more places, the technology that will be used to facilitate the meeting;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subject to paragraph 10.9(d), the general nature of the business to be transacted;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a resolution is proposed as a Special Resolution, the text of that resolution.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In each notice there shall appear with reasonable prominence the following statements:</w:t>
      </w:r>
    </w:p>
    <w:p>
      <w:pPr>
        <w:spacing w:after="0" w:line="225"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that a Member who is entitled to attend and vote is entitled to appoint one or more proxies to attend and vote instead of that Member; and</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a proxyholder need not be a Member.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of notice</w:t>
      </w:r>
    </w:p>
    <w:p>
      <w:pPr>
        <w:spacing w:after="0" w:line="229" w:lineRule="exact"/>
        <w:rPr>
          <w:sz w:val="20"/>
          <w:szCs w:val="20"/>
          <w:color w:val="auto"/>
        </w:rPr>
      </w:pPr>
    </w:p>
    <w:p>
      <w:pPr>
        <w:ind w:left="660" w:right="40" w:hanging="647"/>
        <w:spacing w:after="0" w:line="263" w:lineRule="auto"/>
        <w:tabs>
          <w:tab w:leader="none" w:pos="640" w:val="left"/>
        </w:tabs>
        <w:rPr>
          <w:sz w:val="20"/>
          <w:szCs w:val="20"/>
          <w:color w:val="auto"/>
        </w:rPr>
      </w:pPr>
      <w:r>
        <w:rPr>
          <w:rFonts w:ascii="Arial" w:cs="Arial" w:eastAsia="Arial" w:hAnsi="Arial"/>
          <w:sz w:val="18"/>
          <w:szCs w:val="18"/>
          <w:color w:val="auto"/>
        </w:rPr>
        <w:t>10.11</w:t>
        <w:tab/>
        <w:t>At least 10 Clear Days' notice of a general meeting must be given to Members. But a meeting may be convened on shorter notice with the consent of the Member or Members who, individually or collectively, hold at least 90% of the voting rights of all those who have a right to vote at that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entitled to receive notice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Subject to the provisions of these Articles and to any restrictions imposed on any Shares, the notice shall be given to the following people:</w:t>
      </w:r>
    </w:p>
    <w:p>
      <w:pPr>
        <w:spacing w:after="0" w:line="225" w:lineRule="exact"/>
        <w:rPr>
          <w:sz w:val="20"/>
          <w:szCs w:val="20"/>
          <w:color w:val="auto"/>
        </w:rPr>
      </w:pPr>
    </w:p>
    <w:p>
      <w:pPr>
        <w:ind w:left="1300" w:hanging="64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Members;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persons entitled to a Share in consequence of the death or bankruptcy of a Member; and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62" w:right="379" w:bottom="1440" w:gutter="0" w:footer="0" w:header="0"/>
        </w:sectPr>
      </w:pPr>
    </w:p>
    <w:bookmarkStart w:id="161" w:name="page162"/>
    <w:bookmarkEnd w:id="161"/>
    <w:p>
      <w:pPr>
        <w:ind w:left="1300" w:hanging="644"/>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of notice on a website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Subject to the Law, a notice of a general meeting may be published on a website providing the recipient is given separate notice of:</w:t>
      </w:r>
    </w:p>
    <w:p>
      <w:pPr>
        <w:spacing w:after="0" w:line="225" w:lineRule="exact"/>
        <w:rPr>
          <w:sz w:val="20"/>
          <w:szCs w:val="20"/>
          <w:color w:val="auto"/>
        </w:rPr>
      </w:pPr>
    </w:p>
    <w:p>
      <w:pPr>
        <w:ind w:left="1300" w:hanging="64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publication of the notice on the website;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place on the website where the notice may be accessed;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how it may be accessed;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place, date and time of the general meeting.</w:t>
      </w:r>
    </w:p>
    <w:p>
      <w:pPr>
        <w:spacing w:after="0" w:line="22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10.14</w:t>
        <w:tab/>
        <w:t>If a Member notifies the Company that he is unable for any reason to access the website, the Company must as soon as practicable give notice of the meeting to that Member by any other means permitted by these Articles. But this will not affect when that Member is deemed to have received notice of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a website notice is deemed to be given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A website notice is deemed to be given when the Member is given notice of its publication.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duration of publication on a website</w:t>
      </w:r>
    </w:p>
    <w:p>
      <w:pPr>
        <w:spacing w:after="0" w:line="229" w:lineRule="exact"/>
        <w:rPr>
          <w:sz w:val="20"/>
          <w:szCs w:val="20"/>
          <w:color w:val="auto"/>
        </w:rPr>
      </w:pPr>
    </w:p>
    <w:p>
      <w:pPr>
        <w:ind w:left="660" w:right="380" w:hanging="647"/>
        <w:spacing w:after="0" w:line="277" w:lineRule="auto"/>
        <w:tabs>
          <w:tab w:leader="none" w:pos="640" w:val="left"/>
        </w:tabs>
        <w:rPr>
          <w:sz w:val="20"/>
          <w:szCs w:val="20"/>
          <w:color w:val="auto"/>
        </w:rPr>
      </w:pPr>
      <w:r>
        <w:rPr>
          <w:rFonts w:ascii="Arial" w:cs="Arial" w:eastAsia="Arial" w:hAnsi="Arial"/>
          <w:sz w:val="18"/>
          <w:szCs w:val="18"/>
          <w:color w:val="auto"/>
        </w:rPr>
        <w:t>10.16</w:t>
        <w:tab/>
        <w:t>Where the notice of meeting is published on a website, it shall continue to be published in the same place on that website from the date of the notification until the conclusion of the meeting to which the notice relates.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Accidental omission to give notice or non-receipt of notice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Proceedings at a meeting shall not be invalidated by the following:</w:t>
      </w:r>
    </w:p>
    <w:p>
      <w:pPr>
        <w:spacing w:after="0" w:line="225" w:lineRule="exact"/>
        <w:rPr>
          <w:sz w:val="20"/>
          <w:szCs w:val="20"/>
          <w:color w:val="auto"/>
        </w:rPr>
      </w:pPr>
    </w:p>
    <w:p>
      <w:pPr>
        <w:ind w:left="1300" w:hanging="644"/>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accidental failure to give notice of the meeting to any person entitled to notice;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non-receipt of notice of the meeting by any person entitled to notice.</w:t>
      </w:r>
    </w:p>
    <w:p>
      <w:pPr>
        <w:spacing w:after="0" w:line="225" w:lineRule="exact"/>
        <w:rPr>
          <w:sz w:val="20"/>
          <w:szCs w:val="20"/>
          <w:color w:val="auto"/>
        </w:rPr>
      </w:pPr>
    </w:p>
    <w:p>
      <w:pPr>
        <w:ind w:left="660" w:right="740" w:hanging="647"/>
        <w:spacing w:after="0" w:line="277" w:lineRule="auto"/>
        <w:tabs>
          <w:tab w:leader="none" w:pos="640" w:val="left"/>
        </w:tabs>
        <w:rPr>
          <w:sz w:val="20"/>
          <w:szCs w:val="20"/>
          <w:color w:val="auto"/>
        </w:rPr>
      </w:pPr>
      <w:r>
        <w:rPr>
          <w:rFonts w:ascii="Arial" w:cs="Arial" w:eastAsia="Arial" w:hAnsi="Arial"/>
          <w:sz w:val="18"/>
          <w:szCs w:val="18"/>
          <w:color w:val="auto"/>
        </w:rPr>
        <w:t>10.18</w:t>
        <w:tab/>
        <w:t>In addition, where a notice of meeting is published on a website, proceedings at the meeting shall not be invalidated merely because it is accidentally published:</w:t>
      </w:r>
    </w:p>
    <w:p>
      <w:pPr>
        <w:spacing w:after="0" w:line="170" w:lineRule="exact"/>
        <w:rPr>
          <w:sz w:val="20"/>
          <w:szCs w:val="20"/>
          <w:color w:val="auto"/>
        </w:rPr>
      </w:pPr>
    </w:p>
    <w:p>
      <w:pPr>
        <w:ind w:left="1300" w:hanging="64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a different place on the website;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for part only of the period from the date of the notification until the conclusion of the meeting to which the notice relates.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62" w:right="379" w:bottom="1440" w:gutter="0" w:footer="0" w:header="0"/>
        </w:sectPr>
      </w:pPr>
    </w:p>
    <w:bookmarkStart w:id="162" w:name="page163"/>
    <w:bookmarkEnd w:id="162"/>
    <w:p>
      <w:pPr>
        <w:ind w:right="7760" w:firstLine="8"/>
        <w:spacing w:after="0" w:line="503" w:lineRule="auto"/>
        <w:tabs>
          <w:tab w:leader="none" w:pos="648"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at meetings of Members Quorum</w:t>
      </w:r>
    </w:p>
    <w:p>
      <w:pPr>
        <w:ind w:left="660" w:right="460" w:hanging="647"/>
        <w:spacing w:after="0" w:line="277"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Save as provided in the following Article, no business shall be transacted at any meeting unless a quorum is present in person or by proxy. A quorum is as follows:</w:t>
      </w:r>
    </w:p>
    <w:p>
      <w:pPr>
        <w:spacing w:after="0" w:line="170" w:lineRule="exact"/>
        <w:rPr>
          <w:sz w:val="20"/>
          <w:szCs w:val="20"/>
          <w:color w:val="auto"/>
        </w:rPr>
      </w:pPr>
    </w:p>
    <w:p>
      <w:pPr>
        <w:ind w:left="1300" w:hanging="644"/>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the Company has only one Member: that Member;</w:t>
      </w:r>
    </w:p>
    <w:p>
      <w:pPr>
        <w:spacing w:after="0" w:line="225"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the Company has more than one Member: one or more Members who together hold at least one-third of the rights to vote at such general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quorum</w:t>
      </w:r>
    </w:p>
    <w:p>
      <w:pPr>
        <w:spacing w:after="0" w:line="229"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If a quorum is not present within 15 minutes of the time appointed for the meeting, or if at any time during the meeting it becomes inquorate, then the following provisions apply:</w:t>
      </w:r>
    </w:p>
    <w:p>
      <w:pPr>
        <w:spacing w:after="0" w:line="170" w:lineRule="exact"/>
        <w:rPr>
          <w:sz w:val="20"/>
          <w:szCs w:val="20"/>
          <w:color w:val="auto"/>
        </w:rPr>
      </w:pPr>
    </w:p>
    <w:p>
      <w:pPr>
        <w:ind w:left="1300" w:hanging="64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the meeting was requisitioned by Members, it shall be cancelled.</w:t>
      </w:r>
    </w:p>
    <w:p>
      <w:pPr>
        <w:spacing w:after="0" w:line="225" w:lineRule="exact"/>
        <w:rPr>
          <w:rFonts w:ascii="Arial" w:cs="Arial" w:eastAsia="Arial" w:hAnsi="Arial"/>
          <w:sz w:val="18"/>
          <w:szCs w:val="18"/>
          <w:color w:val="auto"/>
        </w:rPr>
      </w:pPr>
    </w:p>
    <w:p>
      <w:pPr>
        <w:ind w:left="1300" w:right="400" w:hanging="644"/>
        <w:spacing w:after="0" w:line="263"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any other case, the meeting shall stand adjourned to the same time and place seven days hence, or to such other time or place as is determined by the directors. If a quorum is not present within 15 minutes of the time appointed for the adjourned meeting, then the Members present in person or by proxy shall constitute a quorum.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technology</w:t>
      </w:r>
    </w:p>
    <w:p>
      <w:pPr>
        <w:spacing w:after="0" w:line="229" w:lineRule="exact"/>
        <w:rPr>
          <w:sz w:val="20"/>
          <w:szCs w:val="20"/>
          <w:color w:val="auto"/>
        </w:rPr>
      </w:pPr>
    </w:p>
    <w:p>
      <w:pPr>
        <w:ind w:left="660" w:right="760" w:hanging="647"/>
        <w:spacing w:after="0" w:line="263"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A person may participate in a general meeting through the medium of conference telephone, video or any other form of communications equipment providing all persons participating in the meeting are able to hear and speak to each other throughout the meeting. A person participating in this way is deemed to be present in person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w:t>
      </w:r>
    </w:p>
    <w:p>
      <w:pPr>
        <w:spacing w:after="0" w:line="229" w:lineRule="exact"/>
        <w:rPr>
          <w:sz w:val="20"/>
          <w:szCs w:val="20"/>
          <w:color w:val="auto"/>
        </w:rPr>
      </w:pPr>
    </w:p>
    <w:p>
      <w:pPr>
        <w:ind w:left="660" w:right="520" w:hanging="647"/>
        <w:spacing w:after="0" w:line="263" w:lineRule="auto"/>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The chairman of a general meeting shall be the chairman of the board or such other director as the directors have nominated to chair board meetings in the absence of the chairman of the board. Absent any such person being present within 15 minutes of the time appointed for the meeting, the directors present shall elect one of their number to chair the meeting.</w:t>
      </w:r>
    </w:p>
    <w:p>
      <w:pPr>
        <w:spacing w:after="0" w:line="184" w:lineRule="exact"/>
        <w:rPr>
          <w:sz w:val="20"/>
          <w:szCs w:val="20"/>
          <w:color w:val="auto"/>
        </w:rPr>
      </w:pPr>
    </w:p>
    <w:p>
      <w:pPr>
        <w:ind w:left="660" w:right="520" w:hanging="647"/>
        <w:spacing w:after="0" w:line="277" w:lineRule="auto"/>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If no director is present within 15 minutes of the time appointed for the meeting, or if no director is willing to act as chairman, the Members present in person or by proxy and entitled to vote shall choose one of their number to chair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a director to attend and speak</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Even if a director is not a Member, he shall be entitled to attend and speak at any general meeting and at any separate meeting of Members holding a particular class of Shares in the Company.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Adjournment</w:t>
      </w:r>
    </w:p>
    <w:p>
      <w:pPr>
        <w:spacing w:after="0" w:line="229"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p>
      <w:pPr>
        <w:spacing w:after="0" w:line="184" w:lineRule="exact"/>
        <w:rPr>
          <w:sz w:val="20"/>
          <w:szCs w:val="20"/>
          <w:color w:val="auto"/>
        </w:rPr>
      </w:pPr>
    </w:p>
    <w:p>
      <w:pPr>
        <w:ind w:left="660" w:right="300" w:hanging="647"/>
        <w:spacing w:after="0" w:line="263" w:lineRule="auto"/>
        <w:tabs>
          <w:tab w:leader="none" w:pos="6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Should a meeting be adjourned for more than seven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voting</w:t>
      </w:r>
    </w:p>
    <w:p>
      <w:pPr>
        <w:spacing w:after="0" w:line="229" w:lineRule="exact"/>
        <w:rPr>
          <w:sz w:val="20"/>
          <w:szCs w:val="20"/>
          <w:color w:val="auto"/>
        </w:rPr>
      </w:pPr>
    </w:p>
    <w:p>
      <w:pPr>
        <w:ind w:left="660" w:right="300" w:hanging="647"/>
        <w:spacing w:after="0" w:line="277" w:lineRule="auto"/>
        <w:tabs>
          <w:tab w:leader="none" w:pos="6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A resolution put to the vote of the meeting shall be decided on a show of hands unless before, or on the declaration of the result of the show of hands, a poll is duly demanded. A poll may be demanded:</w:t>
      </w:r>
    </w:p>
    <w:p>
      <w:pPr>
        <w:spacing w:after="0" w:line="170" w:lineRule="exact"/>
        <w:rPr>
          <w:sz w:val="20"/>
          <w:szCs w:val="20"/>
          <w:color w:val="auto"/>
        </w:rPr>
      </w:pPr>
    </w:p>
    <w:p>
      <w:pPr>
        <w:ind w:left="1300" w:hanging="64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by the chairman; or</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by any Member or Members present who, individually or collectively, hold at least 10% of the voting rights of all those who have a right to vote on the resolution.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Outcome of vote by show of hands</w:t>
      </w:r>
    </w:p>
    <w:p>
      <w:pPr>
        <w:spacing w:after="0" w:line="229"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11.10</w:t>
        <w:tab/>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demand for a poll</w:t>
      </w:r>
    </w:p>
    <w:p>
      <w:pPr>
        <w:spacing w:after="0" w:line="229" w:lineRule="exact"/>
        <w:rPr>
          <w:sz w:val="20"/>
          <w:szCs w:val="20"/>
          <w:color w:val="auto"/>
        </w:rPr>
      </w:pPr>
    </w:p>
    <w:p>
      <w:pPr>
        <w:ind w:left="660" w:right="100" w:hanging="647"/>
        <w:spacing w:after="0" w:line="311" w:lineRule="auto"/>
        <w:tabs>
          <w:tab w:leader="none" w:pos="64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Taking of a poll</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A poll demanded on the question of adjournment shall be taken immediately.</w:t>
      </w:r>
    </w:p>
    <w:p>
      <w:pPr>
        <w:spacing w:after="0" w:line="225" w:lineRule="exact"/>
        <w:rPr>
          <w:sz w:val="20"/>
          <w:szCs w:val="20"/>
          <w:color w:val="auto"/>
        </w:rPr>
      </w:pPr>
    </w:p>
    <w:p>
      <w:pPr>
        <w:ind w:left="660" w:right="480" w:hanging="647"/>
        <w:spacing w:after="0" w:line="277" w:lineRule="auto"/>
        <w:tabs>
          <w:tab w:leader="none" w:pos="640" w:val="left"/>
        </w:tabs>
        <w:rPr>
          <w:sz w:val="20"/>
          <w:szCs w:val="20"/>
          <w:color w:val="auto"/>
        </w:rPr>
      </w:pPr>
      <w:r>
        <w:rPr>
          <w:rFonts w:ascii="Arial" w:cs="Arial" w:eastAsia="Arial" w:hAnsi="Arial"/>
          <w:sz w:val="18"/>
          <w:szCs w:val="18"/>
          <w:color w:val="auto"/>
        </w:rPr>
        <w:t>11.13</w:t>
        <w:tab/>
        <w:t>A poll demanded on any other question shall be taken either immediately or at an adjourned meeting at such time and place as the chairman directs, not being more than 30 Clear Days after the poll was demanded.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The demand for a poll shall not prevent the meeting continuing to transact any business other than the question on which the poll was demanded.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58" w:right="379" w:bottom="1440" w:gutter="0" w:footer="0" w:header="0"/>
        </w:sectPr>
      </w:pPr>
    </w:p>
    <w:bookmarkStart w:id="164" w:name="page165"/>
    <w:bookmarkEnd w:id="164"/>
    <w:p>
      <w:pPr>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11.15</w:t>
        <w:tab/>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Chairman's casting vote</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6"/>
          <w:szCs w:val="16"/>
          <w:color w:val="auto"/>
        </w:rPr>
        <w:t>If the votes on a resolution, whether on a show of hands or on a poll, are equal the chairman may if he wishes exercise a casting vote.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resolutions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6"/>
          <w:szCs w:val="16"/>
          <w:color w:val="auto"/>
        </w:rPr>
        <w:t>An Ordinary Resolution to be proposed at a general meeting may be amended by Ordinary Resolution if:</w:t>
      </w:r>
    </w:p>
    <w:p>
      <w:pPr>
        <w:spacing w:after="0" w:line="225" w:lineRule="exact"/>
        <w:rPr>
          <w:sz w:val="20"/>
          <w:szCs w:val="20"/>
          <w:color w:val="auto"/>
        </w:rPr>
      </w:pPr>
    </w:p>
    <w:p>
      <w:pPr>
        <w:ind w:left="1280" w:right="80" w:hanging="638"/>
        <w:spacing w:after="0" w:line="308" w:lineRule="auto"/>
        <w:tabs>
          <w:tab w:leader="none" w:pos="12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not less than 48 hours before the meeting is to take place (or such later time as the chairman of the meeting may determine), notice of the proposed amendment is given to the Company in writing by a Member entitled to vote at that meeting; and</w:t>
      </w:r>
    </w:p>
    <w:p>
      <w:pPr>
        <w:spacing w:after="0" w:line="146" w:lineRule="exact"/>
        <w:rPr>
          <w:rFonts w:ascii="Arial" w:cs="Arial" w:eastAsia="Arial" w:hAnsi="Arial"/>
          <w:sz w:val="17"/>
          <w:szCs w:val="17"/>
          <w:color w:val="auto"/>
        </w:rPr>
      </w:pPr>
    </w:p>
    <w:p>
      <w:pPr>
        <w:ind w:left="1280" w:hanging="638"/>
        <w:spacing w:after="0"/>
        <w:tabs>
          <w:tab w:leader="none" w:pos="12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proposed amendment does not, in the reasonable opinion of the chairman of the meeting, materially alter the scope of the resolution.</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11.18   A Special Resolution to be proposed at a general meeting may be amended by Ordinary Resolution, if:</w:t>
      </w:r>
    </w:p>
    <w:p>
      <w:pPr>
        <w:spacing w:after="0" w:line="225" w:lineRule="exact"/>
        <w:rPr>
          <w:sz w:val="20"/>
          <w:szCs w:val="20"/>
          <w:color w:val="auto"/>
        </w:rPr>
      </w:pPr>
    </w:p>
    <w:p>
      <w:pPr>
        <w:ind w:left="1280" w:hanging="638"/>
        <w:spacing w:after="0"/>
        <w:tabs>
          <w:tab w:leader="none" w:pos="12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chairman of the meeting proposes the amendment at the general meeting at which the resolution is to be proposed; and</w:t>
      </w:r>
    </w:p>
    <w:p>
      <w:pPr>
        <w:spacing w:after="0" w:line="225" w:lineRule="exact"/>
        <w:rPr>
          <w:rFonts w:ascii="Arial" w:cs="Arial" w:eastAsia="Arial" w:hAnsi="Arial"/>
          <w:sz w:val="18"/>
          <w:szCs w:val="18"/>
          <w:color w:val="auto"/>
        </w:rPr>
      </w:pPr>
    </w:p>
    <w:p>
      <w:pPr>
        <w:ind w:left="1280" w:right="220" w:hanging="638"/>
        <w:spacing w:after="0" w:line="277" w:lineRule="auto"/>
        <w:tabs>
          <w:tab w:leader="none" w:pos="12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amendment does not go beyond what the chairman considers is necessary to correct a grammatical or other non-substantive error in the resolution.</w:t>
      </w:r>
    </w:p>
    <w:p>
      <w:pPr>
        <w:spacing w:after="0" w:line="170" w:lineRule="exact"/>
        <w:rPr>
          <w:sz w:val="20"/>
          <w:szCs w:val="20"/>
          <w:color w:val="auto"/>
        </w:rPr>
      </w:pPr>
    </w:p>
    <w:p>
      <w:pPr>
        <w:ind w:left="640" w:right="180" w:hanging="633"/>
        <w:spacing w:after="0" w:line="277" w:lineRule="auto"/>
        <w:tabs>
          <w:tab w:leader="none" w:pos="620" w:val="left"/>
        </w:tabs>
        <w:rPr>
          <w:sz w:val="20"/>
          <w:szCs w:val="20"/>
          <w:color w:val="auto"/>
        </w:rPr>
      </w:pPr>
      <w:r>
        <w:rPr>
          <w:rFonts w:ascii="Arial" w:cs="Arial" w:eastAsia="Arial" w:hAnsi="Arial"/>
          <w:sz w:val="18"/>
          <w:szCs w:val="18"/>
          <w:color w:val="auto"/>
        </w:rPr>
        <w:t>11.19</w:t>
        <w:tab/>
        <w:t>If the chairman of the meeting, acting in good faith, wrongly decides that an amendment to a resolution is out of order, the chairman's error does not invalidate the vote on that resolution.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resolutions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6"/>
          <w:szCs w:val="16"/>
          <w:color w:val="auto"/>
        </w:rPr>
        <w:t>Members may pass a resolution in writing without holding a meeting if the following conditions are met:</w:t>
      </w:r>
    </w:p>
    <w:p>
      <w:pPr>
        <w:spacing w:after="0" w:line="225" w:lineRule="exact"/>
        <w:rPr>
          <w:sz w:val="20"/>
          <w:szCs w:val="20"/>
          <w:color w:val="auto"/>
        </w:rPr>
      </w:pPr>
    </w:p>
    <w:p>
      <w:pPr>
        <w:ind w:left="1280" w:hanging="638"/>
        <w:spacing w:after="0"/>
        <w:tabs>
          <w:tab w:leader="none" w:pos="12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all Members entitled to vote are given notice of the resolution as if the same were being proposed at a meeting of Members;</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all Members entitled so to vote :</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sign a document; or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2" w:right="359" w:bottom="1440" w:gutter="0" w:footer="0" w:header="0"/>
        </w:sectPr>
      </w:pPr>
    </w:p>
    <w:bookmarkStart w:id="165" w:name="page166"/>
    <w:bookmarkEnd w:id="165"/>
    <w:p>
      <w:pPr>
        <w:ind w:left="1920" w:hanging="643"/>
        <w:spacing w:after="0"/>
        <w:tabs>
          <w:tab w:leader="none" w:pos="19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sign several documents in the like form each signed by one or more of those Members; and</w:t>
      </w:r>
    </w:p>
    <w:p>
      <w:pPr>
        <w:spacing w:after="0" w:line="225" w:lineRule="exact"/>
        <w:rPr>
          <w:rFonts w:ascii="Arial" w:cs="Arial" w:eastAsia="Arial" w:hAnsi="Arial"/>
          <w:sz w:val="18"/>
          <w:szCs w:val="18"/>
          <w:color w:val="auto"/>
        </w:rPr>
      </w:pPr>
    </w:p>
    <w:p>
      <w:pPr>
        <w:ind w:left="1280" w:right="580" w:hanging="638"/>
        <w:spacing w:after="0" w:line="277" w:lineRule="auto"/>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signed document or documents is or are delivered to the Company, including, if the Company so nominates, by delivery of an Electronic Record by Electronic means to the address specified for that purpose.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Such written resolution shall be as effective as if it had been passed at a meeting of the Members entitled to vote duly convened and held.</w:t>
      </w:r>
    </w:p>
    <w:p>
      <w:pPr>
        <w:spacing w:after="0" w:line="23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color w:val="auto"/>
        </w:rPr>
        <w:t>If a written resolution is described as a Special Resolution or as an Ordinary Resolution, it has effect accordingly.</w:t>
      </w:r>
    </w:p>
    <w:p>
      <w:pPr>
        <w:spacing w:after="0" w:line="225" w:lineRule="exact"/>
        <w:rPr>
          <w:sz w:val="20"/>
          <w:szCs w:val="20"/>
          <w:color w:val="auto"/>
        </w:rPr>
      </w:pPr>
    </w:p>
    <w:p>
      <w:pPr>
        <w:jc w:val="both"/>
        <w:ind w:left="640" w:right="40" w:hanging="633"/>
        <w:spacing w:after="0" w:line="287" w:lineRule="auto"/>
        <w:tabs>
          <w:tab w:leader="none" w:pos="62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6"/>
          <w:szCs w:val="16"/>
          <w:color w:val="auto"/>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result of any such written resolution shall be determined on the same basis as on a poll.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Sole-member company</w:t>
      </w:r>
    </w:p>
    <w:p>
      <w:pPr>
        <w:spacing w:after="0" w:line="229" w:lineRule="exact"/>
        <w:rPr>
          <w:sz w:val="20"/>
          <w:szCs w:val="20"/>
          <w:color w:val="auto"/>
        </w:rPr>
      </w:pPr>
    </w:p>
    <w:p>
      <w:pPr>
        <w:ind w:left="640" w:right="80" w:hanging="633"/>
        <w:spacing w:after="0" w:line="277" w:lineRule="auto"/>
        <w:tabs>
          <w:tab w:leader="none" w:pos="620" w:val="left"/>
        </w:tabs>
        <w:rPr>
          <w:sz w:val="20"/>
          <w:szCs w:val="20"/>
          <w:color w:val="auto"/>
        </w:rPr>
      </w:pPr>
      <w:r>
        <w:rPr>
          <w:rFonts w:ascii="Arial" w:cs="Arial" w:eastAsia="Arial" w:hAnsi="Arial"/>
          <w:sz w:val="18"/>
          <w:szCs w:val="18"/>
          <w:color w:val="auto"/>
        </w:rPr>
        <w:t>11.23</w:t>
        <w:tab/>
        <w:t>If the Company has only one Member, and the Member records in writing his decision on a question, that record shall constitute both the passing of a resolution and the minute of it.</w:t>
      </w:r>
    </w:p>
    <w:p>
      <w:pPr>
        <w:spacing w:after="0" w:line="166" w:lineRule="exact"/>
        <w:rPr>
          <w:sz w:val="20"/>
          <w:szCs w:val="20"/>
          <w:color w:val="auto"/>
        </w:rPr>
      </w:pPr>
    </w:p>
    <w:p>
      <w:pPr>
        <w:ind w:right="8560" w:firstLine="8"/>
        <w:spacing w:after="0" w:line="503" w:lineRule="auto"/>
        <w:tabs>
          <w:tab w:leader="none" w:pos="634"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Voting rights of Members Right to vote</w:t>
      </w: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Members may vote in person or by proxy.</w:t>
      </w:r>
    </w:p>
    <w:p>
      <w:pPr>
        <w:spacing w:after="0" w:line="225" w:lineRule="exact"/>
        <w:rPr>
          <w:sz w:val="20"/>
          <w:szCs w:val="20"/>
          <w:color w:val="auto"/>
        </w:rPr>
      </w:pPr>
    </w:p>
    <w:p>
      <w:pPr>
        <w:ind w:left="640" w:right="620" w:hanging="633"/>
        <w:spacing w:after="0" w:line="308" w:lineRule="auto"/>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On a show of hands, every Member shall have one vote. For the avoidance of doubt, an individual who represents two or more Members, including a Member in that individual's own right, that individual shall be entitled to a separate vote for each Member.</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On a poll a Member shall have one vote for each Share he holds, unless any Share carries special voting rights.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A fraction of a Share shall entitle its holder to an equivalent fraction of one vote.</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No Member is bound to vote on his Shares or any of them; nor is he bound to vote each of his Shares in the same way.</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62" w:right="41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Rights of joint holders</w:t>
      </w:r>
    </w:p>
    <w:p>
      <w:pPr>
        <w:spacing w:after="0" w:line="229" w:lineRule="exact"/>
        <w:rPr>
          <w:sz w:val="20"/>
          <w:szCs w:val="20"/>
          <w:color w:val="auto"/>
        </w:rPr>
      </w:pPr>
    </w:p>
    <w:p>
      <w:pPr>
        <w:ind w:left="640" w:right="100" w:hanging="633"/>
        <w:spacing w:after="0" w:line="342" w:lineRule="auto"/>
        <w:tabs>
          <w:tab w:leader="none" w:pos="6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 of corporate Members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Save where otherwise provided, a corporate Member must act by a duly authorised representative.</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A corporate Member wishing to act by a duly authorised representative must identify that person to the Company by notice in writing</w:t>
      </w:r>
      <w:r>
        <w:rPr>
          <w:rFonts w:ascii="Arial" w:cs="Arial" w:eastAsia="Arial" w:hAnsi="Arial"/>
          <w:sz w:val="16"/>
          <w:szCs w:val="16"/>
          <w:b w:val="1"/>
          <w:bCs w:val="1"/>
          <w:color w:val="auto"/>
        </w:rPr>
        <w:t>.</w:t>
      </w:r>
    </w:p>
    <w:p>
      <w:pPr>
        <w:spacing w:after="0" w:line="229" w:lineRule="exact"/>
        <w:rPr>
          <w:sz w:val="20"/>
          <w:szCs w:val="20"/>
          <w:color w:val="auto"/>
        </w:rPr>
      </w:pPr>
    </w:p>
    <w:p>
      <w:pPr>
        <w:ind w:left="640" w:right="220" w:hanging="633"/>
        <w:spacing w:after="0" w:line="277" w:lineRule="auto"/>
        <w:tabs>
          <w:tab w:leader="none" w:pos="620" w:val="left"/>
        </w:tabs>
        <w:rPr>
          <w:sz w:val="20"/>
          <w:szCs w:val="20"/>
          <w:color w:val="auto"/>
        </w:rPr>
      </w:pPr>
      <w:r>
        <w:rPr>
          <w:rFonts w:ascii="Arial" w:cs="Arial" w:eastAsia="Arial" w:hAnsi="Arial"/>
          <w:sz w:val="18"/>
          <w:szCs w:val="18"/>
          <w:color w:val="auto"/>
        </w:rPr>
        <w:t>12.10</w:t>
        <w:tab/>
        <w:t>The authorisation may be for any period of time, and must be delivered to the Company not less than 48 hours before the commencement of the meeting at which it is first used.</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color w:val="auto"/>
        </w:rPr>
        <w:t>The directors of the Company may require the production of any evidence which they consider necessary to determine the validity of the notice.</w:t>
      </w:r>
    </w:p>
    <w:p>
      <w:pPr>
        <w:spacing w:after="0" w:line="225" w:lineRule="exact"/>
        <w:rPr>
          <w:sz w:val="20"/>
          <w:szCs w:val="20"/>
          <w:color w:val="auto"/>
        </w:rPr>
      </w:pPr>
    </w:p>
    <w:p>
      <w:pPr>
        <w:ind w:left="640" w:right="140" w:hanging="633"/>
        <w:spacing w:after="0" w:line="277" w:lineRule="auto"/>
        <w:tabs>
          <w:tab w:leader="none" w:pos="620" w:val="left"/>
        </w:tabs>
        <w:rPr>
          <w:sz w:val="20"/>
          <w:szCs w:val="20"/>
          <w:color w:val="auto"/>
        </w:rPr>
      </w:pPr>
      <w:r>
        <w:rPr>
          <w:rFonts w:ascii="Arial" w:cs="Arial" w:eastAsia="Arial" w:hAnsi="Arial"/>
          <w:sz w:val="18"/>
          <w:szCs w:val="18"/>
          <w:color w:val="auto"/>
        </w:rPr>
        <w:t>12.12</w:t>
        <w:tab/>
        <w:t>Where a duly authorised representative is present at a meeting that Member is deemed to be present in person; and the acts of the duly authorised representative are personal acts of that Member.</w:t>
      </w:r>
    </w:p>
    <w:p>
      <w:pPr>
        <w:spacing w:after="0" w:line="170" w:lineRule="exact"/>
        <w:rPr>
          <w:sz w:val="20"/>
          <w:szCs w:val="20"/>
          <w:color w:val="auto"/>
        </w:rPr>
      </w:pPr>
    </w:p>
    <w:p>
      <w:pPr>
        <w:ind w:left="640" w:hanging="633"/>
        <w:spacing w:after="0" w:line="263" w:lineRule="auto"/>
        <w:tabs>
          <w:tab w:leader="none" w:pos="620" w:val="left"/>
        </w:tabs>
        <w:rPr>
          <w:sz w:val="20"/>
          <w:szCs w:val="20"/>
          <w:color w:val="auto"/>
        </w:rPr>
      </w:pPr>
      <w:r>
        <w:rPr>
          <w:rFonts w:ascii="Arial" w:cs="Arial" w:eastAsia="Arial" w:hAnsi="Arial"/>
          <w:sz w:val="18"/>
          <w:szCs w:val="18"/>
          <w:color w:val="auto"/>
        </w:rPr>
        <w:t>12.13</w:t>
        <w:tab/>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 with mental disorder</w:t>
      </w:r>
    </w:p>
    <w:p>
      <w:pPr>
        <w:spacing w:after="0" w:line="229" w:lineRule="exact"/>
        <w:rPr>
          <w:sz w:val="20"/>
          <w:szCs w:val="20"/>
          <w:color w:val="auto"/>
        </w:rPr>
      </w:pPr>
    </w:p>
    <w:p>
      <w:pPr>
        <w:ind w:left="640" w:hanging="633"/>
        <w:spacing w:after="0" w:line="263" w:lineRule="auto"/>
        <w:tabs>
          <w:tab w:leader="none" w:pos="620" w:val="left"/>
        </w:tabs>
        <w:rPr>
          <w:sz w:val="20"/>
          <w:szCs w:val="20"/>
          <w:color w:val="auto"/>
        </w:rPr>
      </w:pPr>
      <w:r>
        <w:rPr>
          <w:rFonts w:ascii="Arial" w:cs="Arial" w:eastAsia="Arial" w:hAnsi="Arial"/>
          <w:sz w:val="18"/>
          <w:szCs w:val="18"/>
          <w:color w:val="auto"/>
        </w:rPr>
        <w:t>12.14</w:t>
        <w:tab/>
        <w:t>A Member in respect of whom an order has been made by any court having jurisdiction (whether in the Islands or elsewhere) in matters concerning mental disorder may vote, whether on a show of hands or on a poll, by that Member's receiver, curator bonis or other person authorised in that behalf appointed by that court.</w:t>
      </w:r>
    </w:p>
    <w:p>
      <w:pPr>
        <w:spacing w:after="0" w:line="184" w:lineRule="exact"/>
        <w:rPr>
          <w:sz w:val="20"/>
          <w:szCs w:val="20"/>
          <w:color w:val="auto"/>
        </w:rPr>
      </w:pPr>
    </w:p>
    <w:p>
      <w:pPr>
        <w:jc w:val="both"/>
        <w:ind w:left="640" w:hanging="633"/>
        <w:spacing w:after="0" w:line="311" w:lineRule="auto"/>
        <w:tabs>
          <w:tab w:leader="none" w:pos="62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6"/>
          <w:szCs w:val="16"/>
          <w:color w:val="auto"/>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Objections to admissibility of votes</w:t>
      </w:r>
    </w:p>
    <w:p>
      <w:pPr>
        <w:spacing w:after="0" w:line="229" w:lineRule="exact"/>
        <w:rPr>
          <w:sz w:val="20"/>
          <w:szCs w:val="20"/>
          <w:color w:val="auto"/>
        </w:rPr>
      </w:pPr>
    </w:p>
    <w:p>
      <w:pPr>
        <w:ind w:left="640" w:right="440" w:hanging="633"/>
        <w:spacing w:after="0" w:line="308" w:lineRule="auto"/>
        <w:tabs>
          <w:tab w:leader="none" w:pos="620" w:val="left"/>
        </w:tabs>
        <w:rPr>
          <w:sz w:val="20"/>
          <w:szCs w:val="20"/>
          <w:color w:val="auto"/>
        </w:rPr>
      </w:pPr>
      <w:r>
        <w:rPr>
          <w:rFonts w:ascii="Arial" w:cs="Arial" w:eastAsia="Arial" w:hAnsi="Arial"/>
          <w:sz w:val="18"/>
          <w:szCs w:val="18"/>
          <w:color w:val="auto"/>
        </w:rPr>
        <w:t>12.16</w:t>
      </w:r>
      <w:r>
        <w:rPr>
          <w:sz w:val="20"/>
          <w:szCs w:val="20"/>
          <w:color w:val="auto"/>
        </w:rPr>
        <w:tab/>
      </w:r>
      <w:r>
        <w:rPr>
          <w:rFonts w:ascii="Arial" w:cs="Arial" w:eastAsia="Arial" w:hAnsi="Arial"/>
          <w:sz w:val="17"/>
          <w:szCs w:val="17"/>
          <w:color w:val="auto"/>
        </w:rPr>
        <w:t>An objection to the validity of a person's vote may only be raised at the meeting or at the adjourned meeting at which the vote is sought to be tendered. Any objection duly made shall be referred to the chairman whose decision shall be final and conclusive.</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Form of proxy</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12.17</w:t>
      </w:r>
      <w:r>
        <w:rPr>
          <w:sz w:val="20"/>
          <w:szCs w:val="20"/>
          <w:color w:val="auto"/>
        </w:rPr>
        <w:tab/>
      </w:r>
      <w:r>
        <w:rPr>
          <w:rFonts w:ascii="Arial" w:cs="Arial" w:eastAsia="Arial" w:hAnsi="Arial"/>
          <w:sz w:val="16"/>
          <w:szCs w:val="16"/>
          <w:color w:val="auto"/>
        </w:rPr>
        <w:t>An instrument appointing a proxy shall be in any common form or in any other form approved by the directors.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12.18</w:t>
      </w:r>
      <w:r>
        <w:rPr>
          <w:sz w:val="20"/>
          <w:szCs w:val="20"/>
          <w:color w:val="auto"/>
        </w:rPr>
        <w:tab/>
      </w:r>
      <w:r>
        <w:rPr>
          <w:rFonts w:ascii="Arial" w:cs="Arial" w:eastAsia="Arial" w:hAnsi="Arial"/>
          <w:sz w:val="16"/>
          <w:szCs w:val="16"/>
          <w:color w:val="auto"/>
        </w:rPr>
        <w:t>The instrument must be in writing and signed in one of the following ways:</w:t>
      </w:r>
    </w:p>
    <w:p>
      <w:pPr>
        <w:spacing w:after="0" w:line="225" w:lineRule="exact"/>
        <w:rPr>
          <w:sz w:val="20"/>
          <w:szCs w:val="20"/>
          <w:color w:val="auto"/>
        </w:rPr>
      </w:pPr>
    </w:p>
    <w:p>
      <w:pPr>
        <w:ind w:left="1280" w:hanging="638"/>
        <w:spacing w:after="0"/>
        <w:tabs>
          <w:tab w:leader="none" w:pos="12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the Member;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the Member's authorised attorney;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the Member is a corporation or other body corporate, under seal or signed by an authorised officer, secretary or attorney.</w:t>
      </w:r>
    </w:p>
    <w:p>
      <w:pPr>
        <w:spacing w:after="0" w:line="225" w:lineRule="exact"/>
        <w:rPr>
          <w:sz w:val="20"/>
          <w:szCs w:val="20"/>
          <w:color w:val="auto"/>
        </w:rPr>
      </w:pPr>
    </w:p>
    <w:p>
      <w:pPr>
        <w:ind w:left="640" w:right="700"/>
        <w:spacing w:after="0" w:line="277" w:lineRule="auto"/>
        <w:rPr>
          <w:sz w:val="20"/>
          <w:szCs w:val="20"/>
          <w:color w:val="auto"/>
        </w:rPr>
      </w:pPr>
      <w:r>
        <w:rPr>
          <w:rFonts w:ascii="Arial" w:cs="Arial" w:eastAsia="Arial" w:hAnsi="Arial"/>
          <w:sz w:val="18"/>
          <w:szCs w:val="18"/>
          <w:color w:val="auto"/>
        </w:rPr>
        <w:t>If the directors so resolve, the Company may accept an Electronic Record of that instrument delivered in the manner specified below and otherwise satisfying the Articles about authentication of Electronic Records.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12.19</w:t>
      </w:r>
      <w:r>
        <w:rPr>
          <w:sz w:val="20"/>
          <w:szCs w:val="20"/>
          <w:color w:val="auto"/>
        </w:rPr>
        <w:tab/>
      </w:r>
      <w:r>
        <w:rPr>
          <w:rFonts w:ascii="Arial" w:cs="Arial" w:eastAsia="Arial" w:hAnsi="Arial"/>
          <w:sz w:val="16"/>
          <w:szCs w:val="16"/>
          <w:color w:val="auto"/>
        </w:rPr>
        <w:t>The directors may require the production of any evidence which they consider necessary to determine the validity of any appointment of a proxy.</w:t>
      </w:r>
    </w:p>
    <w:p>
      <w:pPr>
        <w:spacing w:after="0" w:line="225" w:lineRule="exact"/>
        <w:rPr>
          <w:sz w:val="20"/>
          <w:szCs w:val="20"/>
          <w:color w:val="auto"/>
        </w:rPr>
      </w:pPr>
    </w:p>
    <w:p>
      <w:pPr>
        <w:ind w:left="640" w:right="20" w:hanging="633"/>
        <w:spacing w:after="0" w:line="263" w:lineRule="auto"/>
        <w:tabs>
          <w:tab w:leader="none" w:pos="620" w:val="left"/>
        </w:tabs>
        <w:rPr>
          <w:sz w:val="20"/>
          <w:szCs w:val="20"/>
          <w:color w:val="auto"/>
        </w:rPr>
      </w:pPr>
      <w:r>
        <w:rPr>
          <w:rFonts w:ascii="Arial" w:cs="Arial" w:eastAsia="Arial" w:hAnsi="Arial"/>
          <w:sz w:val="18"/>
          <w:szCs w:val="18"/>
          <w:color w:val="auto"/>
        </w:rPr>
        <w:t>12.20</w:t>
        <w:tab/>
        <w:t>A Member may revoke the appointment of a proxy at any time by notice to the Company duly signed in accordance with the Article above about signing proxies; but such revocation will not affect the validity of any acts carried out by the proxy before the directors of the Company had actual notice of the revocation.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proxy is to be delivered</w:t>
      </w:r>
    </w:p>
    <w:p>
      <w:pPr>
        <w:spacing w:after="0" w:line="229" w:lineRule="exact"/>
        <w:rPr>
          <w:sz w:val="20"/>
          <w:szCs w:val="20"/>
          <w:color w:val="auto"/>
        </w:rPr>
      </w:pPr>
    </w:p>
    <w:p>
      <w:pPr>
        <w:ind w:left="640" w:hanging="633"/>
        <w:spacing w:after="0" w:line="259" w:lineRule="auto"/>
        <w:tabs>
          <w:tab w:leader="none" w:pos="620" w:val="left"/>
        </w:tabs>
        <w:rPr>
          <w:sz w:val="20"/>
          <w:szCs w:val="20"/>
          <w:color w:val="auto"/>
        </w:rPr>
      </w:pPr>
      <w:r>
        <w:rPr>
          <w:rFonts w:ascii="Arial" w:cs="Arial" w:eastAsia="Arial" w:hAnsi="Arial"/>
          <w:sz w:val="18"/>
          <w:szCs w:val="18"/>
          <w:color w:val="auto"/>
        </w:rPr>
        <w:t>12.21</w:t>
        <w:tab/>
        <w:t>Subject to the following Articles, the form of appointment of a proxy and any authority under which it is signed (or a copy of the authority certified notarially or in any other way approved by the directors) must be delivered so that it is received by the Company at any time before the time for holding the meeting or adjourned meeting at which the person named in the form of appointment of proxy proposes to vote. They must be delivered in either of the following ways:</w:t>
      </w:r>
    </w:p>
    <w:p>
      <w:pPr>
        <w:spacing w:after="0" w:line="187" w:lineRule="exact"/>
        <w:rPr>
          <w:sz w:val="20"/>
          <w:szCs w:val="20"/>
          <w:color w:val="auto"/>
        </w:rPr>
      </w:pPr>
    </w:p>
    <w:p>
      <w:pPr>
        <w:ind w:left="1280" w:hanging="638"/>
        <w:spacing w:after="0"/>
        <w:tabs>
          <w:tab w:leader="none" w:pos="12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case of an instrument in writing, it must be left at or sent by post:</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to the registered office of the Company; or</w:t>
      </w:r>
    </w:p>
    <w:p>
      <w:pPr>
        <w:spacing w:after="0" w:line="225" w:lineRule="exact"/>
        <w:rPr>
          <w:rFonts w:ascii="Arial" w:cs="Arial" w:eastAsia="Arial" w:hAnsi="Arial"/>
          <w:sz w:val="18"/>
          <w:szCs w:val="18"/>
          <w:color w:val="auto"/>
        </w:rPr>
      </w:pPr>
    </w:p>
    <w:p>
      <w:pPr>
        <w:ind w:left="1920" w:right="80" w:hanging="643"/>
        <w:spacing w:after="0" w:line="277" w:lineRule="auto"/>
        <w:tabs>
          <w:tab w:leader="none" w:pos="19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to such other place within the Islands specified in the notice convening the meeting or in any form of appointment of proxy sent out by the Company in relation to the meeting.</w:t>
      </w:r>
    </w:p>
    <w:p>
      <w:pPr>
        <w:spacing w:after="0" w:line="170" w:lineRule="exact"/>
        <w:rPr>
          <w:rFonts w:ascii="Arial" w:cs="Arial" w:eastAsia="Arial" w:hAnsi="Arial"/>
          <w:sz w:val="18"/>
          <w:szCs w:val="18"/>
          <w:color w:val="auto"/>
        </w:rPr>
      </w:pPr>
    </w:p>
    <w:p>
      <w:pPr>
        <w:ind w:left="1280" w:right="480" w:hanging="638"/>
        <w:spacing w:after="0" w:line="263" w:lineRule="auto"/>
        <w:tabs>
          <w:tab w:leader="none" w:pos="12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spacing w:after="0" w:line="183" w:lineRule="exact"/>
        <w:rPr>
          <w:rFonts w:ascii="Arial" w:cs="Arial" w:eastAsia="Arial" w:hAnsi="Arial"/>
          <w:sz w:val="18"/>
          <w:szCs w:val="18"/>
          <w:color w:val="auto"/>
        </w:rPr>
      </w:pPr>
    </w:p>
    <w:p>
      <w:pPr>
        <w:ind w:left="1920" w:hanging="643"/>
        <w:spacing w:after="0"/>
        <w:tabs>
          <w:tab w:leader="none" w:pos="192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the notice convening the meeting; or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58" w:right="379" w:bottom="1440" w:gutter="0" w:footer="0" w:header="0"/>
        </w:sectPr>
      </w:pPr>
    </w:p>
    <w:bookmarkStart w:id="168" w:name="page169"/>
    <w:bookmarkEnd w:id="168"/>
    <w:p>
      <w:pPr>
        <w:ind w:left="1920" w:hanging="643"/>
        <w:spacing w:after="0"/>
        <w:tabs>
          <w:tab w:leader="none" w:pos="19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any form of appointment of a proxy sent out by the Company in relation to the meeting; or</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any invitation to appoint a proxy issued by the Company in relation to the meeting.</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12.22</w:t>
      </w:r>
      <w:r>
        <w:rPr>
          <w:sz w:val="20"/>
          <w:szCs w:val="20"/>
          <w:color w:val="auto"/>
        </w:rPr>
        <w:tab/>
      </w:r>
      <w:r>
        <w:rPr>
          <w:rFonts w:ascii="Arial" w:cs="Arial" w:eastAsia="Arial" w:hAnsi="Arial"/>
          <w:sz w:val="16"/>
          <w:szCs w:val="16"/>
          <w:color w:val="auto"/>
        </w:rPr>
        <w:t>Where a poll is taken:</w:t>
      </w:r>
    </w:p>
    <w:p>
      <w:pPr>
        <w:spacing w:after="0" w:line="225" w:lineRule="exact"/>
        <w:rPr>
          <w:sz w:val="20"/>
          <w:szCs w:val="20"/>
          <w:color w:val="auto"/>
        </w:rPr>
      </w:pPr>
    </w:p>
    <w:p>
      <w:pPr>
        <w:jc w:val="both"/>
        <w:ind w:left="1280" w:right="20" w:hanging="638"/>
        <w:spacing w:after="0" w:line="263" w:lineRule="auto"/>
        <w:tabs>
          <w:tab w:leader="none" w:pos="12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it is taken more than seven Clear Days after it is demanded, the form of appointment of a proxy and any accompanying authority (or an Electronic Record of the same) must be delivered as required under the preceding Article not less than 48 hours before the time appointed for the taking of the poll;</w:t>
      </w:r>
    </w:p>
    <w:p>
      <w:pPr>
        <w:spacing w:after="0" w:line="183" w:lineRule="exact"/>
        <w:rPr>
          <w:rFonts w:ascii="Arial" w:cs="Arial" w:eastAsia="Arial" w:hAnsi="Arial"/>
          <w:sz w:val="18"/>
          <w:szCs w:val="18"/>
          <w:color w:val="auto"/>
        </w:rPr>
      </w:pPr>
    </w:p>
    <w:p>
      <w:pPr>
        <w:jc w:val="both"/>
        <w:ind w:left="1280" w:right="100" w:hanging="638"/>
        <w:spacing w:after="0" w:line="263" w:lineRule="auto"/>
        <w:tabs>
          <w:tab w:leader="none" w:pos="12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but if it to be taken within seven Clear Days after it was demanded, the form of appointment of a proxy and any accompanying authority (or an Electronic Record of the same) must be e delivered as required under the preceding Article not less than two hours before the time appointed for the taking of the poll.</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12.23</w:t>
      </w:r>
      <w:r>
        <w:rPr>
          <w:sz w:val="20"/>
          <w:szCs w:val="20"/>
          <w:color w:val="auto"/>
        </w:rPr>
        <w:tab/>
      </w:r>
      <w:r>
        <w:rPr>
          <w:rFonts w:ascii="Arial" w:cs="Arial" w:eastAsia="Arial" w:hAnsi="Arial"/>
          <w:sz w:val="16"/>
          <w:szCs w:val="16"/>
          <w:color w:val="auto"/>
        </w:rPr>
        <w:t>If the form of appointment of proxy is not delivered on time, it is invalid.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proxy</w:t>
      </w:r>
    </w:p>
    <w:p>
      <w:pPr>
        <w:spacing w:after="0" w:line="229" w:lineRule="exact"/>
        <w:rPr>
          <w:sz w:val="20"/>
          <w:szCs w:val="20"/>
          <w:color w:val="auto"/>
        </w:rPr>
      </w:pPr>
    </w:p>
    <w:p>
      <w:pPr>
        <w:ind w:left="640" w:right="120" w:hanging="633"/>
        <w:spacing w:after="0" w:line="259" w:lineRule="auto"/>
        <w:tabs>
          <w:tab w:leader="none" w:pos="620" w:val="left"/>
        </w:tabs>
        <w:rPr>
          <w:sz w:val="20"/>
          <w:szCs w:val="20"/>
          <w:color w:val="auto"/>
        </w:rPr>
      </w:pPr>
      <w:r>
        <w:rPr>
          <w:rFonts w:ascii="Arial" w:cs="Arial" w:eastAsia="Arial" w:hAnsi="Arial"/>
          <w:sz w:val="18"/>
          <w:szCs w:val="18"/>
          <w:color w:val="auto"/>
        </w:rPr>
        <w:t>12.24</w:t>
        <w:tab/>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spacing w:after="0" w:line="183" w:lineRule="exact"/>
        <w:rPr>
          <w:sz w:val="20"/>
          <w:szCs w:val="20"/>
          <w:color w:val="auto"/>
        </w:rPr>
      </w:pPr>
    </w:p>
    <w:p>
      <w:pPr>
        <w:ind w:left="640" w:hanging="632"/>
        <w:spacing w:after="0"/>
        <w:tabs>
          <w:tab w:leader="none" w:pos="6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directors</w:t>
      </w:r>
    </w:p>
    <w:p>
      <w:pPr>
        <w:spacing w:after="0" w:line="229" w:lineRule="exact"/>
        <w:rPr>
          <w:rFonts w:ascii="Arial" w:cs="Arial" w:eastAsia="Arial" w:hAnsi="Arial"/>
          <w:sz w:val="18"/>
          <w:szCs w:val="18"/>
          <w:b w:val="1"/>
          <w:bCs w:val="1"/>
          <w:color w:val="auto"/>
        </w:rPr>
      </w:pPr>
    </w:p>
    <w:p>
      <w:pPr>
        <w:ind w:left="6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Unless otherwise determined by Ordinary Resolution, the minimum number of directors shall be one and the maximum number shall be ten. There shall be no directors, however, until the first director is or the first directors are appointed by the subscriber or subscribers to the Memorandum.</w:t>
      </w:r>
    </w:p>
    <w:p>
      <w:pPr>
        <w:spacing w:after="0" w:line="119" w:lineRule="exact"/>
        <w:rPr>
          <w:rFonts w:ascii="Arial" w:cs="Arial" w:eastAsia="Arial" w:hAnsi="Arial"/>
          <w:sz w:val="18"/>
          <w:szCs w:val="18"/>
          <w:b w:val="1"/>
          <w:bCs w:val="1"/>
          <w:color w:val="auto"/>
        </w:rPr>
      </w:pPr>
    </w:p>
    <w:p>
      <w:pPr>
        <w:ind w:left="640" w:hanging="632"/>
        <w:spacing w:after="0"/>
        <w:tabs>
          <w:tab w:leader="none" w:pos="6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disqualification and removal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directors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first directors shall be appointed in writing by the subscriber or subscribers to the Memorandum.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age limit</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There is no age limit for directors save that they must be aged at least 18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directors</w:t>
      </w:r>
    </w:p>
    <w:p>
      <w:pPr>
        <w:spacing w:after="0" w:line="229" w:lineRule="exact"/>
        <w:rPr>
          <w:sz w:val="20"/>
          <w:szCs w:val="20"/>
          <w:color w:val="auto"/>
        </w:rPr>
      </w:pPr>
    </w:p>
    <w:p>
      <w:pPr>
        <w:ind w:left="640" w:right="500" w:hanging="633"/>
        <w:spacing w:after="0" w:line="277" w:lineRule="auto"/>
        <w:tabs>
          <w:tab w:leader="none" w:pos="6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Unless prohibited by law, a body corporate may be a director. If a body corporate is a director, the Articles about representation of corporate Members at general meetings apply, mutatis mutandis, to the Articles about directors' meetings.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2" w:right="3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No shareholding qualification</w:t>
      </w:r>
    </w:p>
    <w:p>
      <w:pPr>
        <w:spacing w:after="0" w:line="229" w:lineRule="exact"/>
        <w:rPr>
          <w:sz w:val="20"/>
          <w:szCs w:val="20"/>
          <w:color w:val="auto"/>
        </w:rPr>
      </w:pPr>
    </w:p>
    <w:p>
      <w:pPr>
        <w:ind w:left="640" w:right="80" w:hanging="633"/>
        <w:spacing w:after="0" w:line="277" w:lineRule="auto"/>
        <w:tabs>
          <w:tab w:leader="none" w:pos="6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Unless a shareholding qualification for directors is fixed by Ordinary Resolution, no director shall be required to own Shares as a condition of his appointment.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directors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A director may be appointed by Ordinary Resolution or by the directors. Any appointment may be to fill a vacancy or as an additional director.</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A remaining director may appoint a director even though there is not a quorum of directors.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color w:val="auto"/>
        </w:rPr>
        <w:t>No appointment can cause the number of directors to exceed the maximum; and any such appointment shall be invalid.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color w:val="auto"/>
        </w:rPr>
        <w:t>A director may be removed by Ordinary Resolution.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directors</w:t>
      </w:r>
    </w:p>
    <w:p>
      <w:pPr>
        <w:spacing w:after="0" w:line="229" w:lineRule="exact"/>
        <w:rPr>
          <w:sz w:val="20"/>
          <w:szCs w:val="20"/>
          <w:color w:val="auto"/>
        </w:rPr>
      </w:pPr>
    </w:p>
    <w:p>
      <w:pPr>
        <w:ind w:left="640" w:right="560" w:hanging="633"/>
        <w:spacing w:after="0" w:line="277" w:lineRule="auto"/>
        <w:tabs>
          <w:tab w:leader="none" w:pos="62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8"/>
          <w:szCs w:val="18"/>
          <w:color w:val="auto"/>
        </w:rPr>
        <w:t>A director may at any time resign office by giving to the Company notice in writing or, if permitted pursuant to the notice provisions, in an Electronic Record delivered in either case in accordance with those provisions.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14.10</w:t>
      </w:r>
      <w:r>
        <w:rPr>
          <w:sz w:val="20"/>
          <w:szCs w:val="20"/>
          <w:color w:val="auto"/>
        </w:rPr>
        <w:tab/>
      </w:r>
      <w:r>
        <w:rPr>
          <w:rFonts w:ascii="Arial" w:cs="Arial" w:eastAsia="Arial" w:hAnsi="Arial"/>
          <w:sz w:val="16"/>
          <w:szCs w:val="16"/>
          <w:color w:val="auto"/>
        </w:rPr>
        <w:t>Unless the notice specifies a different date, the director shall be deemed to have resigned on the date that the notice is delivered to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office of director</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6"/>
          <w:szCs w:val="16"/>
          <w:color w:val="auto"/>
        </w:rPr>
        <w:t>A director's office shall be terminated forthwith if:</w:t>
      </w:r>
    </w:p>
    <w:p>
      <w:pPr>
        <w:spacing w:after="0" w:line="225" w:lineRule="exact"/>
        <w:rPr>
          <w:sz w:val="20"/>
          <w:szCs w:val="20"/>
          <w:color w:val="auto"/>
        </w:rPr>
      </w:pPr>
    </w:p>
    <w:p>
      <w:pPr>
        <w:ind w:left="1280" w:hanging="638"/>
        <w:spacing w:after="0"/>
        <w:tabs>
          <w:tab w:leader="none" w:pos="12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he is prohibited by the law of the Islands from acting as a director;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he is made bankrupt or makes an arrangement or composition with his creditors generally; or</w:t>
      </w:r>
    </w:p>
    <w:p>
      <w:pPr>
        <w:spacing w:after="0" w:line="225"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the opinion of a registered medical practitioner by whom he is being treated he becomes physically or mentally incapable of acting as a director; or</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he is made subject to any law relating to mental health or incompetence, whether by court order or otherwise;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without the consent of the other directors, he is absent from meetings of directors for a continuous period of six months.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58" w:right="379" w:bottom="1440" w:gutter="0" w:footer="0" w:header="0"/>
        </w:sectPr>
      </w:pPr>
    </w:p>
    <w:bookmarkStart w:id="170" w:name="page171"/>
    <w:bookmarkEnd w:id="170"/>
    <w:p>
      <w:pPr>
        <w:ind w:left="640" w:hanging="632"/>
        <w:spacing w:after="0"/>
        <w:tabs>
          <w:tab w:leader="none" w:pos="6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directors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Powers of directors</w:t>
      </w:r>
    </w:p>
    <w:p>
      <w:pPr>
        <w:spacing w:after="0" w:line="229" w:lineRule="exact"/>
        <w:rPr>
          <w:sz w:val="20"/>
          <w:szCs w:val="20"/>
          <w:color w:val="auto"/>
        </w:rPr>
      </w:pPr>
    </w:p>
    <w:p>
      <w:pPr>
        <w:ind w:left="640" w:right="180" w:hanging="633"/>
        <w:spacing w:after="0" w:line="277" w:lineRule="auto"/>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Subject to the provisions of the Law, the Memorandum and these Articles, the business of the Company shall be managed by the directors who may for that purpose exercise all the powers of the Company.</w:t>
      </w:r>
    </w:p>
    <w:p>
      <w:pPr>
        <w:spacing w:after="0" w:line="170" w:lineRule="exact"/>
        <w:rPr>
          <w:sz w:val="20"/>
          <w:szCs w:val="20"/>
          <w:color w:val="auto"/>
        </w:rPr>
      </w:pPr>
    </w:p>
    <w:p>
      <w:pPr>
        <w:ind w:left="640" w:right="80" w:hanging="633"/>
        <w:spacing w:after="0" w:line="263" w:lineRule="auto"/>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No prior act of the directors shall be invalidated by any subsequent alteration of the Memorandum or these Articles. However, to the extent allowed by the Law, Members may by Special Resolution validate any prior or future act of the directors which would otherwise be in breach of their duties.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Appointments to office</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The directors may appoint a director:</w:t>
      </w:r>
    </w:p>
    <w:p>
      <w:pPr>
        <w:spacing w:after="0" w:line="225" w:lineRule="exact"/>
        <w:rPr>
          <w:sz w:val="20"/>
          <w:szCs w:val="20"/>
          <w:color w:val="auto"/>
        </w:rPr>
      </w:pPr>
    </w:p>
    <w:p>
      <w:pPr>
        <w:ind w:left="1280" w:hanging="638"/>
        <w:spacing w:after="0"/>
        <w:tabs>
          <w:tab w:leader="none" w:pos="12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chairman of the board of directors;</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managing director;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any other executive office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such period and on such terms, including as to remuneration, as they think fit.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The appointee must consent in writing to holding that office.</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Where a chairman is appointed he shall, unless unable to do so, preside at every meeting of directors.</w:t>
      </w:r>
    </w:p>
    <w:p>
      <w:pPr>
        <w:spacing w:after="0" w:line="225" w:lineRule="exact"/>
        <w:rPr>
          <w:sz w:val="20"/>
          <w:szCs w:val="20"/>
          <w:color w:val="auto"/>
        </w:rPr>
      </w:pPr>
    </w:p>
    <w:p>
      <w:pPr>
        <w:ind w:left="640" w:right="480" w:hanging="633"/>
        <w:spacing w:after="0" w:line="277" w:lineRule="auto"/>
        <w:tabs>
          <w:tab w:leader="none" w:pos="6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If there is no chairman, or if the chairman is unable to preside at a meeting, that meeting may select its own chairman; or the directors may nominate one of their number to act in place of the chairman should he ever not be available.</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color w:val="auto"/>
        </w:rPr>
        <w:t>Subject to the provisions of the Law, the directors may also appoint any person, who need not be a director:</w:t>
      </w:r>
    </w:p>
    <w:p>
      <w:pPr>
        <w:spacing w:after="0" w:line="225" w:lineRule="exact"/>
        <w:rPr>
          <w:sz w:val="20"/>
          <w:szCs w:val="20"/>
          <w:color w:val="auto"/>
        </w:rPr>
      </w:pPr>
    </w:p>
    <w:p>
      <w:pPr>
        <w:ind w:left="1280" w:hanging="638"/>
        <w:spacing w:after="0"/>
        <w:tabs>
          <w:tab w:leader="none" w:pos="12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Secretary; and</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any office that may be required</w:t>
      </w:r>
    </w:p>
    <w:p>
      <w:pPr>
        <w:spacing w:after="0" w:line="22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for such period and on such terms, including as to remuneration, as they think fit. In the case of an Officer, that Officer may be given any title the directors decide.</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6"/>
          <w:szCs w:val="16"/>
          <w:color w:val="auto"/>
        </w:rPr>
        <w:t>The Secretary or Officer must consent in writing to holding that office.</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color w:val="auto"/>
        </w:rPr>
        <w:t>A director, Secretary or other Officer of the Company may not the hold the office, or perform the services, of auditor.</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58" w:right="47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Remuneration</w:t>
      </w:r>
    </w:p>
    <w:p>
      <w:pPr>
        <w:spacing w:after="0" w:line="229" w:lineRule="exact"/>
        <w:rPr>
          <w:sz w:val="20"/>
          <w:szCs w:val="20"/>
          <w:color w:val="auto"/>
        </w:rPr>
      </w:pPr>
    </w:p>
    <w:p>
      <w:pPr>
        <w:ind w:left="640" w:right="60" w:hanging="633"/>
        <w:spacing w:after="0" w:line="342" w:lineRule="auto"/>
        <w:tabs>
          <w:tab w:leader="none" w:pos="620" w:val="left"/>
        </w:tabs>
        <w:rPr>
          <w:sz w:val="20"/>
          <w:szCs w:val="20"/>
          <w:color w:val="auto"/>
        </w:rPr>
      </w:pPr>
      <w:r>
        <w:rPr>
          <w:rFonts w:ascii="Arial" w:cs="Arial" w:eastAsia="Arial" w:hAnsi="Arial"/>
          <w:sz w:val="18"/>
          <w:szCs w:val="18"/>
          <w:color w:val="auto"/>
        </w:rPr>
        <w:t>15.10</w:t>
      </w:r>
      <w:r>
        <w:rPr>
          <w:sz w:val="20"/>
          <w:szCs w:val="20"/>
          <w:color w:val="auto"/>
        </w:rPr>
        <w:tab/>
      </w:r>
      <w:r>
        <w:rPr>
          <w:rFonts w:ascii="Arial" w:cs="Arial" w:eastAsia="Arial" w:hAnsi="Arial"/>
          <w:sz w:val="16"/>
          <w:szCs w:val="16"/>
          <w:color w:val="auto"/>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p>
      <w:pPr>
        <w:spacing w:after="0" w:line="124" w:lineRule="exact"/>
        <w:rPr>
          <w:sz w:val="20"/>
          <w:szCs w:val="20"/>
          <w:color w:val="auto"/>
        </w:rPr>
      </w:pPr>
    </w:p>
    <w:p>
      <w:pPr>
        <w:ind w:left="640" w:right="360" w:hanging="633"/>
        <w:spacing w:after="0" w:line="277" w:lineRule="auto"/>
        <w:tabs>
          <w:tab w:leader="none" w:pos="620" w:val="left"/>
        </w:tabs>
        <w:rPr>
          <w:sz w:val="20"/>
          <w:szCs w:val="20"/>
          <w:color w:val="auto"/>
        </w:rPr>
      </w:pPr>
      <w:r>
        <w:rPr>
          <w:rFonts w:ascii="Arial" w:cs="Arial" w:eastAsia="Arial" w:hAnsi="Arial"/>
          <w:sz w:val="18"/>
          <w:szCs w:val="18"/>
          <w:color w:val="auto"/>
        </w:rPr>
        <w:t>15.11</w:t>
        <w:tab/>
        <w:t>A director's remuneration shall be fixed by the Company by Ordinary Resolution. Unless that resolution provides otherwise, the remuneration shall be deemed to accrue from day to day.</w:t>
      </w:r>
    </w:p>
    <w:p>
      <w:pPr>
        <w:spacing w:after="0" w:line="170" w:lineRule="exact"/>
        <w:rPr>
          <w:sz w:val="20"/>
          <w:szCs w:val="20"/>
          <w:color w:val="auto"/>
        </w:rPr>
      </w:pPr>
    </w:p>
    <w:p>
      <w:pPr>
        <w:ind w:left="640" w:right="420" w:hanging="633"/>
        <w:spacing w:after="0" w:line="277" w:lineRule="auto"/>
        <w:tabs>
          <w:tab w:leader="none" w:pos="620" w:val="left"/>
        </w:tabs>
        <w:rPr>
          <w:sz w:val="20"/>
          <w:szCs w:val="20"/>
          <w:color w:val="auto"/>
        </w:rPr>
      </w:pPr>
      <w:r>
        <w:rPr>
          <w:rFonts w:ascii="Arial" w:cs="Arial" w:eastAsia="Arial" w:hAnsi="Arial"/>
          <w:sz w:val="18"/>
          <w:szCs w:val="18"/>
          <w:color w:val="auto"/>
        </w:rPr>
        <w:t>15.12</w:t>
        <w:tab/>
        <w:t>Remuneration may take any form and may include arrangements to pay pensions, health insurance, death or sickness benefits, whether to the director or to any other person connected to or related to him.</w:t>
      </w:r>
    </w:p>
    <w:p>
      <w:pPr>
        <w:spacing w:after="0" w:line="170"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color w:val="auto"/>
        </w:rPr>
        <w:t>15.13</w:t>
        <w:tab/>
        <w:t>Unless his fellow directors determine otherwise, a director is not accountable to the Company for remuneration or other benefits received from any other company which is in the same group as the Company or which has common shareholdings.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information</w:t>
      </w:r>
    </w:p>
    <w:p>
      <w:pPr>
        <w:spacing w:after="0" w:line="229"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color w:val="auto"/>
        </w:rPr>
        <w:t>15.14</w:t>
        <w:tab/>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spacing w:after="0" w:line="184" w:lineRule="exact"/>
        <w:rPr>
          <w:sz w:val="20"/>
          <w:szCs w:val="20"/>
          <w:color w:val="auto"/>
        </w:rPr>
      </w:pPr>
    </w:p>
    <w:p>
      <w:pPr>
        <w:ind w:left="1280" w:right="100" w:hanging="638"/>
        <w:spacing w:after="0" w:line="277" w:lineRule="auto"/>
        <w:tabs>
          <w:tab w:leader="none" w:pos="12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 or that person, as the case may be, is lawfully required to do so under the laws of any jurisdiction to which the Company is subject; or</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such disclosure is in compliance with the rules of any stock exchange upon which the Company's shares are listed;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such disclosure is in accordance with any contract entered into by the Company;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directors are of the opinion such disclosure would assist or facilitate the Company’s operations.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Delegation of Powers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delegate any of the directors' powers to a committee</w:t>
      </w:r>
    </w:p>
    <w:p>
      <w:pPr>
        <w:spacing w:after="0" w:line="229" w:lineRule="exact"/>
        <w:rPr>
          <w:sz w:val="20"/>
          <w:szCs w:val="20"/>
          <w:color w:val="auto"/>
        </w:rPr>
      </w:pPr>
    </w:p>
    <w:p>
      <w:pPr>
        <w:ind w:left="640" w:right="320" w:hanging="633"/>
        <w:spacing w:after="0" w:line="277" w:lineRule="auto"/>
        <w:tabs>
          <w:tab w:leader="none" w:pos="6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The directors may delegate any of their powers to any committee consisting of one or more persons who need not be Members. Persons on the committee may include non-directors so long as the majority of those persons are directors.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The delegation may be collateral with, or to the exclusion of, the directors' own powers.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172" w:name="page173"/>
    <w:bookmarkEnd w:id="172"/>
    <w:p>
      <w:pPr>
        <w:ind w:left="640" w:right="120" w:hanging="633"/>
        <w:spacing w:after="0" w:line="277" w:lineRule="auto"/>
        <w:tabs>
          <w:tab w:leader="none" w:pos="6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The delegation may be on such terms as the directors think fit, including provision for the committee itself to delegate to a sub-committee; save that any delegation must be capable of being revoked or altered by the directors at will.</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Unless otherwise permitted by the directors, a committee must follow the procedures prescribed for the taking of decisions by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appoint an agent of the Company</w:t>
      </w:r>
    </w:p>
    <w:p>
      <w:pPr>
        <w:spacing w:after="0" w:line="229" w:lineRule="exact"/>
        <w:rPr>
          <w:sz w:val="20"/>
          <w:szCs w:val="20"/>
          <w:color w:val="auto"/>
        </w:rPr>
      </w:pPr>
    </w:p>
    <w:p>
      <w:pPr>
        <w:ind w:left="640" w:right="480" w:hanging="633"/>
        <w:spacing w:after="0" w:line="308" w:lineRule="auto"/>
        <w:tabs>
          <w:tab w:leader="none" w:pos="62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7"/>
          <w:szCs w:val="17"/>
          <w:color w:val="auto"/>
        </w:rPr>
        <w:t>The directors may appoint any person, either generally or in respect of any specific matter, to be the agent of the Company with or without authority for that person to delegate all or any of that person's powers. The directors may make that appointment:</w:t>
      </w:r>
    </w:p>
    <w:p>
      <w:pPr>
        <w:spacing w:after="0" w:line="146" w:lineRule="exact"/>
        <w:rPr>
          <w:sz w:val="20"/>
          <w:szCs w:val="20"/>
          <w:color w:val="auto"/>
        </w:rPr>
      </w:pPr>
    </w:p>
    <w:p>
      <w:pPr>
        <w:ind w:left="1280" w:hanging="638"/>
        <w:spacing w:after="0"/>
        <w:tabs>
          <w:tab w:leader="none" w:pos="12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by causing the Company to enter into a power of attorney or agreement;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any other manner they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appoint an attorney or authorised signatory of the Company</w:t>
      </w:r>
    </w:p>
    <w:p>
      <w:pPr>
        <w:spacing w:after="0" w:line="229" w:lineRule="exact"/>
        <w:rPr>
          <w:sz w:val="20"/>
          <w:szCs w:val="20"/>
          <w:color w:val="auto"/>
        </w:rPr>
      </w:pPr>
    </w:p>
    <w:p>
      <w:pPr>
        <w:ind w:left="640" w:right="60" w:hanging="633"/>
        <w:spacing w:after="0" w:line="277" w:lineRule="auto"/>
        <w:tabs>
          <w:tab w:leader="none" w:pos="62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8"/>
          <w:szCs w:val="18"/>
          <w:color w:val="auto"/>
        </w:rPr>
        <w:t>The directors may appoint any person, whether nominated directly or indirectly by the directors, to be the attorney or the authorised signatory of the Company. The appointment may be:</w:t>
      </w:r>
    </w:p>
    <w:p>
      <w:pPr>
        <w:spacing w:after="0" w:line="170" w:lineRule="exact"/>
        <w:rPr>
          <w:sz w:val="20"/>
          <w:szCs w:val="20"/>
          <w:color w:val="auto"/>
        </w:rPr>
      </w:pPr>
    </w:p>
    <w:p>
      <w:pPr>
        <w:ind w:left="1280" w:hanging="638"/>
        <w:spacing w:after="0"/>
        <w:tabs>
          <w:tab w:leader="none" w:pos="12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any purpose;</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with the powers, authorities and discretions;</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the period; and</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such conditions</w:t>
      </w:r>
    </w:p>
    <w:p>
      <w:pPr>
        <w:spacing w:after="0" w:line="225"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as they think fit. The powers, authorities and discretions, however, must not exceed those vested in, or exercisable, by the directors under these Articles. The directors may do so by power of attorney or any other manner they think fit.</w:t>
      </w:r>
    </w:p>
    <w:p>
      <w:pPr>
        <w:spacing w:after="0" w:line="170" w:lineRule="exact"/>
        <w:rPr>
          <w:sz w:val="20"/>
          <w:szCs w:val="20"/>
          <w:color w:val="auto"/>
        </w:rPr>
      </w:pPr>
    </w:p>
    <w:p>
      <w:pPr>
        <w:ind w:left="640" w:hanging="633"/>
        <w:spacing w:after="0" w:line="263" w:lineRule="auto"/>
        <w:tabs>
          <w:tab w:leader="none" w:pos="62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8"/>
          <w:szCs w:val="18"/>
          <w:color w:val="auto"/>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appoint a proxy</w:t>
      </w:r>
    </w:p>
    <w:p>
      <w:pPr>
        <w:spacing w:after="0" w:line="229" w:lineRule="exact"/>
        <w:rPr>
          <w:sz w:val="20"/>
          <w:szCs w:val="20"/>
          <w:color w:val="auto"/>
        </w:rPr>
      </w:pPr>
    </w:p>
    <w:p>
      <w:pPr>
        <w:ind w:left="640" w:right="200" w:hanging="633"/>
        <w:spacing w:after="0" w:line="308" w:lineRule="auto"/>
        <w:tabs>
          <w:tab w:leader="none" w:pos="62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7"/>
          <w:szCs w:val="17"/>
          <w:color w:val="auto"/>
        </w:rPr>
        <w:t>Any director may appoint any other person, including another director, to represent him at any meeting of the directors. If a director appoints a proxy, then for all purposes the presence or vote of the proxy shall be deemed to be that of the appointing director.</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A proxy is an agent of the director appointing him and is not an officer of the Company.</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62" w:right="479" w:bottom="1440" w:gutter="0" w:footer="0" w:header="0"/>
        </w:sectPr>
      </w:pPr>
    </w:p>
    <w:bookmarkStart w:id="173" w:name="page174"/>
    <w:bookmarkEnd w:id="173"/>
    <w:p>
      <w:pPr>
        <w:ind w:right="8640" w:firstLine="8"/>
        <w:spacing w:after="0" w:line="566" w:lineRule="auto"/>
        <w:tabs>
          <w:tab w:leader="none" w:pos="634" w:val="left"/>
        </w:tabs>
        <w:numPr>
          <w:ilvl w:val="0"/>
          <w:numId w:val="157"/>
        </w:numPr>
        <w:rPr>
          <w:rFonts w:ascii="Arial" w:cs="Arial" w:eastAsia="Arial" w:hAnsi="Arial"/>
          <w:sz w:val="16"/>
          <w:szCs w:val="16"/>
          <w:b w:val="1"/>
          <w:bCs w:val="1"/>
          <w:color w:val="auto"/>
        </w:rPr>
      </w:pPr>
      <w:r>
        <w:rPr>
          <w:rFonts w:ascii="Arial" w:cs="Arial" w:eastAsia="Arial" w:hAnsi="Arial"/>
          <w:sz w:val="16"/>
          <w:szCs w:val="16"/>
          <w:b w:val="1"/>
          <w:bCs w:val="1"/>
          <w:color w:val="auto"/>
        </w:rPr>
        <w:t>Meetings of directors Regulation of directors' meetings</w:t>
      </w:r>
    </w:p>
    <w:p>
      <w:pPr>
        <w:spacing w:after="0"/>
        <w:tabs>
          <w:tab w:leader="none" w:pos="6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Subject to the provisions of these Articles, the directors may regulate their proceedings as they think 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Calling meetings</w:t>
      </w:r>
    </w:p>
    <w:p>
      <w:pPr>
        <w:spacing w:after="0" w:line="229" w:lineRule="exact"/>
        <w:rPr>
          <w:sz w:val="20"/>
          <w:szCs w:val="20"/>
          <w:color w:val="auto"/>
        </w:rPr>
      </w:pPr>
    </w:p>
    <w:p>
      <w:pPr>
        <w:ind w:left="640" w:right="440" w:hanging="633"/>
        <w:spacing w:after="0" w:line="277" w:lineRule="auto"/>
        <w:tabs>
          <w:tab w:leader="none" w:pos="6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Any director may call a meeting of directors at any time. The Secretary, if any, must call a meeting of the directors if requested to do so by a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meetings</w:t>
      </w:r>
    </w:p>
    <w:p>
      <w:pPr>
        <w:spacing w:after="0" w:line="229"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Every director shall be given notice of a meeting, although a director may waive retrospectively the requirement to be given notice. Notice may be oral.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of notice</w:t>
      </w:r>
    </w:p>
    <w:p>
      <w:pPr>
        <w:spacing w:after="0" w:line="229" w:lineRule="exact"/>
        <w:rPr>
          <w:sz w:val="20"/>
          <w:szCs w:val="20"/>
          <w:color w:val="auto"/>
        </w:rPr>
      </w:pPr>
    </w:p>
    <w:p>
      <w:pPr>
        <w:ind w:left="640" w:right="260" w:hanging="633"/>
        <w:spacing w:after="0" w:line="277" w:lineRule="auto"/>
        <w:tabs>
          <w:tab w:leader="none" w:pos="6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At least one Clear Days’ notice of a meeting of directors must be given to directors. But a meeting may be convened on shorter notice with the consent of all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technology</w:t>
      </w:r>
    </w:p>
    <w:p>
      <w:pPr>
        <w:spacing w:after="0" w:line="229" w:lineRule="exact"/>
        <w:rPr>
          <w:sz w:val="20"/>
          <w:szCs w:val="20"/>
          <w:color w:val="auto"/>
        </w:rPr>
      </w:pPr>
    </w:p>
    <w:p>
      <w:pPr>
        <w:ind w:left="640" w:right="340" w:hanging="633"/>
        <w:spacing w:after="0" w:line="342" w:lineRule="auto"/>
        <w:tabs>
          <w:tab w:leader="none" w:pos="62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color w:val="auto"/>
        </w:rPr>
        <w:t>A director participating in this way is deemed to be present in person at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29" w:lineRule="exact"/>
        <w:rPr>
          <w:sz w:val="20"/>
          <w:szCs w:val="20"/>
          <w:color w:val="auto"/>
        </w:rPr>
      </w:pPr>
    </w:p>
    <w:p>
      <w:pPr>
        <w:ind w:left="640" w:right="20" w:hanging="633"/>
        <w:spacing w:after="0" w:line="277" w:lineRule="auto"/>
        <w:tabs>
          <w:tab w:leader="none" w:pos="6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The quorum for the transaction of business at a meeting of directors shall be a majority of the directors unless the directors fix some other number or unless the Company has only one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left="640" w:right="200" w:hanging="633"/>
        <w:spacing w:after="0" w:line="277" w:lineRule="auto"/>
        <w:tabs>
          <w:tab w:leader="none" w:pos="6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color w:val="auto"/>
        </w:rPr>
        <w:t>A question which arises at a board meeting shall be decided by a majority of votes. If votes are equal the chairman may, if he wishes, exercise a casting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Validity</w:t>
      </w:r>
    </w:p>
    <w:p>
      <w:pPr>
        <w:spacing w:after="0" w:line="229" w:lineRule="exact"/>
        <w:rPr>
          <w:sz w:val="20"/>
          <w:szCs w:val="20"/>
          <w:color w:val="auto"/>
        </w:rPr>
      </w:pPr>
    </w:p>
    <w:p>
      <w:pPr>
        <w:ind w:left="640" w:right="380" w:hanging="633"/>
        <w:spacing w:after="0" w:line="277" w:lineRule="auto"/>
        <w:tabs>
          <w:tab w:leader="none" w:pos="62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8"/>
          <w:szCs w:val="18"/>
          <w:color w:val="auto"/>
        </w:rPr>
        <w:t>Anything done at a meeting of directors is unaffected by the fact that it is later discovered that any person was not properly appointed, or had ceased to be a director, or was otherwise not entitled to vote.</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58" w:right="39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Recording of dissent</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17.10</w:t>
      </w:r>
      <w:r>
        <w:rPr>
          <w:sz w:val="20"/>
          <w:szCs w:val="20"/>
          <w:color w:val="auto"/>
        </w:rPr>
        <w:tab/>
      </w:r>
      <w:r>
        <w:rPr>
          <w:rFonts w:ascii="Arial" w:cs="Arial" w:eastAsia="Arial" w:hAnsi="Arial"/>
          <w:sz w:val="16"/>
          <w:szCs w:val="16"/>
          <w:color w:val="auto"/>
        </w:rPr>
        <w:t>A director present at a meeting of directors shall be presumed to have assented to any action taken at that meeting unless:</w:t>
      </w:r>
    </w:p>
    <w:p>
      <w:pPr>
        <w:spacing w:after="0" w:line="225" w:lineRule="exact"/>
        <w:rPr>
          <w:sz w:val="20"/>
          <w:szCs w:val="20"/>
          <w:color w:val="auto"/>
        </w:rPr>
      </w:pPr>
    </w:p>
    <w:p>
      <w:pPr>
        <w:ind w:left="1280" w:hanging="638"/>
        <w:spacing w:after="0"/>
        <w:tabs>
          <w:tab w:leader="none" w:pos="12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his dissent is entered in the minutes of the meeting;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he has filed with the meeting before it is concluded signed dissent from that action; or</w:t>
      </w:r>
    </w:p>
    <w:p>
      <w:pPr>
        <w:spacing w:after="0" w:line="225" w:lineRule="exact"/>
        <w:rPr>
          <w:rFonts w:ascii="Arial" w:cs="Arial" w:eastAsia="Arial" w:hAnsi="Arial"/>
          <w:sz w:val="18"/>
          <w:szCs w:val="18"/>
          <w:color w:val="auto"/>
        </w:rPr>
      </w:pPr>
    </w:p>
    <w:p>
      <w:pPr>
        <w:ind w:left="640" w:right="1920" w:firstLine="2"/>
        <w:spacing w:after="0" w:line="498" w:lineRule="auto"/>
        <w:tabs>
          <w:tab w:leader="none" w:pos="127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he has forwarded to the Company as soon as practical following the conclusion of that meeting signed dissent. A director who votes in favour of an action is not entitled to record his dissent to 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resolutions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6"/>
          <w:szCs w:val="16"/>
          <w:color w:val="auto"/>
        </w:rPr>
        <w:t>The directors may pass a resolution in writing without holding a meeting if the following conditions are met:</w:t>
      </w:r>
    </w:p>
    <w:p>
      <w:pPr>
        <w:spacing w:after="0" w:line="225" w:lineRule="exact"/>
        <w:rPr>
          <w:sz w:val="20"/>
          <w:szCs w:val="20"/>
          <w:color w:val="auto"/>
        </w:rPr>
      </w:pPr>
    </w:p>
    <w:p>
      <w:pPr>
        <w:ind w:left="1280" w:hanging="638"/>
        <w:spacing w:after="0"/>
        <w:tabs>
          <w:tab w:leader="none" w:pos="12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directors are given notice of the resolution;</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resolution is set out in a document or documents indicating that it is a unanimous resolution; and</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directors:</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sign a document; or</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sign several documents in the like form each signed by one or more of those directors; and</w:t>
      </w:r>
    </w:p>
    <w:p>
      <w:pPr>
        <w:spacing w:after="0" w:line="225" w:lineRule="exact"/>
        <w:rPr>
          <w:rFonts w:ascii="Arial" w:cs="Arial" w:eastAsia="Arial" w:hAnsi="Arial"/>
          <w:sz w:val="18"/>
          <w:szCs w:val="18"/>
          <w:color w:val="auto"/>
        </w:rPr>
      </w:pPr>
    </w:p>
    <w:p>
      <w:pPr>
        <w:ind w:left="1280" w:right="600" w:hanging="638"/>
        <w:spacing w:after="0" w:line="277" w:lineRule="auto"/>
        <w:tabs>
          <w:tab w:leader="none" w:pos="12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signed document or documents is or are delivered to the Company, including, if the Company so nominates by delivery of an Electronic Record by Electronic means to the address specified for that purpose.</w:t>
      </w:r>
    </w:p>
    <w:p>
      <w:pPr>
        <w:spacing w:after="0" w:line="170" w:lineRule="exact"/>
        <w:rPr>
          <w:sz w:val="20"/>
          <w:szCs w:val="20"/>
          <w:color w:val="auto"/>
        </w:rPr>
      </w:pPr>
    </w:p>
    <w:p>
      <w:pPr>
        <w:ind w:left="640" w:right="360"/>
        <w:spacing w:after="0" w:line="277" w:lineRule="auto"/>
        <w:rPr>
          <w:sz w:val="20"/>
          <w:szCs w:val="20"/>
          <w:color w:val="auto"/>
        </w:rPr>
      </w:pPr>
      <w:r>
        <w:rPr>
          <w:rFonts w:ascii="Arial" w:cs="Arial" w:eastAsia="Arial" w:hAnsi="Arial"/>
          <w:sz w:val="18"/>
          <w:szCs w:val="18"/>
          <w:color w:val="auto"/>
        </w:rPr>
        <w:t>Despite the foregoing, a resolution in writing signed by a validly appointed proxy need not also be signed by the appointing director. But if a written resolution is signed personally by the appointing director, it need not also be signed by his proxy.</w:t>
      </w:r>
    </w:p>
    <w:p>
      <w:pPr>
        <w:spacing w:after="0" w:line="170"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17.12</w:t>
        <w:tab/>
        <w:t>Such written resolution shall be as effective as if it had been passed at a meeting of the directors duly convened and held; and it shall be treated as having been passed on the day and at the time that the last director 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Sole director's minute</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17.13</w:t>
      </w:r>
      <w:r>
        <w:rPr>
          <w:sz w:val="20"/>
          <w:szCs w:val="20"/>
          <w:color w:val="auto"/>
        </w:rPr>
        <w:tab/>
      </w:r>
      <w:r>
        <w:rPr>
          <w:rFonts w:ascii="Arial" w:cs="Arial" w:eastAsia="Arial" w:hAnsi="Arial"/>
          <w:sz w:val="16"/>
          <w:szCs w:val="16"/>
          <w:color w:val="auto"/>
        </w:rPr>
        <w:t>Where a sole director signs a minute recording his decision on a question, that record shall constitute the passing of a resolution in those terms.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58" w:right="439" w:bottom="1440" w:gutter="0" w:footer="0" w:header="0"/>
        </w:sectPr>
      </w:pPr>
    </w:p>
    <w:bookmarkStart w:id="175" w:name="page176"/>
    <w:bookmarkEnd w:id="175"/>
    <w:p>
      <w:pPr>
        <w:ind w:right="7060" w:firstLine="8"/>
        <w:spacing w:after="0" w:line="566" w:lineRule="auto"/>
        <w:tabs>
          <w:tab w:leader="none" w:pos="634"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Permissible directors' interests and disclosure Permissible interests subject to disclosure</w:t>
      </w:r>
    </w:p>
    <w:p>
      <w:pPr>
        <w:ind w:left="640" w:right="300" w:hanging="633"/>
        <w:spacing w:after="0" w:line="277" w:lineRule="auto"/>
        <w:tabs>
          <w:tab w:leader="none" w:pos="6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Save as expressly permitted by these Articles or as set out below, a director may not have a direct or indirect interest or duty which conflicts or may possibly conflict with the interests of the Company.</w:t>
      </w:r>
    </w:p>
    <w:p>
      <w:pPr>
        <w:spacing w:after="0" w:line="170"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If, notwithstanding the prohibition in the preceding Article, a director discloses to his fellow directors the nature and extent of any material interest or duty in accordance with the next Article, he may:</w:t>
      </w:r>
    </w:p>
    <w:p>
      <w:pPr>
        <w:spacing w:after="0" w:line="170" w:lineRule="exact"/>
        <w:rPr>
          <w:sz w:val="20"/>
          <w:szCs w:val="20"/>
          <w:color w:val="auto"/>
        </w:rPr>
      </w:pPr>
    </w:p>
    <w:p>
      <w:pPr>
        <w:ind w:left="1280" w:right="100" w:hanging="638"/>
        <w:spacing w:after="0" w:line="277" w:lineRule="auto"/>
        <w:tabs>
          <w:tab w:leader="none" w:pos="12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be a party to, or otherwise interested in, any transaction or arrangement with the Company or in which the Company is or may otherwise be interested;</w:t>
      </w:r>
    </w:p>
    <w:p>
      <w:pPr>
        <w:spacing w:after="0" w:line="170" w:lineRule="exact"/>
        <w:rPr>
          <w:rFonts w:ascii="Arial" w:cs="Arial" w:eastAsia="Arial" w:hAnsi="Arial"/>
          <w:sz w:val="18"/>
          <w:szCs w:val="18"/>
          <w:color w:val="auto"/>
        </w:rPr>
      </w:pPr>
    </w:p>
    <w:p>
      <w:pPr>
        <w:ind w:left="1280" w:right="360" w:hanging="638"/>
        <w:spacing w:after="0" w:line="263" w:lineRule="auto"/>
        <w:tabs>
          <w:tab w:leader="none" w:pos="12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be interested in another body corporate promoted by the Company or in which the Company is otherwise interested. In particular, the director may be a director, secretary or officer of, or employed by, or be a party to any transaction or arrangement with, or otherwise interested in, that other body corporate</w:t>
      </w:r>
    </w:p>
    <w:p>
      <w:pPr>
        <w:spacing w:after="0" w:line="184" w:lineRule="exact"/>
        <w:rPr>
          <w:sz w:val="20"/>
          <w:szCs w:val="20"/>
          <w:color w:val="auto"/>
        </w:rPr>
      </w:pPr>
    </w:p>
    <w:p>
      <w:pPr>
        <w:ind w:left="640" w:right="40" w:hanging="633"/>
        <w:spacing w:after="0" w:line="263" w:lineRule="auto"/>
        <w:tabs>
          <w:tab w:leader="none" w:pos="6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Such disclosure may be made at a meeting of the board or otherwise (and, if otherwise, it must be made in writing). The director must disclose the nature and extent of his direct or indirect interest in or duty in relation to a transaction or arrangement or series of transactions or arrangements with the Company or in which the Company has any material interest.</w:t>
      </w:r>
    </w:p>
    <w:p>
      <w:pPr>
        <w:spacing w:after="0" w:line="184" w:lineRule="exact"/>
        <w:rPr>
          <w:sz w:val="20"/>
          <w:szCs w:val="20"/>
          <w:color w:val="auto"/>
        </w:rPr>
      </w:pPr>
    </w:p>
    <w:p>
      <w:pPr>
        <w:ind w:left="640" w:right="100" w:hanging="633"/>
        <w:spacing w:after="0" w:line="311" w:lineRule="auto"/>
        <w:tabs>
          <w:tab w:leader="none" w:pos="6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If a director has made disclosure in accordance with the preceding Article, then he shall not, by reason only of his office, be accountable to the Company for any benefit that he derives from any such transaction or arrangement or from any such office or employment or from any interest in any such body corporate, and no such transaction or arrangement shall be liable to be avoided on the ground of any such interest or benefit.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interests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For the purposes of the preceding Articles:</w:t>
      </w:r>
    </w:p>
    <w:p>
      <w:pPr>
        <w:spacing w:after="0" w:line="225" w:lineRule="exact"/>
        <w:rPr>
          <w:sz w:val="20"/>
          <w:szCs w:val="20"/>
          <w:color w:val="auto"/>
        </w:rPr>
      </w:pPr>
    </w:p>
    <w:p>
      <w:pPr>
        <w:ind w:left="1280" w:right="80" w:hanging="638"/>
        <w:spacing w:after="0" w:line="263" w:lineRule="auto"/>
        <w:tabs>
          <w:tab w:leader="none" w:pos="1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and</w:t>
      </w:r>
    </w:p>
    <w:p>
      <w:pPr>
        <w:spacing w:after="0" w:line="183" w:lineRule="exact"/>
        <w:rPr>
          <w:rFonts w:ascii="Arial" w:cs="Arial" w:eastAsia="Arial" w:hAnsi="Arial"/>
          <w:sz w:val="18"/>
          <w:szCs w:val="18"/>
          <w:color w:val="auto"/>
        </w:rPr>
      </w:pPr>
    </w:p>
    <w:p>
      <w:pPr>
        <w:ind w:left="1280" w:right="120" w:hanging="638"/>
        <w:spacing w:after="0" w:line="277" w:lineRule="auto"/>
        <w:tabs>
          <w:tab w:leader="none" w:pos="12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 interest of which a director has no knowledge and of which it is unreasonable to expect him to have knowledge shall not be treated as an interest of his.</w:t>
      </w:r>
    </w:p>
    <w:p>
      <w:pPr>
        <w:spacing w:after="0" w:line="170" w:lineRule="exact"/>
        <w:rPr>
          <w:sz w:val="20"/>
          <w:szCs w:val="20"/>
          <w:color w:val="auto"/>
        </w:rPr>
      </w:pPr>
    </w:p>
    <w:p>
      <w:pPr>
        <w:ind w:left="640" w:right="40" w:hanging="633"/>
        <w:spacing w:after="0" w:line="277" w:lineRule="auto"/>
        <w:tabs>
          <w:tab w:leader="none" w:pos="6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8"/>
          <w:szCs w:val="18"/>
          <w:color w:val="auto"/>
        </w:rPr>
        <w:t>A director shall not be treated as having an interest in a transaction or arrangement if he has no knowledge of that interest and it is unreasonable to expect the director to have that knowledge.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Voting where a director is interested in a matter</w:t>
      </w:r>
    </w:p>
    <w:p>
      <w:pPr>
        <w:spacing w:after="0" w:line="229" w:lineRule="exact"/>
        <w:rPr>
          <w:sz w:val="20"/>
          <w:szCs w:val="20"/>
          <w:color w:val="auto"/>
        </w:rPr>
      </w:pPr>
    </w:p>
    <w:p>
      <w:pPr>
        <w:jc w:val="both"/>
        <w:ind w:left="640" w:right="120" w:hanging="633"/>
        <w:spacing w:after="0" w:line="263" w:lineRule="auto"/>
        <w:tabs>
          <w:tab w:leader="none" w:pos="62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8"/>
          <w:szCs w:val="18"/>
          <w:color w:val="auto"/>
        </w:rPr>
        <w:t>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p>
      <w:pPr>
        <w:spacing w:after="0" w:line="184" w:lineRule="exact"/>
        <w:rPr>
          <w:sz w:val="20"/>
          <w:szCs w:val="20"/>
          <w:color w:val="auto"/>
        </w:rPr>
      </w:pPr>
    </w:p>
    <w:p>
      <w:pPr>
        <w:ind w:left="640" w:hanging="633"/>
        <w:spacing w:after="0" w:line="259" w:lineRule="auto"/>
        <w:tabs>
          <w:tab w:leader="none" w:pos="62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8"/>
          <w:szCs w:val="18"/>
          <w:color w:val="auto"/>
        </w:rPr>
        <w:t>Where proposals are under consideration concerning the appointment of two or more directors to offices or employment with the Company or any body corporate in which the Company is interested, the proposals may be divided and considered in relation to each director separately and each of the directors concerned shall be entitled to vote and be counted in the quorum in respect of each resolution except that concerning his or her own appointment.</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Minutes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The Company shall cause minutes to be made in books kept for the purpose in accordance with the Law.</w:t>
      </w:r>
    </w:p>
    <w:p>
      <w:pPr>
        <w:spacing w:after="0" w:line="221" w:lineRule="exact"/>
        <w:rPr>
          <w:sz w:val="20"/>
          <w:szCs w:val="20"/>
          <w:color w:val="auto"/>
        </w:rPr>
      </w:pPr>
    </w:p>
    <w:p>
      <w:pPr>
        <w:ind w:right="8940" w:firstLine="8"/>
        <w:spacing w:after="0" w:line="566" w:lineRule="auto"/>
        <w:tabs>
          <w:tab w:leader="none" w:pos="634"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Accounts and audit Accounting and other records</w:t>
      </w:r>
    </w:p>
    <w:p>
      <w:pPr>
        <w:ind w:left="640" w:right="60" w:hanging="633"/>
        <w:spacing w:after="0" w:line="277" w:lineRule="auto"/>
        <w:tabs>
          <w:tab w:leader="none" w:pos="6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The directors must ensure that proper accounting and other records are kept, and that accounts and associated reports are distributed in accordance with the requirements of the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automatic right of inspection</w:t>
      </w:r>
    </w:p>
    <w:p>
      <w:pPr>
        <w:spacing w:after="0" w:line="229" w:lineRule="exact"/>
        <w:rPr>
          <w:sz w:val="20"/>
          <w:szCs w:val="20"/>
          <w:color w:val="auto"/>
        </w:rPr>
      </w:pPr>
    </w:p>
    <w:p>
      <w:pPr>
        <w:ind w:left="640" w:right="40" w:hanging="633"/>
        <w:spacing w:after="0" w:line="277" w:lineRule="auto"/>
        <w:tabs>
          <w:tab w:leader="none" w:pos="62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Members are only entitled to inspect the Company's records if they are expressly entitled to do so by law, or by resolution made by the directors or passed by Ordinary Resolution.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Sending of accounts and reports</w:t>
      </w:r>
    </w:p>
    <w:p>
      <w:pPr>
        <w:spacing w:after="0" w:line="229" w:lineRule="exact"/>
        <w:rPr>
          <w:sz w:val="20"/>
          <w:szCs w:val="20"/>
          <w:color w:val="auto"/>
        </w:rPr>
      </w:pPr>
    </w:p>
    <w:p>
      <w:pPr>
        <w:ind w:left="640" w:right="140" w:hanging="633"/>
        <w:spacing w:after="0" w:line="277" w:lineRule="auto"/>
        <w:tabs>
          <w:tab w:leader="none" w:pos="62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The Company's accounts and associated directors' report or auditor's report that are required or permitted to be sent to any person pursuant to any law shall be treated as properly sent to that person if:</w:t>
      </w:r>
    </w:p>
    <w:p>
      <w:pPr>
        <w:spacing w:after="0" w:line="170" w:lineRule="exact"/>
        <w:rPr>
          <w:sz w:val="20"/>
          <w:szCs w:val="20"/>
          <w:color w:val="auto"/>
        </w:rPr>
      </w:pPr>
    </w:p>
    <w:p>
      <w:pPr>
        <w:ind w:left="1280" w:hanging="638"/>
        <w:spacing w:after="0"/>
        <w:tabs>
          <w:tab w:leader="none" w:pos="12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they are sent to that person in accordance with the notice provisions: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they are published on a website providing that person is given separate notice of:</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fact that publication of the documents has been published on the website;</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address of the website; and</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place on the website where the documents may be accessed; and</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how they may be accessed.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77" w:name="page178"/>
    <w:bookmarkEnd w:id="177"/>
    <w:p>
      <w:pPr>
        <w:ind w:left="640" w:right="20" w:hanging="633"/>
        <w:spacing w:after="0" w:line="263" w:lineRule="auto"/>
        <w:tabs>
          <w:tab w:leader="none" w:pos="62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8"/>
          <w:szCs w:val="18"/>
          <w:color w:val="auto"/>
        </w:rPr>
        <w:t>If, for any reason, a person notifies the Company that he is unable to access the website, the Company must, as soon as practicable, send the documents to that person by any other means permitted by these Articles. This, however, will not affect when that person is taken to have received the documents under the next Article.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receipt if documents are published on a website</w:t>
      </w:r>
    </w:p>
    <w:p>
      <w:pPr>
        <w:spacing w:after="0" w:line="229" w:lineRule="exact"/>
        <w:rPr>
          <w:sz w:val="20"/>
          <w:szCs w:val="20"/>
          <w:color w:val="auto"/>
        </w:rPr>
      </w:pPr>
    </w:p>
    <w:p>
      <w:pPr>
        <w:ind w:left="640" w:right="280" w:hanging="633"/>
        <w:spacing w:after="0" w:line="277" w:lineRule="auto"/>
        <w:tabs>
          <w:tab w:leader="none" w:pos="62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color w:val="auto"/>
        </w:rPr>
        <w:t>Documents sent by being published on a website in accordance with the preceding two Articles are only treated as sent at least five Clear Days before the date of the meeting at which they are to be laid if:</w:t>
      </w:r>
    </w:p>
    <w:p>
      <w:pPr>
        <w:spacing w:after="0" w:line="170" w:lineRule="exact"/>
        <w:rPr>
          <w:sz w:val="20"/>
          <w:szCs w:val="20"/>
          <w:color w:val="auto"/>
        </w:rPr>
      </w:pPr>
    </w:p>
    <w:p>
      <w:pPr>
        <w:ind w:left="1280" w:right="320" w:hanging="638"/>
        <w:spacing w:after="0" w:line="277" w:lineRule="auto"/>
        <w:tabs>
          <w:tab w:leader="none" w:pos="12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documents are published on the website throughout a period beginning at least five Clear Days before the date of the meeting and ending with the conclusion of the meeting;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person is given at least five Clear Days' notice of the hearing.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Validity despite accidental error in publication on website</w:t>
      </w:r>
    </w:p>
    <w:p>
      <w:pPr>
        <w:spacing w:after="0" w:line="229" w:lineRule="exact"/>
        <w:rPr>
          <w:sz w:val="20"/>
          <w:szCs w:val="20"/>
          <w:color w:val="auto"/>
        </w:rPr>
      </w:pPr>
    </w:p>
    <w:p>
      <w:pPr>
        <w:ind w:left="640" w:right="60" w:hanging="633"/>
        <w:spacing w:after="0" w:line="277" w:lineRule="auto"/>
        <w:tabs>
          <w:tab w:leader="none" w:pos="62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8"/>
          <w:szCs w:val="18"/>
          <w:color w:val="auto"/>
        </w:rPr>
        <w:t>If, for the purpose of a meeting, documents are sent by being published on a website in accordance with the preceding Articles, the proceedings at that meeting are not invalidated merely because:</w:t>
      </w:r>
    </w:p>
    <w:p>
      <w:pPr>
        <w:spacing w:after="0" w:line="170" w:lineRule="exact"/>
        <w:rPr>
          <w:sz w:val="20"/>
          <w:szCs w:val="20"/>
          <w:color w:val="auto"/>
        </w:rPr>
      </w:pPr>
    </w:p>
    <w:p>
      <w:pPr>
        <w:ind w:left="1280" w:hanging="638"/>
        <w:spacing w:after="0"/>
        <w:tabs>
          <w:tab w:leader="none" w:pos="1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those documents are, by accident, published in a different place on the website to the place notified;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they are published for part only of the period from the date of notification until the conclusion of that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accounts are to be audited</w:t>
      </w:r>
    </w:p>
    <w:p>
      <w:pPr>
        <w:spacing w:after="0" w:line="229" w:lineRule="exact"/>
        <w:rPr>
          <w:sz w:val="20"/>
          <w:szCs w:val="20"/>
          <w:color w:val="auto"/>
        </w:rPr>
      </w:pPr>
    </w:p>
    <w:p>
      <w:pPr>
        <w:ind w:left="640" w:right="200" w:hanging="633"/>
        <w:spacing w:after="0" w:line="263" w:lineRule="auto"/>
        <w:tabs>
          <w:tab w:leader="none" w:pos="62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8"/>
          <w:szCs w:val="18"/>
          <w:color w:val="auto"/>
        </w:rPr>
        <w:t>Unless the directors or the Members, by Ordinary Resolution, so resolve or unless the Law so requires, the Company's accounts will not be audited. If the Members so resolve, the Company's accounts shall be audited in the manner determined by Ordinary Resolution. Alternatively, if the directors so resolve, they shall be audited in the manner they determine.</w:t>
      </w:r>
    </w:p>
    <w:p>
      <w:pPr>
        <w:spacing w:after="0" w:line="180" w:lineRule="exact"/>
        <w:rPr>
          <w:sz w:val="20"/>
          <w:szCs w:val="20"/>
          <w:color w:val="auto"/>
        </w:rPr>
      </w:pPr>
    </w:p>
    <w:p>
      <w:pPr>
        <w:ind w:left="640" w:hanging="632"/>
        <w:spacing w:after="0"/>
        <w:tabs>
          <w:tab w:leader="none" w:pos="64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Unless the directors otherwise specify, the financial year of the Company:</w:t>
      </w:r>
    </w:p>
    <w:p>
      <w:pPr>
        <w:spacing w:after="0" w:line="225" w:lineRule="exact"/>
        <w:rPr>
          <w:rFonts w:ascii="Arial" w:cs="Arial" w:eastAsia="Arial" w:hAnsi="Arial"/>
          <w:sz w:val="18"/>
          <w:szCs w:val="18"/>
          <w:b w:val="1"/>
          <w:bCs w:val="1"/>
          <w:color w:val="auto"/>
        </w:rPr>
      </w:pPr>
    </w:p>
    <w:p>
      <w:pPr>
        <w:ind w:left="1280" w:hanging="638"/>
        <w:spacing w:after="0"/>
        <w:tabs>
          <w:tab w:leader="none" w:pos="12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shall end on 30th June in the year of its incorporation and each following year; and</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shall begin when it was incorporated and on 1st July each following year.</w:t>
      </w:r>
    </w:p>
    <w:p>
      <w:pPr>
        <w:spacing w:after="0" w:line="221" w:lineRule="exact"/>
        <w:rPr>
          <w:rFonts w:ascii="Arial" w:cs="Arial" w:eastAsia="Arial" w:hAnsi="Arial"/>
          <w:sz w:val="18"/>
          <w:szCs w:val="18"/>
          <w:color w:val="auto"/>
        </w:rPr>
      </w:pPr>
    </w:p>
    <w:p>
      <w:pPr>
        <w:ind w:left="640" w:hanging="632"/>
        <w:spacing w:after="0"/>
        <w:tabs>
          <w:tab w:leader="none" w:pos="64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Record dates</w:t>
      </w:r>
    </w:p>
    <w:p>
      <w:pPr>
        <w:spacing w:after="0" w:line="229" w:lineRule="exact"/>
        <w:rPr>
          <w:sz w:val="20"/>
          <w:szCs w:val="20"/>
          <w:color w:val="auto"/>
        </w:rPr>
      </w:pPr>
    </w:p>
    <w:p>
      <w:pPr>
        <w:ind w:left="640" w:hanging="633"/>
        <w:spacing w:after="0" w:line="296" w:lineRule="auto"/>
        <w:tabs>
          <w:tab w:leader="none" w:pos="6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For the purpose of determining the Members entitled to notice of or to vote at any general or special meeting,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shares or for the purpose of any other lawful action, the directors may fix, in advance, a date as the record date for any such determination of Members, which date shall not be more than sixty (60) days nor less than ten (10) days before the date of such meeting, nor more than sixty (60) days prior to any other such action.</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62" w:right="379" w:bottom="1440" w:gutter="0" w:footer="0" w:header="0"/>
        </w:sectPr>
      </w:pPr>
    </w:p>
    <w:bookmarkStart w:id="178" w:name="page179"/>
    <w:bookmarkEnd w:id="178"/>
    <w:p>
      <w:pPr>
        <w:ind w:left="640" w:hanging="633"/>
        <w:spacing w:after="0" w:line="291" w:lineRule="auto"/>
        <w:tabs>
          <w:tab w:leader="none" w:pos="6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If the directors does not fix a record date for any general or special meeting, the record date for determining the Members entitled to a notice of or to vote at such meeting shall be at the close of business on the day next preceding the day on which notice is given, or, if in accordance with these Articles notice is waived, at the close of business on the day next preceding the day on which the meeting is held. If corporate action without a general meeting is to be taken, the record date for determining the Members entitled to express consent to such corporate action in writing, when no prior action by the directors is necessary, shall be the first date on which a signed written consent setting forth the action taken or proposed to be taken is delivered to the Company by delivery to its head office. The record date for determining the Members for any other purpose shall be at the close of business on the day on which the directors adopt the resolution relating thereto.</w:t>
      </w:r>
    </w:p>
    <w:p>
      <w:pPr>
        <w:spacing w:after="0" w:line="166" w:lineRule="exact"/>
        <w:rPr>
          <w:sz w:val="20"/>
          <w:szCs w:val="20"/>
          <w:color w:val="auto"/>
        </w:rPr>
      </w:pPr>
    </w:p>
    <w:p>
      <w:pPr>
        <w:ind w:left="640" w:right="440" w:hanging="633"/>
        <w:spacing w:after="0" w:line="277" w:lineRule="auto"/>
        <w:tabs>
          <w:tab w:leader="none" w:pos="6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A determination of the Members of record entitled to notice of or to vote at a meeting of the Members shall apply to any adjournment of the meeting; provided, however, that the directors may fix a new record date for the adjourned meeting.</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Declaration of dividends by Members</w:t>
      </w:r>
    </w:p>
    <w:p>
      <w:pPr>
        <w:spacing w:after="0" w:line="229" w:lineRule="exact"/>
        <w:rPr>
          <w:sz w:val="20"/>
          <w:szCs w:val="20"/>
          <w:color w:val="auto"/>
        </w:rPr>
      </w:pPr>
    </w:p>
    <w:p>
      <w:pPr>
        <w:ind w:left="640" w:right="100" w:hanging="633"/>
        <w:spacing w:after="0" w:line="277" w:lineRule="auto"/>
        <w:tabs>
          <w:tab w:leader="none" w:pos="6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Subject to the provisions of the Law, the Company may by Ordinary Resolution declare dividends in accordance with the respective rights of the Members but no dividend shall exceed the amount recommended by the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interim dividends and declaration of final dividends by directors</w:t>
      </w:r>
    </w:p>
    <w:p>
      <w:pPr>
        <w:spacing w:after="0" w:line="229" w:lineRule="exact"/>
        <w:rPr>
          <w:sz w:val="20"/>
          <w:szCs w:val="20"/>
          <w:color w:val="auto"/>
        </w:rPr>
      </w:pPr>
    </w:p>
    <w:p>
      <w:pPr>
        <w:ind w:left="640" w:right="160" w:hanging="633"/>
        <w:spacing w:after="0" w:line="277" w:lineRule="auto"/>
        <w:tabs>
          <w:tab w:leader="none" w:pos="6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The directors may pay interim dividends or declare final dividends in accordance with the respective rights of the Members if it appears to them that they are justified by the financial position of the Company and that such dividends may lawfully be paid.</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Subject to the provisions of the Law, in relation to the distinction between interim dividends and final dividends, the following applies:</w:t>
      </w:r>
    </w:p>
    <w:p>
      <w:pPr>
        <w:spacing w:after="0" w:line="225" w:lineRule="exact"/>
        <w:rPr>
          <w:sz w:val="20"/>
          <w:szCs w:val="20"/>
          <w:color w:val="auto"/>
        </w:rPr>
      </w:pPr>
    </w:p>
    <w:p>
      <w:pPr>
        <w:ind w:left="1280" w:right="440" w:hanging="638"/>
        <w:spacing w:after="0" w:line="277" w:lineRule="auto"/>
        <w:tabs>
          <w:tab w:leader="none" w:pos="12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Upon determination to pay a dividend or dividends described as interim by the directors in the dividend resolution, no debt shall be created by the declaration until such time as payment is made.</w:t>
      </w:r>
    </w:p>
    <w:p>
      <w:pPr>
        <w:spacing w:after="0" w:line="170" w:lineRule="exact"/>
        <w:rPr>
          <w:rFonts w:ascii="Arial" w:cs="Arial" w:eastAsia="Arial" w:hAnsi="Arial"/>
          <w:sz w:val="18"/>
          <w:szCs w:val="18"/>
          <w:color w:val="auto"/>
        </w:rPr>
      </w:pPr>
    </w:p>
    <w:p>
      <w:pPr>
        <w:ind w:left="1280" w:right="660" w:hanging="638"/>
        <w:spacing w:after="0" w:line="342" w:lineRule="auto"/>
        <w:tabs>
          <w:tab w:leader="none" w:pos="12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Upon declaration of a dividend or dividends described as final by the directors in the dividend resolution, a debt shall be created immediately following the declaration, the due date to be the date the dividend is stated to be payable in the resolution.</w:t>
      </w: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62" w:right="419" w:bottom="1440" w:gutter="0" w:footer="0" w:header="0"/>
        </w:sectPr>
      </w:pPr>
    </w:p>
    <w:bookmarkStart w:id="179" w:name="page180"/>
    <w:bookmarkEnd w:id="179"/>
    <w:p>
      <w:pPr>
        <w:ind w:left="640"/>
        <w:spacing w:after="0"/>
        <w:rPr>
          <w:sz w:val="20"/>
          <w:szCs w:val="20"/>
          <w:color w:val="auto"/>
        </w:rPr>
      </w:pPr>
      <w:r>
        <w:rPr>
          <w:rFonts w:ascii="Arial" w:cs="Arial" w:eastAsia="Arial" w:hAnsi="Arial"/>
          <w:sz w:val="18"/>
          <w:szCs w:val="18"/>
          <w:color w:val="auto"/>
        </w:rPr>
        <w:t>If the resolution fails to specify whether a dividend is final or interim, it shall be assumed to be interim.</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In relation to Shares carrying differing rights to dividends or rights to dividends at a fixed rate, the following applies:</w:t>
      </w:r>
    </w:p>
    <w:p>
      <w:pPr>
        <w:spacing w:after="0" w:line="225" w:lineRule="exact"/>
        <w:rPr>
          <w:sz w:val="20"/>
          <w:szCs w:val="20"/>
          <w:color w:val="auto"/>
        </w:rPr>
      </w:pPr>
    </w:p>
    <w:p>
      <w:pPr>
        <w:ind w:left="1280" w:hanging="638"/>
        <w:spacing w:after="0" w:line="311" w:lineRule="auto"/>
        <w:tabs>
          <w:tab w:leader="none" w:pos="12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spacing w:after="0" w:line="148" w:lineRule="exact"/>
        <w:rPr>
          <w:rFonts w:ascii="Arial" w:cs="Arial" w:eastAsia="Arial" w:hAnsi="Arial"/>
          <w:sz w:val="16"/>
          <w:szCs w:val="16"/>
          <w:color w:val="auto"/>
        </w:rPr>
      </w:pPr>
    </w:p>
    <w:p>
      <w:pPr>
        <w:ind w:left="1280" w:right="140" w:hanging="638"/>
        <w:spacing w:after="0" w:line="277" w:lineRule="auto"/>
        <w:tabs>
          <w:tab w:leader="none" w:pos="12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directors may also pay, at intervals settled by them, any dividend payable at a fixed rate if it appears to them that there are sufficient funds of the Company lawfully available for distribution to justify the payment.</w:t>
      </w:r>
    </w:p>
    <w:p>
      <w:pPr>
        <w:spacing w:after="0" w:line="170" w:lineRule="exact"/>
        <w:rPr>
          <w:rFonts w:ascii="Arial" w:cs="Arial" w:eastAsia="Arial" w:hAnsi="Arial"/>
          <w:sz w:val="18"/>
          <w:szCs w:val="18"/>
          <w:color w:val="auto"/>
        </w:rPr>
      </w:pPr>
    </w:p>
    <w:p>
      <w:pPr>
        <w:ind w:left="1280" w:right="140" w:hanging="638"/>
        <w:spacing w:after="0" w:line="308" w:lineRule="auto"/>
        <w:tabs>
          <w:tab w:leader="none" w:pos="12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If the directors act in good faith, they shall not incur any liability to the Members holding Shares conferring preferred rights for any loss those Members may suffer by the lawful payment of the dividend on any Shares having deferred or non-preferred rights.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Apportionment of dividends</w:t>
      </w:r>
    </w:p>
    <w:p>
      <w:pPr>
        <w:spacing w:after="0" w:line="229" w:lineRule="exact"/>
        <w:rPr>
          <w:sz w:val="20"/>
          <w:szCs w:val="20"/>
          <w:color w:val="auto"/>
        </w:rPr>
      </w:pPr>
    </w:p>
    <w:p>
      <w:pPr>
        <w:ind w:left="640" w:right="20" w:hanging="633"/>
        <w:spacing w:after="0" w:line="259" w:lineRule="auto"/>
        <w:tabs>
          <w:tab w:leader="none" w:pos="62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set off</w:t>
      </w:r>
    </w:p>
    <w:p>
      <w:pPr>
        <w:spacing w:after="0" w:line="229" w:lineRule="exact"/>
        <w:rPr>
          <w:sz w:val="20"/>
          <w:szCs w:val="20"/>
          <w:color w:val="auto"/>
        </w:rPr>
      </w:pPr>
    </w:p>
    <w:p>
      <w:pPr>
        <w:ind w:left="640" w:right="380" w:hanging="633"/>
        <w:spacing w:after="0" w:line="277" w:lineRule="auto"/>
        <w:tabs>
          <w:tab w:leader="none" w:pos="62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8"/>
          <w:szCs w:val="18"/>
          <w:color w:val="auto"/>
        </w:rPr>
        <w:t>The directors may deduct from a dividend or any other amount payable to a person in respect of a Share any amount due by that person to the Company on a call or otherwise in relation to a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pay other than in cash</w:t>
      </w:r>
    </w:p>
    <w:p>
      <w:pPr>
        <w:spacing w:after="0" w:line="229" w:lineRule="exact"/>
        <w:rPr>
          <w:sz w:val="20"/>
          <w:szCs w:val="20"/>
          <w:color w:val="auto"/>
        </w:rPr>
      </w:pPr>
    </w:p>
    <w:p>
      <w:pPr>
        <w:jc w:val="both"/>
        <w:ind w:left="640" w:right="140" w:hanging="633"/>
        <w:spacing w:after="0" w:line="263" w:lineRule="auto"/>
        <w:tabs>
          <w:tab w:leader="none" w:pos="62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8"/>
          <w:szCs w:val="18"/>
          <w:color w:val="auto"/>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spacing w:after="0" w:line="184" w:lineRule="exact"/>
        <w:rPr>
          <w:sz w:val="20"/>
          <w:szCs w:val="20"/>
          <w:color w:val="auto"/>
        </w:rPr>
      </w:pPr>
    </w:p>
    <w:p>
      <w:pPr>
        <w:ind w:left="1280" w:hanging="638"/>
        <w:spacing w:after="0"/>
        <w:tabs>
          <w:tab w:leader="none" w:pos="12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issue fractional Shares;</w:t>
      </w:r>
    </w:p>
    <w:p>
      <w:pPr>
        <w:spacing w:after="0" w:line="225" w:lineRule="exact"/>
        <w:rPr>
          <w:rFonts w:ascii="Arial" w:cs="Arial" w:eastAsia="Arial" w:hAnsi="Arial"/>
          <w:sz w:val="18"/>
          <w:szCs w:val="18"/>
          <w:color w:val="auto"/>
        </w:rPr>
      </w:pPr>
    </w:p>
    <w:p>
      <w:pPr>
        <w:ind w:left="1280" w:right="240" w:hanging="638"/>
        <w:spacing w:after="0" w:line="277" w:lineRule="auto"/>
        <w:tabs>
          <w:tab w:leader="none" w:pos="12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fix the value of assets for distribution and make cash payments to some Members on the footing of the value so fixed in order to adjust the rights of Members;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vest some assets in trustees.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2" w:right="3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How payments may be made</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6"/>
          <w:szCs w:val="16"/>
          <w:color w:val="auto"/>
        </w:rPr>
        <w:t>A dividend or other monies payable on or in respect of a Share may be paid in any of the following ways:</w:t>
      </w:r>
    </w:p>
    <w:p>
      <w:pPr>
        <w:spacing w:after="0" w:line="225" w:lineRule="exact"/>
        <w:rPr>
          <w:sz w:val="20"/>
          <w:szCs w:val="20"/>
          <w:color w:val="auto"/>
        </w:rPr>
      </w:pPr>
    </w:p>
    <w:p>
      <w:pPr>
        <w:ind w:left="1280" w:hanging="638"/>
        <w:spacing w:after="0" w:line="277" w:lineRule="auto"/>
        <w:tabs>
          <w:tab w:leader="none" w:pos="12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the Member holding that Share or other person entitled to that Share nominates a bank account for that purpose - by wire transfer to that bank account; or</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by cheque or warrant sent by post to the registered address of the Member holding that Share or other person entitled to that Share.</w:t>
      </w:r>
    </w:p>
    <w:p>
      <w:pPr>
        <w:spacing w:after="0" w:line="237" w:lineRule="exact"/>
        <w:rPr>
          <w:sz w:val="20"/>
          <w:szCs w:val="20"/>
          <w:color w:val="auto"/>
        </w:rPr>
      </w:pPr>
    </w:p>
    <w:p>
      <w:pPr>
        <w:ind w:left="640" w:right="100" w:hanging="633"/>
        <w:spacing w:after="0" w:line="279" w:lineRule="auto"/>
        <w:tabs>
          <w:tab w:leader="none" w:pos="62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7"/>
          <w:szCs w:val="17"/>
          <w:color w:val="auto"/>
        </w:rPr>
        <w:t>For the purpose of paragraph 23.8(a), the nomination may be in writing or in an Electronic Record and the bank account nominated may be the bank account of another person. For the purpose of paragraph 23.8(b),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spacing w:after="0" w:line="171" w:lineRule="exact"/>
        <w:rPr>
          <w:sz w:val="20"/>
          <w:szCs w:val="20"/>
          <w:color w:val="auto"/>
        </w:rPr>
      </w:pPr>
    </w:p>
    <w:p>
      <w:pPr>
        <w:ind w:left="640" w:right="180" w:hanging="633"/>
        <w:spacing w:after="0" w:line="277" w:lineRule="auto"/>
        <w:tabs>
          <w:tab w:leader="none" w:pos="620" w:val="left"/>
        </w:tabs>
        <w:rPr>
          <w:sz w:val="20"/>
          <w:szCs w:val="20"/>
          <w:color w:val="auto"/>
        </w:rPr>
      </w:pPr>
      <w:r>
        <w:rPr>
          <w:rFonts w:ascii="Arial" w:cs="Arial" w:eastAsia="Arial" w:hAnsi="Arial"/>
          <w:sz w:val="18"/>
          <w:szCs w:val="18"/>
          <w:color w:val="auto"/>
        </w:rPr>
        <w:t>23.10</w:t>
        <w:tab/>
        <w:t>If two or more persons are registered as the holders of the Share or are jointly entitled to it by reason of the death or bankruptcy of the registered holder (</w:t>
      </w:r>
      <w:r>
        <w:rPr>
          <w:rFonts w:ascii="Arial" w:cs="Arial" w:eastAsia="Arial" w:hAnsi="Arial"/>
          <w:sz w:val="18"/>
          <w:szCs w:val="18"/>
          <w:b w:val="1"/>
          <w:bCs w:val="1"/>
          <w:color w:val="auto"/>
        </w:rPr>
        <w:t>Joint Holders</w:t>
      </w:r>
      <w:r>
        <w:rPr>
          <w:rFonts w:ascii="Arial" w:cs="Arial" w:eastAsia="Arial" w:hAnsi="Arial"/>
          <w:sz w:val="18"/>
          <w:szCs w:val="18"/>
          <w:color w:val="auto"/>
        </w:rPr>
        <w:t>), a dividend (or other amount) payable on or in respect of that Share may be paid as follows:</w:t>
      </w:r>
    </w:p>
    <w:p>
      <w:pPr>
        <w:spacing w:after="0" w:line="170" w:lineRule="exact"/>
        <w:rPr>
          <w:sz w:val="20"/>
          <w:szCs w:val="20"/>
          <w:color w:val="auto"/>
        </w:rPr>
      </w:pPr>
    </w:p>
    <w:p>
      <w:pPr>
        <w:ind w:left="1280" w:right="80" w:hanging="638"/>
        <w:spacing w:after="0" w:line="277" w:lineRule="auto"/>
        <w:tabs>
          <w:tab w:leader="none" w:pos="1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the registered address of the Joint Holder of the Share who is named first on the register of members or to the registered address of the deceased or bankrupt holder, as the case may be; or</w:t>
      </w:r>
    </w:p>
    <w:p>
      <w:pPr>
        <w:spacing w:after="0" w:line="170"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the address or bank account of another person nominated by the Joint Holders, whether that nomination is in writing or in an Electronic Record.</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23.11</w:t>
      </w:r>
      <w:r>
        <w:rPr>
          <w:sz w:val="20"/>
          <w:szCs w:val="20"/>
          <w:color w:val="auto"/>
        </w:rPr>
        <w:tab/>
      </w:r>
      <w:r>
        <w:rPr>
          <w:rFonts w:ascii="Arial" w:cs="Arial" w:eastAsia="Arial" w:hAnsi="Arial"/>
          <w:sz w:val="16"/>
          <w:szCs w:val="16"/>
          <w:color w:val="auto"/>
        </w:rPr>
        <w:t>Any Joint Holder of a Share may give a valid receipt for a dividend (or other amount) payable in respect of that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or other moneys not to bear interest in absence of special rights</w:t>
      </w:r>
    </w:p>
    <w:p>
      <w:pPr>
        <w:spacing w:after="0" w:line="229" w:lineRule="exact"/>
        <w:rPr>
          <w:sz w:val="20"/>
          <w:szCs w:val="20"/>
          <w:color w:val="auto"/>
        </w:rPr>
      </w:pPr>
    </w:p>
    <w:p>
      <w:pPr>
        <w:ind w:left="640" w:right="580" w:hanging="633"/>
        <w:spacing w:after="0" w:line="277" w:lineRule="auto"/>
        <w:tabs>
          <w:tab w:leader="none" w:pos="620" w:val="left"/>
        </w:tabs>
        <w:rPr>
          <w:sz w:val="20"/>
          <w:szCs w:val="20"/>
          <w:color w:val="auto"/>
        </w:rPr>
      </w:pPr>
      <w:r>
        <w:rPr>
          <w:rFonts w:ascii="Arial" w:cs="Arial" w:eastAsia="Arial" w:hAnsi="Arial"/>
          <w:sz w:val="18"/>
          <w:szCs w:val="18"/>
          <w:color w:val="auto"/>
        </w:rPr>
        <w:t>23.12</w:t>
        <w:tab/>
        <w:t>Unless provided for by the rights attached to a Share, no dividend or other monies payable by the Company in respect of a Share shall bear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unable to be paid or unclaimed</w:t>
      </w:r>
    </w:p>
    <w:p>
      <w:pPr>
        <w:spacing w:after="0" w:line="229" w:lineRule="exact"/>
        <w:rPr>
          <w:sz w:val="20"/>
          <w:szCs w:val="20"/>
          <w:color w:val="auto"/>
        </w:rPr>
      </w:pPr>
    </w:p>
    <w:p>
      <w:pPr>
        <w:ind w:left="640" w:right="220" w:hanging="633"/>
        <w:spacing w:after="0" w:line="263" w:lineRule="auto"/>
        <w:tabs>
          <w:tab w:leader="none" w:pos="620" w:val="left"/>
        </w:tabs>
        <w:rPr>
          <w:sz w:val="20"/>
          <w:szCs w:val="20"/>
          <w:color w:val="auto"/>
        </w:rPr>
      </w:pPr>
      <w:r>
        <w:rPr>
          <w:rFonts w:ascii="Arial" w:cs="Arial" w:eastAsia="Arial" w:hAnsi="Arial"/>
          <w:sz w:val="18"/>
          <w:szCs w:val="18"/>
          <w:color w:val="auto"/>
        </w:rPr>
        <w:t>23.13</w:t>
        <w:tab/>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spacing w:after="0" w:line="184" w:lineRule="exact"/>
        <w:rPr>
          <w:sz w:val="20"/>
          <w:szCs w:val="20"/>
          <w:color w:val="auto"/>
        </w:rPr>
      </w:pPr>
    </w:p>
    <w:p>
      <w:pPr>
        <w:ind w:left="640" w:right="120" w:hanging="633"/>
        <w:spacing w:after="0" w:line="277" w:lineRule="auto"/>
        <w:tabs>
          <w:tab w:leader="none" w:pos="620" w:val="left"/>
        </w:tabs>
        <w:rPr>
          <w:sz w:val="20"/>
          <w:szCs w:val="20"/>
          <w:color w:val="auto"/>
        </w:rPr>
      </w:pPr>
      <w:r>
        <w:rPr>
          <w:rFonts w:ascii="Arial" w:cs="Arial" w:eastAsia="Arial" w:hAnsi="Arial"/>
          <w:sz w:val="18"/>
          <w:szCs w:val="18"/>
          <w:color w:val="auto"/>
        </w:rPr>
        <w:t>23.14</w:t>
        <w:tab/>
        <w:t>A dividend that remains unclaimed for a period of six years after it became due for payment shall be forfeited to, and shall cease to remain owing by, the Company.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181" w:name="page182"/>
    <w:bookmarkEnd w:id="181"/>
    <w:p>
      <w:pPr>
        <w:spacing w:after="0"/>
        <w:tabs>
          <w:tab w:leader="none" w:pos="6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Capitalisation of profits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Capitalisation of profits or of any share premium account or capital redemption reserve</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The directors may resolve to capitalise:</w:t>
      </w:r>
    </w:p>
    <w:p>
      <w:pPr>
        <w:spacing w:after="0" w:line="225" w:lineRule="exact"/>
        <w:rPr>
          <w:sz w:val="20"/>
          <w:szCs w:val="20"/>
          <w:color w:val="auto"/>
        </w:rPr>
      </w:pPr>
    </w:p>
    <w:p>
      <w:pPr>
        <w:ind w:left="1280" w:right="660" w:hanging="638"/>
        <w:spacing w:after="0" w:line="277" w:lineRule="auto"/>
        <w:tabs>
          <w:tab w:leader="none" w:pos="12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part of the Company's profits not required for paying any preferential dividend (whether or not those profits are available for distribution); or</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sum standing to the credit of the Company's share premium account or capital redemption reserve, if any.</w:t>
      </w:r>
    </w:p>
    <w:p>
      <w:pPr>
        <w:spacing w:after="0" w:line="225" w:lineRule="exact"/>
        <w:rPr>
          <w:sz w:val="20"/>
          <w:szCs w:val="20"/>
          <w:color w:val="auto"/>
        </w:rPr>
      </w:pPr>
    </w:p>
    <w:p>
      <w:pPr>
        <w:ind w:left="640" w:right="160"/>
        <w:spacing w:after="0" w:line="308" w:lineRule="auto"/>
        <w:rPr>
          <w:sz w:val="20"/>
          <w:szCs w:val="20"/>
          <w:color w:val="auto"/>
        </w:rPr>
      </w:pPr>
      <w:r>
        <w:rPr>
          <w:rFonts w:ascii="Arial" w:cs="Arial" w:eastAsia="Arial" w:hAnsi="Arial"/>
          <w:sz w:val="17"/>
          <w:szCs w:val="17"/>
          <w:color w:val="auto"/>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spacing w:after="0" w:line="146" w:lineRule="exact"/>
        <w:rPr>
          <w:sz w:val="20"/>
          <w:szCs w:val="20"/>
          <w:color w:val="auto"/>
        </w:rPr>
      </w:pPr>
    </w:p>
    <w:p>
      <w:pPr>
        <w:ind w:left="1280" w:hanging="638"/>
        <w:spacing w:after="0"/>
        <w:tabs>
          <w:tab w:leader="none" w:pos="12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by paying up the amounts unpaid on that Member's Shares;</w:t>
      </w:r>
    </w:p>
    <w:p>
      <w:pPr>
        <w:spacing w:after="0" w:line="225" w:lineRule="exact"/>
        <w:rPr>
          <w:rFonts w:ascii="Arial" w:cs="Arial" w:eastAsia="Arial" w:hAnsi="Arial"/>
          <w:sz w:val="18"/>
          <w:szCs w:val="18"/>
          <w:color w:val="auto"/>
        </w:rPr>
      </w:pPr>
    </w:p>
    <w:p>
      <w:pPr>
        <w:ind w:left="1280" w:right="40" w:hanging="638"/>
        <w:spacing w:after="0" w:line="263" w:lineRule="auto"/>
        <w:tabs>
          <w:tab w:leader="none" w:pos="12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by issuing Fully Paid Shares, debentures or other securities of the Company to that Member or as that Member directs. The directors may resolve that any Shares issued to the Member in respect of partly paid Shares (</w:t>
      </w:r>
      <w:r>
        <w:rPr>
          <w:rFonts w:ascii="Arial" w:cs="Arial" w:eastAsia="Arial" w:hAnsi="Arial"/>
          <w:sz w:val="18"/>
          <w:szCs w:val="18"/>
          <w:b w:val="1"/>
          <w:bCs w:val="1"/>
          <w:color w:val="auto"/>
        </w:rPr>
        <w:t>Original Shares</w:t>
      </w:r>
      <w:r>
        <w:rPr>
          <w:rFonts w:ascii="Arial" w:cs="Arial" w:eastAsia="Arial" w:hAnsi="Arial"/>
          <w:sz w:val="18"/>
          <w:szCs w:val="18"/>
          <w:color w:val="auto"/>
        </w:rPr>
        <w:t>) rank for dividend only to the extent that the Original Shares rank for dividend while those Original Shares remain partly paid.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Applying an amount for the benefit of members</w:t>
      </w:r>
    </w:p>
    <w:p>
      <w:pPr>
        <w:spacing w:after="0" w:line="229" w:lineRule="exact"/>
        <w:rPr>
          <w:sz w:val="20"/>
          <w:szCs w:val="20"/>
          <w:color w:val="auto"/>
        </w:rPr>
      </w:pPr>
    </w:p>
    <w:p>
      <w:pPr>
        <w:ind w:left="640" w:right="40" w:hanging="633"/>
        <w:spacing w:after="0" w:line="277" w:lineRule="auto"/>
        <w:tabs>
          <w:tab w:leader="none" w:pos="62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The amount capitalised must be applied to the benefit of Members in the proportions to which the Members would have been entitled to dividends if the amount capitalised had been distributed as a dividend.</w:t>
      </w:r>
    </w:p>
    <w:p>
      <w:pPr>
        <w:spacing w:after="0" w:line="170" w:lineRule="exact"/>
        <w:rPr>
          <w:sz w:val="20"/>
          <w:szCs w:val="20"/>
          <w:color w:val="auto"/>
        </w:rPr>
      </w:pPr>
    </w:p>
    <w:p>
      <w:pPr>
        <w:ind w:left="640" w:right="20" w:hanging="633"/>
        <w:spacing w:after="0" w:line="277" w:lineRule="auto"/>
        <w:tabs>
          <w:tab w:leader="none" w:pos="62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Subject to the Law, if a fraction of a Share, a debenture or other security is allocated to a Member, the directors may issue a fractional certificate to that Member or pay him the cash equivalent of the fraction.</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Share premium account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to maintain share premium account</w:t>
      </w:r>
    </w:p>
    <w:p>
      <w:pPr>
        <w:spacing w:after="0" w:line="229" w:lineRule="exact"/>
        <w:rPr>
          <w:sz w:val="20"/>
          <w:szCs w:val="20"/>
          <w:color w:val="auto"/>
        </w:rPr>
      </w:pPr>
    </w:p>
    <w:p>
      <w:pPr>
        <w:ind w:left="640" w:hanging="633"/>
        <w:spacing w:after="0" w:line="263" w:lineRule="auto"/>
        <w:tabs>
          <w:tab w:leader="none" w:pos="62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Debits to share premium account</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The following amounts shall be debited to any share premium account:</w:t>
      </w:r>
    </w:p>
    <w:p>
      <w:pPr>
        <w:spacing w:after="0" w:line="225" w:lineRule="exact"/>
        <w:rPr>
          <w:sz w:val="20"/>
          <w:szCs w:val="20"/>
          <w:color w:val="auto"/>
        </w:rPr>
      </w:pPr>
    </w:p>
    <w:p>
      <w:pPr>
        <w:ind w:left="1280" w:right="180" w:hanging="638"/>
        <w:spacing w:after="0" w:line="277" w:lineRule="auto"/>
        <w:tabs>
          <w:tab w:leader="none" w:pos="12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on the redemption or purchase of a Share, the difference between the nominal value of that Share and the redemption or purchase price; and</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182" w:name="page183"/>
    <w:bookmarkEnd w:id="182"/>
    <w:p>
      <w:pPr>
        <w:ind w:left="1280" w:hanging="638"/>
        <w:spacing w:after="0"/>
        <w:tabs>
          <w:tab w:leader="none" w:pos="12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other amount paid out of a share premium account as permitted by the Law.</w:t>
      </w:r>
    </w:p>
    <w:p>
      <w:pPr>
        <w:spacing w:after="0" w:line="225" w:lineRule="exact"/>
        <w:rPr>
          <w:sz w:val="20"/>
          <w:szCs w:val="20"/>
          <w:color w:val="auto"/>
        </w:rPr>
      </w:pPr>
    </w:p>
    <w:p>
      <w:pPr>
        <w:ind w:left="640" w:right="40" w:hanging="633"/>
        <w:spacing w:after="0" w:line="308" w:lineRule="auto"/>
        <w:tabs>
          <w:tab w:leader="none" w:pos="62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7"/>
          <w:szCs w:val="17"/>
          <w:color w:val="auto"/>
        </w:rPr>
        <w:t>Notwithstanding the preceding Article, on the redemption or purchase of a Share, the directors may pay the difference between the nominal value of that Share and the redemption purchase price out of the profits of the Company or, as permitted by the Law, out of capital.</w:t>
      </w:r>
    </w:p>
    <w:p>
      <w:pPr>
        <w:spacing w:after="0" w:line="142" w:lineRule="exact"/>
        <w:rPr>
          <w:sz w:val="20"/>
          <w:szCs w:val="20"/>
          <w:color w:val="auto"/>
        </w:rPr>
      </w:pPr>
    </w:p>
    <w:p>
      <w:pPr>
        <w:ind w:left="640" w:hanging="632"/>
        <w:spacing w:after="0"/>
        <w:tabs>
          <w:tab w:leader="none" w:pos="6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Seal</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Company seal</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color w:val="auto"/>
        </w:rPr>
        <w:t>The Company may have a seal if the directors so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Duplicate seal</w:t>
      </w:r>
    </w:p>
    <w:p>
      <w:pPr>
        <w:spacing w:after="0" w:line="229"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8"/>
          <w:szCs w:val="18"/>
          <w:color w:val="auto"/>
        </w:rPr>
        <w:t>Subject to the provisions of the Law, the Company may also have a duplicate seal or seals for use in any place or places outside the Islands. Each duplicate seal shall be a facsimile of the original seal of the Company. However, if the directors so determine, a duplicate seal shall have added on its face the name of the place where it is to be used.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how seal is to be used</w:t>
      </w:r>
    </w:p>
    <w:p>
      <w:pPr>
        <w:spacing w:after="0" w:line="229" w:lineRule="exact"/>
        <w:rPr>
          <w:sz w:val="20"/>
          <w:szCs w:val="20"/>
          <w:color w:val="auto"/>
        </w:rPr>
      </w:pPr>
    </w:p>
    <w:p>
      <w:pPr>
        <w:ind w:left="640" w:right="40" w:hanging="633"/>
        <w:spacing w:after="0" w:line="277" w:lineRule="auto"/>
        <w:tabs>
          <w:tab w:leader="none" w:pos="62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8"/>
          <w:szCs w:val="18"/>
          <w:color w:val="auto"/>
        </w:rPr>
        <w:t>A seal may only be used by the authority of the directors. Unless the directors otherwise determine, a document to which a seal is affixed must be signed in one of the following ways:</w:t>
      </w:r>
    </w:p>
    <w:p>
      <w:pPr>
        <w:spacing w:after="0" w:line="170" w:lineRule="exact"/>
        <w:rPr>
          <w:sz w:val="20"/>
          <w:szCs w:val="20"/>
          <w:color w:val="auto"/>
        </w:rPr>
      </w:pPr>
    </w:p>
    <w:p>
      <w:pPr>
        <w:ind w:left="1280" w:hanging="638"/>
        <w:spacing w:after="0"/>
        <w:tabs>
          <w:tab w:leader="none" w:pos="12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by a director and the Secretary;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by a single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seal is adopted or used</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6"/>
          <w:szCs w:val="16"/>
          <w:color w:val="auto"/>
        </w:rPr>
        <w:t>If the directors do not adopt a seal, or a seal is not used, a document may be executed in the following manner:</w:t>
      </w:r>
    </w:p>
    <w:p>
      <w:pPr>
        <w:spacing w:after="0" w:line="225" w:lineRule="exact"/>
        <w:rPr>
          <w:sz w:val="20"/>
          <w:szCs w:val="20"/>
          <w:color w:val="auto"/>
        </w:rPr>
      </w:pPr>
    </w:p>
    <w:p>
      <w:pPr>
        <w:ind w:left="1280" w:hanging="638"/>
        <w:spacing w:after="0"/>
        <w:tabs>
          <w:tab w:leader="none" w:pos="12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by a director and the Secretary;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by a single director;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any other manner permitted by the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allow non-manual signatures and facsimile printing of seal</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6"/>
          <w:szCs w:val="16"/>
          <w:color w:val="auto"/>
        </w:rPr>
        <w:t>The directors may determine that either or both of the following applies:</w:t>
      </w:r>
    </w:p>
    <w:p>
      <w:pPr>
        <w:spacing w:after="0" w:line="225" w:lineRule="exact"/>
        <w:rPr>
          <w:sz w:val="20"/>
          <w:szCs w:val="20"/>
          <w:color w:val="auto"/>
        </w:rPr>
      </w:pPr>
    </w:p>
    <w:p>
      <w:pPr>
        <w:ind w:left="1280" w:hanging="638"/>
        <w:spacing w:after="0"/>
        <w:tabs>
          <w:tab w:leader="none" w:pos="12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that the seal or a duplicate seal need not be affixed manually but may be affixed by some other method or system of reproduction;</w:t>
      </w:r>
    </w:p>
    <w:p>
      <w:pPr>
        <w:spacing w:after="0" w:line="236" w:lineRule="exact"/>
        <w:rPr>
          <w:rFonts w:ascii="Arial" w:cs="Arial" w:eastAsia="Arial" w:hAnsi="Arial"/>
          <w:sz w:val="17"/>
          <w:szCs w:val="17"/>
          <w:color w:val="auto"/>
        </w:rPr>
      </w:pPr>
    </w:p>
    <w:p>
      <w:pPr>
        <w:ind w:left="1280" w:hanging="638"/>
        <w:spacing w:after="0"/>
        <w:tabs>
          <w:tab w:leader="none" w:pos="12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that a signature required by these Articles need not be manual but may be a mechanical or Electronic Signature.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62" w:right="41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Validity of execution</w:t>
      </w:r>
    </w:p>
    <w:p>
      <w:pPr>
        <w:spacing w:after="0" w:line="229" w:lineRule="exact"/>
        <w:rPr>
          <w:sz w:val="20"/>
          <w:szCs w:val="20"/>
          <w:color w:val="auto"/>
        </w:rPr>
      </w:pPr>
    </w:p>
    <w:p>
      <w:pPr>
        <w:ind w:left="640" w:right="100" w:hanging="633"/>
        <w:spacing w:after="0" w:line="263" w:lineRule="auto"/>
        <w:tabs>
          <w:tab w:leader="none" w:pos="62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8"/>
          <w:szCs w:val="18"/>
          <w:color w:val="auto"/>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spacing w:after="0" w:line="180" w:lineRule="exact"/>
        <w:rPr>
          <w:sz w:val="20"/>
          <w:szCs w:val="20"/>
          <w:color w:val="auto"/>
        </w:rPr>
      </w:pPr>
    </w:p>
    <w:p>
      <w:pPr>
        <w:ind w:right="9800" w:firstLine="8"/>
        <w:spacing w:after="0" w:line="532" w:lineRule="auto"/>
        <w:tabs>
          <w:tab w:leader="none" w:pos="634"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Indemnity Indemnity</w:t>
      </w:r>
    </w:p>
    <w:p>
      <w:pPr>
        <w:spacing w:after="0" w:line="1" w:lineRule="exact"/>
        <w:rPr>
          <w:sz w:val="20"/>
          <w:szCs w:val="20"/>
          <w:color w:val="auto"/>
        </w:rPr>
      </w:pPr>
    </w:p>
    <w:p>
      <w:pPr>
        <w:ind w:left="640" w:right="620" w:hanging="633"/>
        <w:spacing w:after="0" w:line="277" w:lineRule="auto"/>
        <w:tabs>
          <w:tab w:leader="none" w:pos="62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8"/>
          <w:szCs w:val="18"/>
          <w:color w:val="auto"/>
        </w:rPr>
        <w:t>To the extent permitted by law, the Company shall indemnify each existing or former Secretary, director and other Officer of the Company (including an investment adviser or an administrator or liquidator) and their personal representatives against:</w:t>
      </w:r>
    </w:p>
    <w:p>
      <w:pPr>
        <w:spacing w:after="0" w:line="170" w:lineRule="exact"/>
        <w:rPr>
          <w:sz w:val="20"/>
          <w:szCs w:val="20"/>
          <w:color w:val="auto"/>
        </w:rPr>
      </w:pPr>
    </w:p>
    <w:p>
      <w:pPr>
        <w:ind w:left="1280" w:right="40" w:hanging="638"/>
        <w:spacing w:after="0" w:line="263" w:lineRule="auto"/>
        <w:tabs>
          <w:tab w:leader="none" w:pos="12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actions, proceedings, costs, charges, expenses, losses, damages or liabilities incurred or sustained by the existing or former director, Secretary or Officer in or about the conduct of the Company's business or affairs or in the execution or discharge of the existing or former director's, Secretary's or Officer's duties, powers, authorities or discretions; and</w:t>
      </w:r>
    </w:p>
    <w:p>
      <w:pPr>
        <w:spacing w:after="0" w:line="183" w:lineRule="exact"/>
        <w:rPr>
          <w:rFonts w:ascii="Arial" w:cs="Arial" w:eastAsia="Arial" w:hAnsi="Arial"/>
          <w:sz w:val="18"/>
          <w:szCs w:val="18"/>
          <w:color w:val="auto"/>
        </w:rPr>
      </w:pPr>
    </w:p>
    <w:p>
      <w:pPr>
        <w:ind w:left="1280" w:right="280" w:hanging="638"/>
        <w:spacing w:after="0" w:line="311" w:lineRule="auto"/>
        <w:tabs>
          <w:tab w:leader="none" w:pos="12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without limitation to paragraph 27.1(a), all costs, expenses, losses or liabilities incurred by the existing or former director, Secretary or Officer in defending (whether successfully or otherwise) any civil, criminal, administrative or investigative proceedings (whether threatened, pending or completed) concerning the Company or its affairs in any court or tribunal, whether in the Islands or elsewhere.</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 such existing or former director, Secretary or Officer, however, shall be indemnified in respect of any matter arising out of his own dishonesty.</w:t>
      </w:r>
    </w:p>
    <w:p>
      <w:pPr>
        <w:spacing w:after="0" w:line="248" w:lineRule="exact"/>
        <w:rPr>
          <w:sz w:val="20"/>
          <w:szCs w:val="20"/>
          <w:color w:val="auto"/>
        </w:rPr>
      </w:pPr>
    </w:p>
    <w:p>
      <w:pPr>
        <w:ind w:left="640" w:right="100" w:hanging="633"/>
        <w:spacing w:after="0" w:line="259" w:lineRule="auto"/>
        <w:tabs>
          <w:tab w:leader="none" w:pos="62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8"/>
          <w:szCs w:val="18"/>
          <w:color w:val="auto"/>
        </w:rPr>
        <w:t>To the extent permitted by law, the Company shall make a payment, by way of advancement, for any legal costs incurred by an existing or former director, Secretary or Officer of the Company in respect of any matter identified in paragraph 27.127.1(a) or paragraph 27.1(b) on condition that the director, Secretary or Officer must repay the amount paid by the Company to the extent that it is ultimately found not liable to indemnify the director, Secretary or that Officer for those legal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w:t>
      </w:r>
    </w:p>
    <w:p>
      <w:pPr>
        <w:spacing w:after="0" w:line="229" w:lineRule="exact"/>
        <w:rPr>
          <w:sz w:val="20"/>
          <w:szCs w:val="20"/>
          <w:color w:val="auto"/>
        </w:rPr>
      </w:pPr>
    </w:p>
    <w:p>
      <w:pPr>
        <w:ind w:left="640" w:hanging="633"/>
        <w:spacing w:after="0" w:line="259" w:lineRule="auto"/>
        <w:tabs>
          <w:tab w:leader="none" w:pos="62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8"/>
          <w:szCs w:val="18"/>
          <w:color w:val="auto"/>
        </w:rPr>
        <w:t>To the extent permitted by law, the Company may by Special Resolution release any existing or former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ind w:left="640" w:right="160" w:hanging="633"/>
        <w:spacing w:after="0" w:line="277" w:lineRule="auto"/>
        <w:tabs>
          <w:tab w:leader="none" w:pos="62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8"/>
          <w:szCs w:val="18"/>
          <w:color w:val="auto"/>
        </w:rPr>
        <w:t>To the extent permitted by law, the Company may pay, or agree to pay, a premium in respect of a contract insuring each of the following persons against risks determined by the directors, other than liability arising out of that person's own dishonesty:</w:t>
      </w:r>
    </w:p>
    <w:p>
      <w:pPr>
        <w:spacing w:after="0" w:line="170" w:lineRule="exact"/>
        <w:rPr>
          <w:sz w:val="20"/>
          <w:szCs w:val="20"/>
          <w:color w:val="auto"/>
        </w:rPr>
      </w:pPr>
    </w:p>
    <w:p>
      <w:pPr>
        <w:ind w:left="1280" w:hanging="638"/>
        <w:spacing w:after="0"/>
        <w:tabs>
          <w:tab w:leader="none" w:pos="1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 existing or former director, Secretary or Officer or auditor of:</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 company which is or was a subsidiary of the Company;</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 company in which the Company has or had an interest (whether direct or indirect); and</w:t>
      </w:r>
    </w:p>
    <w:p>
      <w:pPr>
        <w:spacing w:after="0" w:line="225"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trustee of an employee or retirement benefits scheme or other trust in which any of the persons referred to in paragraph 27.4(a) is or was interested.</w:t>
      </w:r>
    </w:p>
    <w:p>
      <w:pPr>
        <w:spacing w:after="0" w:line="166" w:lineRule="exact"/>
        <w:rPr>
          <w:sz w:val="20"/>
          <w:szCs w:val="20"/>
          <w:color w:val="auto"/>
        </w:rPr>
      </w:pPr>
    </w:p>
    <w:p>
      <w:pPr>
        <w:jc w:val="right"/>
        <w:ind w:right="10000" w:firstLine="8"/>
        <w:spacing w:after="0" w:line="603" w:lineRule="auto"/>
        <w:tabs>
          <w:tab w:leader="none" w:pos="634" w:val="left"/>
        </w:tabs>
        <w:numPr>
          <w:ilvl w:val="0"/>
          <w:numId w:val="184"/>
        </w:numPr>
        <w:rPr>
          <w:rFonts w:ascii="Arial" w:cs="Arial" w:eastAsia="Arial" w:hAnsi="Arial"/>
          <w:sz w:val="15"/>
          <w:szCs w:val="15"/>
          <w:b w:val="1"/>
          <w:bCs w:val="1"/>
          <w:color w:val="auto"/>
        </w:rPr>
      </w:pPr>
      <w:r>
        <w:rPr>
          <w:rFonts w:ascii="Arial" w:cs="Arial" w:eastAsia="Arial" w:hAnsi="Arial"/>
          <w:sz w:val="15"/>
          <w:szCs w:val="15"/>
          <w:b w:val="1"/>
          <w:bCs w:val="1"/>
          <w:color w:val="auto"/>
        </w:rPr>
        <w:t>Notices Form of notices</w:t>
      </w:r>
    </w:p>
    <w:p>
      <w:pPr>
        <w:spacing w:after="0" w:line="1" w:lineRule="exact"/>
        <w:rPr>
          <w:sz w:val="20"/>
          <w:szCs w:val="20"/>
          <w:color w:val="auto"/>
        </w:rPr>
      </w:pPr>
    </w:p>
    <w:p>
      <w:pPr>
        <w:ind w:left="640" w:right="300" w:hanging="633"/>
        <w:spacing w:after="0" w:line="277" w:lineRule="auto"/>
        <w:tabs>
          <w:tab w:leader="none" w:pos="62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Save where these Articles provide otherwise, and subject to the Designated Stock Exchanges Rules, any notice to be given to or by any person pursuant to these Articles shall be:</w:t>
      </w:r>
    </w:p>
    <w:p>
      <w:pPr>
        <w:spacing w:after="0" w:line="170" w:lineRule="exact"/>
        <w:rPr>
          <w:sz w:val="20"/>
          <w:szCs w:val="20"/>
          <w:color w:val="auto"/>
        </w:rPr>
      </w:pPr>
    </w:p>
    <w:p>
      <w:pPr>
        <w:ind w:left="1280" w:hanging="638"/>
        <w:spacing w:after="0"/>
        <w:tabs>
          <w:tab w:leader="none" w:pos="12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writing signed by or on behalf of the giver in the manner set out below for written notices; or</w:t>
      </w:r>
    </w:p>
    <w:p>
      <w:pPr>
        <w:spacing w:after="0" w:line="225" w:lineRule="exact"/>
        <w:rPr>
          <w:rFonts w:ascii="Arial" w:cs="Arial" w:eastAsia="Arial" w:hAnsi="Arial"/>
          <w:sz w:val="18"/>
          <w:szCs w:val="18"/>
          <w:color w:val="auto"/>
        </w:rPr>
      </w:pPr>
    </w:p>
    <w:p>
      <w:pPr>
        <w:ind w:left="1280" w:right="500" w:hanging="638"/>
        <w:spacing w:after="0" w:line="277" w:lineRule="auto"/>
        <w:tabs>
          <w:tab w:leader="none" w:pos="12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subject to the next Article, in an Electronic Record signed by or on behalf of the giver by Electronic Signature and authenticated in accordance with Articles about authentication of Electronic Records; or</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where these Articles expressly permit, by the Company by means of a website.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communications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color w:val="auto"/>
        </w:rPr>
        <w:t>Without limitation to Articles 16.8 to 16.9 inclusive (relating to the appointment by directors of proxies), a notice may only be given to the</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Company in an Electronic Record if:</w:t>
      </w:r>
    </w:p>
    <w:p>
      <w:pPr>
        <w:spacing w:after="0" w:line="211" w:lineRule="exact"/>
        <w:rPr>
          <w:sz w:val="20"/>
          <w:szCs w:val="20"/>
          <w:color w:val="auto"/>
        </w:rPr>
      </w:pPr>
    </w:p>
    <w:p>
      <w:pPr>
        <w:ind w:left="1280" w:hanging="638"/>
        <w:spacing w:after="0"/>
        <w:tabs>
          <w:tab w:leader="none" w:pos="1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directors so resolve;</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resolution states how an Electronic Record may be given and, if applicable, specifies an email address for the Company; and</w:t>
      </w:r>
    </w:p>
    <w:p>
      <w:pPr>
        <w:spacing w:after="0" w:line="236" w:lineRule="exact"/>
        <w:rPr>
          <w:rFonts w:ascii="Arial" w:cs="Arial" w:eastAsia="Arial" w:hAnsi="Arial"/>
          <w:sz w:val="17"/>
          <w:szCs w:val="17"/>
          <w:color w:val="auto"/>
        </w:rPr>
      </w:pPr>
    </w:p>
    <w:p>
      <w:pPr>
        <w:ind w:left="1280" w:right="80" w:hanging="638"/>
        <w:spacing w:after="0" w:line="277" w:lineRule="auto"/>
        <w:tabs>
          <w:tab w:leader="none" w:pos="1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terms of that resolution are notified to the Members for the time being and, if applicable, to those directors who were absent from the meeting at which the resolution was passed.</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58" w:right="379" w:bottom="1440" w:gutter="0" w:footer="0" w:header="0"/>
        </w:sectPr>
      </w:pPr>
    </w:p>
    <w:bookmarkStart w:id="185" w:name="page186"/>
    <w:bookmarkEnd w:id="185"/>
    <w:p>
      <w:pPr>
        <w:jc w:val="center"/>
        <w:ind w:right="80"/>
        <w:spacing w:after="0"/>
        <w:rPr>
          <w:sz w:val="20"/>
          <w:szCs w:val="20"/>
          <w:color w:val="auto"/>
        </w:rPr>
      </w:pPr>
      <w:r>
        <w:rPr>
          <w:rFonts w:ascii="Arial" w:cs="Arial" w:eastAsia="Arial" w:hAnsi="Arial"/>
          <w:sz w:val="18"/>
          <w:szCs w:val="18"/>
          <w:color w:val="auto"/>
        </w:rPr>
        <w:t>If the resolution is revoked or varied, the revocation or variation shall only become effective when its terms have been similarly notified.</w:t>
      </w:r>
    </w:p>
    <w:p>
      <w:pPr>
        <w:spacing w:after="0" w:line="225" w:lineRule="exact"/>
        <w:rPr>
          <w:sz w:val="20"/>
          <w:szCs w:val="20"/>
          <w:color w:val="auto"/>
        </w:rPr>
      </w:pPr>
    </w:p>
    <w:p>
      <w:pPr>
        <w:ind w:left="640" w:right="260" w:hanging="633"/>
        <w:spacing w:after="0" w:line="277" w:lineRule="auto"/>
        <w:tabs>
          <w:tab w:leader="none" w:pos="62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8"/>
          <w:szCs w:val="18"/>
          <w:color w:val="auto"/>
        </w:rPr>
        <w:t>A notice may not be given by Electronic Record to a person other than the Company unless the recipient has notified the giver of an Electronic address to which notice may be 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authorised to give notices</w:t>
      </w:r>
    </w:p>
    <w:p>
      <w:pPr>
        <w:spacing w:after="0" w:line="229" w:lineRule="exact"/>
        <w:rPr>
          <w:sz w:val="20"/>
          <w:szCs w:val="20"/>
          <w:color w:val="auto"/>
        </w:rPr>
      </w:pPr>
    </w:p>
    <w:p>
      <w:pPr>
        <w:ind w:left="640" w:right="340" w:hanging="633"/>
        <w:spacing w:after="0" w:line="277" w:lineRule="auto"/>
        <w:tabs>
          <w:tab w:leader="none" w:pos="62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8"/>
          <w:szCs w:val="18"/>
          <w:color w:val="auto"/>
        </w:rPr>
        <w:t>A notice by either the Company or a Member pursuant to these Articles may be given on behalf of the Company or a Member by a director or company secretary of the Company or a Member.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written notices</w:t>
      </w:r>
    </w:p>
    <w:p>
      <w:pPr>
        <w:spacing w:after="0" w:line="229" w:lineRule="exact"/>
        <w:rPr>
          <w:sz w:val="20"/>
          <w:szCs w:val="20"/>
          <w:color w:val="auto"/>
        </w:rPr>
      </w:pPr>
    </w:p>
    <w:p>
      <w:pPr>
        <w:ind w:left="640" w:right="120" w:hanging="633"/>
        <w:spacing w:after="0" w:line="308" w:lineRule="auto"/>
        <w:tabs>
          <w:tab w:leader="none" w:pos="620" w:val="left"/>
        </w:tabs>
        <w:rPr>
          <w:sz w:val="20"/>
          <w:szCs w:val="20"/>
          <w:color w:val="auto"/>
        </w:rPr>
      </w:pPr>
      <w:r>
        <w:rPr>
          <w:rFonts w:ascii="Arial" w:cs="Arial" w:eastAsia="Arial" w:hAnsi="Arial"/>
          <w:sz w:val="18"/>
          <w:szCs w:val="18"/>
          <w:color w:val="auto"/>
        </w:rPr>
        <w:t>28.5</w:t>
      </w:r>
      <w:r>
        <w:rPr>
          <w:sz w:val="20"/>
          <w:szCs w:val="20"/>
          <w:color w:val="auto"/>
        </w:rPr>
        <w:tab/>
      </w:r>
      <w:r>
        <w:rPr>
          <w:rFonts w:ascii="Arial" w:cs="Arial" w:eastAsia="Arial" w:hAnsi="Arial"/>
          <w:sz w:val="17"/>
          <w:szCs w:val="17"/>
          <w:color w:val="auto"/>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holders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28.6</w:t>
      </w:r>
      <w:r>
        <w:rPr>
          <w:sz w:val="20"/>
          <w:szCs w:val="20"/>
          <w:color w:val="auto"/>
        </w:rPr>
        <w:tab/>
      </w:r>
      <w:r>
        <w:rPr>
          <w:rFonts w:ascii="Arial" w:cs="Arial" w:eastAsia="Arial" w:hAnsi="Arial"/>
          <w:sz w:val="16"/>
          <w:szCs w:val="16"/>
          <w:color w:val="auto"/>
        </w:rPr>
        <w:t>Where Members are joint holders of a Share, all notices shall be given to the Member whose name first appears in the register of members.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40" w:right="420" w:hanging="633"/>
        <w:spacing w:after="0" w:line="277" w:lineRule="auto"/>
        <w:tabs>
          <w:tab w:leader="none" w:pos="620" w:val="left"/>
        </w:tabs>
        <w:rPr>
          <w:sz w:val="20"/>
          <w:szCs w:val="20"/>
          <w:color w:val="auto"/>
        </w:rPr>
      </w:pPr>
      <w:r>
        <w:rPr>
          <w:rFonts w:ascii="Arial" w:cs="Arial" w:eastAsia="Arial" w:hAnsi="Arial"/>
          <w:sz w:val="18"/>
          <w:szCs w:val="18"/>
          <w:color w:val="auto"/>
        </w:rPr>
        <w:t>28.7</w:t>
      </w:r>
      <w:r>
        <w:rPr>
          <w:sz w:val="20"/>
          <w:szCs w:val="20"/>
          <w:color w:val="auto"/>
        </w:rPr>
        <w:tab/>
      </w:r>
      <w:r>
        <w:rPr>
          <w:rFonts w:ascii="Arial" w:cs="Arial" w:eastAsia="Arial" w:hAnsi="Arial"/>
          <w:sz w:val="18"/>
          <w:szCs w:val="18"/>
          <w:color w:val="auto"/>
        </w:rPr>
        <w:t>A written notice shall be signed when it is autographed by or on behalf of the giver, or is marked in such a way as to indicate its execution or adoption by the giver.</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28.8</w:t>
      </w:r>
      <w:r>
        <w:rPr>
          <w:sz w:val="20"/>
          <w:szCs w:val="20"/>
          <w:color w:val="auto"/>
        </w:rPr>
        <w:tab/>
      </w:r>
      <w:r>
        <w:rPr>
          <w:rFonts w:ascii="Arial" w:cs="Arial" w:eastAsia="Arial" w:hAnsi="Arial"/>
          <w:sz w:val="16"/>
          <w:szCs w:val="16"/>
          <w:color w:val="auto"/>
        </w:rPr>
        <w:t>An Electronic Record may be signed by an Electronic Signature.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Evidence of transmission</w:t>
      </w:r>
    </w:p>
    <w:p>
      <w:pPr>
        <w:spacing w:after="0" w:line="229" w:lineRule="exact"/>
        <w:rPr>
          <w:sz w:val="20"/>
          <w:szCs w:val="20"/>
          <w:color w:val="auto"/>
        </w:rPr>
      </w:pPr>
    </w:p>
    <w:p>
      <w:pPr>
        <w:ind w:left="640" w:right="720" w:hanging="633"/>
        <w:spacing w:after="0" w:line="277" w:lineRule="auto"/>
        <w:tabs>
          <w:tab w:leader="none" w:pos="620" w:val="left"/>
        </w:tabs>
        <w:rPr>
          <w:sz w:val="20"/>
          <w:szCs w:val="20"/>
          <w:color w:val="auto"/>
        </w:rPr>
      </w:pPr>
      <w:r>
        <w:rPr>
          <w:rFonts w:ascii="Arial" w:cs="Arial" w:eastAsia="Arial" w:hAnsi="Arial"/>
          <w:sz w:val="18"/>
          <w:szCs w:val="18"/>
          <w:color w:val="auto"/>
        </w:rPr>
        <w:t>28.9</w:t>
      </w:r>
      <w:r>
        <w:rPr>
          <w:sz w:val="20"/>
          <w:szCs w:val="20"/>
          <w:color w:val="auto"/>
        </w:rPr>
        <w:tab/>
      </w:r>
      <w:r>
        <w:rPr>
          <w:rFonts w:ascii="Arial" w:cs="Arial" w:eastAsia="Arial" w:hAnsi="Arial"/>
          <w:sz w:val="18"/>
          <w:szCs w:val="18"/>
          <w:color w:val="auto"/>
        </w:rPr>
        <w:t>A notice given by Electronic Record shall be deemed sent if an Electronic Record is kept demonstrating the time, date and content of the transmission, and if no notification of failure to transmit is received by the giver.</w:t>
      </w:r>
    </w:p>
    <w:p>
      <w:pPr>
        <w:spacing w:after="0" w:line="170" w:lineRule="exact"/>
        <w:rPr>
          <w:sz w:val="20"/>
          <w:szCs w:val="20"/>
          <w:color w:val="auto"/>
        </w:rPr>
      </w:pPr>
    </w:p>
    <w:p>
      <w:pPr>
        <w:ind w:left="640" w:right="100" w:hanging="633"/>
        <w:spacing w:after="0" w:line="277" w:lineRule="auto"/>
        <w:tabs>
          <w:tab w:leader="none" w:pos="620" w:val="left"/>
        </w:tabs>
        <w:rPr>
          <w:sz w:val="20"/>
          <w:szCs w:val="20"/>
          <w:color w:val="auto"/>
        </w:rPr>
      </w:pPr>
      <w:r>
        <w:rPr>
          <w:rFonts w:ascii="Arial" w:cs="Arial" w:eastAsia="Arial" w:hAnsi="Arial"/>
          <w:sz w:val="18"/>
          <w:szCs w:val="18"/>
          <w:color w:val="auto"/>
        </w:rPr>
        <w:t>28.10</w:t>
        <w:tab/>
        <w:t>A notice given in writing shall be deemed sent if the giver can provide proof that the envelope containing the notice was properly addressed, pre-paid and posted, or that the written notice was otherwise properly transmitted to the recipient.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Giving notice to a deceased or bankrupt Member</w:t>
      </w:r>
    </w:p>
    <w:p>
      <w:pPr>
        <w:spacing w:after="0" w:line="229" w:lineRule="exact"/>
        <w:rPr>
          <w:sz w:val="20"/>
          <w:szCs w:val="20"/>
          <w:color w:val="auto"/>
        </w:rPr>
      </w:pPr>
    </w:p>
    <w:p>
      <w:pPr>
        <w:ind w:left="640" w:hanging="633"/>
        <w:spacing w:after="0" w:line="259" w:lineRule="auto"/>
        <w:tabs>
          <w:tab w:leader="none" w:pos="620" w:val="left"/>
        </w:tabs>
        <w:rPr>
          <w:sz w:val="20"/>
          <w:szCs w:val="20"/>
          <w:color w:val="auto"/>
        </w:rPr>
      </w:pPr>
      <w:r>
        <w:rPr>
          <w:rFonts w:ascii="Arial" w:cs="Arial" w:eastAsia="Arial" w:hAnsi="Arial"/>
          <w:sz w:val="18"/>
          <w:szCs w:val="18"/>
          <w:color w:val="auto"/>
        </w:rPr>
        <w:t>28.11</w:t>
        <w:tab/>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62" w:right="379" w:bottom="1440" w:gutter="0" w:footer="0" w:header="0"/>
        </w:sectPr>
      </w:pPr>
    </w:p>
    <w:bookmarkStart w:id="186" w:name="page187"/>
    <w:bookmarkEnd w:id="186"/>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28.12</w:t>
        <w:tab/>
        <w:t>Until such an address has been supplied, a notice may be given in any manner in which it might have been given if the death or bankruptcy had not occurred.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giving notices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28.13</w:t>
      </w:r>
      <w:r>
        <w:rPr>
          <w:sz w:val="20"/>
          <w:szCs w:val="20"/>
          <w:color w:val="auto"/>
        </w:rPr>
        <w:tab/>
      </w:r>
      <w:r>
        <w:rPr>
          <w:rFonts w:ascii="Arial" w:cs="Arial" w:eastAsia="Arial" w:hAnsi="Arial"/>
          <w:sz w:val="16"/>
          <w:szCs w:val="16"/>
          <w:color w:val="auto"/>
        </w:rPr>
        <w:t>A notice is given on the date identified in the following table.</w:t>
      </w:r>
    </w:p>
    <w:p>
      <w:pPr>
        <w:spacing w:after="0" w:line="248"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Method for giving notices</w:t>
      </w:r>
      <w:r>
        <w:rPr>
          <w:sz w:val="20"/>
          <w:szCs w:val="20"/>
          <w:color w:val="auto"/>
        </w:rPr>
        <w:tab/>
      </w:r>
      <w:r>
        <w:rPr>
          <w:rFonts w:ascii="Arial" w:cs="Arial" w:eastAsia="Arial" w:hAnsi="Arial"/>
          <w:sz w:val="16"/>
          <w:szCs w:val="16"/>
          <w:b w:val="1"/>
          <w:bCs w:val="1"/>
          <w:color w:val="auto"/>
        </w:rPr>
        <w:t>When taken to be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Personally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leaving it at the Member's registered address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the recipient has an address within the Islands, by posting it by prepaid post to the street or postal address of that recipient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recipient has an address outside the Islands, by posting it by prepaid airmail to the street or postal address of that recipient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By Electronic Record (other than publication on a website), to recipient's Electronic address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publication on a website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 provision</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At the time and date of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time and date it was left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48 hours after it was posted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7 Clear Days after posting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Within 24 hours after it was sent</w:t>
      </w:r>
    </w:p>
    <w:p>
      <w:pPr>
        <w:spacing w:after="0" w:line="200" w:lineRule="exact"/>
        <w:rPr>
          <w:sz w:val="20"/>
          <w:szCs w:val="20"/>
          <w:color w:val="auto"/>
        </w:rPr>
      </w:pPr>
    </w:p>
    <w:p>
      <w:pPr>
        <w:spacing w:after="0" w:line="24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See the Articles about the time when notice of a meeting of Members or accounts and reports, as the case may be, are published on a website</w:t>
      </w:r>
    </w:p>
    <w:p>
      <w:pPr>
        <w:spacing w:after="0" w:line="526" w:lineRule="exact"/>
        <w:rPr>
          <w:sz w:val="20"/>
          <w:szCs w:val="20"/>
          <w:color w:val="auto"/>
        </w:rPr>
      </w:pPr>
    </w:p>
    <w:p>
      <w:pPr>
        <w:sectPr>
          <w:pgSz w:w="11900" w:h="16838" w:orient="portrait"/>
          <w:cols w:equalWidth="0" w:num="2">
            <w:col w:w="5340" w:space="400"/>
            <w:col w:w="5500"/>
          </w:cols>
          <w:pgMar w:left="320" w:top="962" w:right="339" w:bottom="1440" w:gutter="0" w:footer="0" w:header="0"/>
          <w:type w:val="continuous"/>
        </w:sectPr>
      </w:pPr>
    </w:p>
    <w:p>
      <w:pPr>
        <w:spacing w:after="0" w:line="29" w:lineRule="exact"/>
        <w:rPr>
          <w:sz w:val="20"/>
          <w:szCs w:val="20"/>
          <w:color w:val="auto"/>
        </w:rPr>
      </w:pPr>
    </w:p>
    <w:p>
      <w:pPr>
        <w:ind w:left="640" w:right="740" w:hanging="633"/>
        <w:spacing w:after="0" w:line="277" w:lineRule="auto"/>
        <w:tabs>
          <w:tab w:leader="none" w:pos="620" w:val="left"/>
        </w:tabs>
        <w:rPr>
          <w:sz w:val="20"/>
          <w:szCs w:val="20"/>
          <w:color w:val="auto"/>
        </w:rPr>
      </w:pPr>
      <w:r>
        <w:rPr>
          <w:rFonts w:ascii="Arial" w:cs="Arial" w:eastAsia="Arial" w:hAnsi="Arial"/>
          <w:sz w:val="18"/>
          <w:szCs w:val="18"/>
          <w:color w:val="auto"/>
        </w:rPr>
        <w:t>28.14</w:t>
        <w:tab/>
        <w:t>None of the preceding notice provisions shall derogate from the Articles about the delivery of written resolutions of directors and written resolutions of Members.</w:t>
      </w:r>
    </w:p>
    <w:p>
      <w:pPr>
        <w:spacing w:after="0" w:line="166" w:lineRule="exact"/>
        <w:rPr>
          <w:sz w:val="20"/>
          <w:szCs w:val="20"/>
          <w:color w:val="auto"/>
        </w:rPr>
      </w:pPr>
    </w:p>
    <w:p>
      <w:pPr>
        <w:ind w:right="7740" w:firstLine="8"/>
        <w:spacing w:after="0" w:line="503" w:lineRule="auto"/>
        <w:tabs>
          <w:tab w:leader="none" w:pos="634"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Authentication of Electronic Records Application of Articles</w:t>
      </w:r>
    </w:p>
    <w:p>
      <w:pPr>
        <w:jc w:val="both"/>
        <w:ind w:left="640" w:right="340" w:hanging="633"/>
        <w:spacing w:after="0" w:line="263" w:lineRule="auto"/>
        <w:tabs>
          <w:tab w:leader="none" w:pos="62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8"/>
          <w:szCs w:val="18"/>
          <w:color w:val="auto"/>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type w:val="continuous"/>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Authentication of documents sent by Members by Electronic means</w:t>
      </w:r>
    </w:p>
    <w:p>
      <w:pPr>
        <w:spacing w:after="0" w:line="229" w:lineRule="exact"/>
        <w:rPr>
          <w:sz w:val="20"/>
          <w:szCs w:val="20"/>
          <w:color w:val="auto"/>
        </w:rPr>
      </w:pPr>
    </w:p>
    <w:p>
      <w:pPr>
        <w:ind w:left="640" w:right="80" w:hanging="633"/>
        <w:spacing w:after="0" w:line="277" w:lineRule="auto"/>
        <w:tabs>
          <w:tab w:leader="none" w:pos="62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color w:val="auto"/>
        </w:rPr>
        <w:t>An Electronic Record of a notice, written resolution or other document sent by Electronic means by or on behalf of one or more Members shall be deemed to be authentic if the following conditions are satisfied:</w:t>
      </w:r>
    </w:p>
    <w:p>
      <w:pPr>
        <w:spacing w:after="0" w:line="166" w:lineRule="exact"/>
        <w:rPr>
          <w:sz w:val="20"/>
          <w:szCs w:val="20"/>
          <w:color w:val="auto"/>
        </w:rPr>
      </w:pPr>
    </w:p>
    <w:p>
      <w:pPr>
        <w:ind w:left="1280" w:hanging="638"/>
        <w:spacing w:after="0" w:line="282" w:lineRule="auto"/>
        <w:tabs>
          <w:tab w:leader="none" w:pos="12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the Member or each Member, as the case may be, signed the original document, and for this purpose </w:t>
      </w:r>
      <w:r>
        <w:rPr>
          <w:rFonts w:ascii="Arial" w:cs="Arial" w:eastAsia="Arial" w:hAnsi="Arial"/>
          <w:sz w:val="18"/>
          <w:szCs w:val="18"/>
          <w:b w:val="1"/>
          <w:bCs w:val="1"/>
          <w:color w:val="auto"/>
        </w:rPr>
        <w:t>Original Document</w:t>
      </w:r>
      <w:r>
        <w:rPr>
          <w:rFonts w:ascii="Arial" w:cs="Arial" w:eastAsia="Arial" w:hAnsi="Arial"/>
          <w:sz w:val="18"/>
          <w:szCs w:val="18"/>
          <w:color w:val="auto"/>
        </w:rPr>
        <w:t xml:space="preserve"> includes several documents in like form signed by one or more of those Members; and</w:t>
      </w:r>
    </w:p>
    <w:p>
      <w:pPr>
        <w:spacing w:after="0" w:line="165" w:lineRule="exact"/>
        <w:rPr>
          <w:rFonts w:ascii="Arial" w:cs="Arial" w:eastAsia="Arial" w:hAnsi="Arial"/>
          <w:sz w:val="18"/>
          <w:szCs w:val="18"/>
          <w:color w:val="auto"/>
        </w:rPr>
      </w:pPr>
    </w:p>
    <w:p>
      <w:pPr>
        <w:ind w:left="1280" w:right="560" w:hanging="638"/>
        <w:spacing w:after="0" w:line="277" w:lineRule="auto"/>
        <w:tabs>
          <w:tab w:leader="none" w:pos="12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Electronic Record of the Original Document was sent by Electronic means by, or at the direction of, that Member to an address specified in accordance with these Articles for the purpose for which it was sent;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Article 29.7 does not apply.</w:t>
      </w:r>
    </w:p>
    <w:p>
      <w:pPr>
        <w:spacing w:after="0" w:line="225" w:lineRule="exact"/>
        <w:rPr>
          <w:sz w:val="20"/>
          <w:szCs w:val="20"/>
          <w:color w:val="auto"/>
        </w:rPr>
      </w:pPr>
    </w:p>
    <w:p>
      <w:pPr>
        <w:ind w:left="640" w:right="60" w:hanging="633"/>
        <w:spacing w:after="0" w:line="263" w:lineRule="auto"/>
        <w:tabs>
          <w:tab w:leader="none" w:pos="62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color w:val="auto"/>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29.7 applies.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Authentication of document sent by the Secretary or Officers of the Company by Electronic means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6"/>
          <w:szCs w:val="16"/>
          <w:color w:val="auto"/>
        </w:rPr>
        <w:t>An Electronic Record of a notice, written resolution or other document sent by or on behalf of the Secretary or an Officer or Officers of the</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Company shall be deemed to be authentic if the following conditions are satisfied:</w:t>
      </w:r>
    </w:p>
    <w:p>
      <w:pPr>
        <w:spacing w:after="0" w:line="207" w:lineRule="exact"/>
        <w:rPr>
          <w:sz w:val="20"/>
          <w:szCs w:val="20"/>
          <w:color w:val="auto"/>
        </w:rPr>
      </w:pPr>
    </w:p>
    <w:p>
      <w:pPr>
        <w:ind w:left="1280" w:right="200" w:hanging="638"/>
        <w:spacing w:after="0" w:line="282" w:lineRule="auto"/>
        <w:tabs>
          <w:tab w:leader="none" w:pos="12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the Secretary or the Officer or each Officer, as the case may be, signed the original document, and for this purpose </w:t>
      </w:r>
      <w:r>
        <w:rPr>
          <w:rFonts w:ascii="Arial" w:cs="Arial" w:eastAsia="Arial" w:hAnsi="Arial"/>
          <w:sz w:val="18"/>
          <w:szCs w:val="18"/>
          <w:b w:val="1"/>
          <w:bCs w:val="1"/>
          <w:color w:val="auto"/>
        </w:rPr>
        <w:t>Original Document</w:t>
      </w:r>
      <w:r>
        <w:rPr>
          <w:rFonts w:ascii="Arial" w:cs="Arial" w:eastAsia="Arial" w:hAnsi="Arial"/>
          <w:sz w:val="18"/>
          <w:szCs w:val="18"/>
          <w:color w:val="auto"/>
        </w:rPr>
        <w:t xml:space="preserve"> includes several documents in like form signed by the Secretary or one or more of those Officers; and</w:t>
      </w:r>
    </w:p>
    <w:p>
      <w:pPr>
        <w:spacing w:after="0" w:line="165" w:lineRule="exact"/>
        <w:rPr>
          <w:rFonts w:ascii="Arial" w:cs="Arial" w:eastAsia="Arial" w:hAnsi="Arial"/>
          <w:sz w:val="18"/>
          <w:szCs w:val="18"/>
          <w:color w:val="auto"/>
        </w:rPr>
      </w:pPr>
    </w:p>
    <w:p>
      <w:pPr>
        <w:ind w:left="1280" w:right="40" w:hanging="638"/>
        <w:spacing w:after="0" w:line="277" w:lineRule="auto"/>
        <w:tabs>
          <w:tab w:leader="none" w:pos="12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Electronic Record of the Original Document was sent by Electronic means by, or at the direction of, the Secretary or that Officer to an address specified in accordance with these Articles for the purpose for which it was sent;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Article 29.7 does not apply.</w:t>
      </w:r>
    </w:p>
    <w:p>
      <w:pPr>
        <w:spacing w:after="0" w:line="225" w:lineRule="exact"/>
        <w:rPr>
          <w:sz w:val="20"/>
          <w:szCs w:val="20"/>
          <w:color w:val="auto"/>
        </w:rPr>
      </w:pPr>
    </w:p>
    <w:p>
      <w:pPr>
        <w:ind w:left="640" w:right="740"/>
        <w:spacing w:after="0" w:line="277" w:lineRule="auto"/>
        <w:rPr>
          <w:sz w:val="20"/>
          <w:szCs w:val="20"/>
          <w:color w:val="auto"/>
        </w:rPr>
      </w:pPr>
      <w:r>
        <w:rPr>
          <w:rFonts w:ascii="Arial" w:cs="Arial" w:eastAsia="Arial" w:hAnsi="Arial"/>
          <w:sz w:val="18"/>
          <w:szCs w:val="18"/>
          <w:color w:val="auto"/>
        </w:rPr>
        <w:t>This Article applies whether the document is sent by or on behalf of the Secretary or Officer in his own right or as a representative of the Company.</w:t>
      </w:r>
    </w:p>
    <w:p>
      <w:pPr>
        <w:spacing w:after="0" w:line="170" w:lineRule="exact"/>
        <w:rPr>
          <w:sz w:val="20"/>
          <w:szCs w:val="20"/>
          <w:color w:val="auto"/>
        </w:rPr>
      </w:pPr>
    </w:p>
    <w:p>
      <w:pPr>
        <w:jc w:val="both"/>
        <w:ind w:left="640" w:right="100" w:hanging="633"/>
        <w:spacing w:after="0" w:line="263" w:lineRule="auto"/>
        <w:tabs>
          <w:tab w:leader="none" w:pos="620" w:val="left"/>
        </w:tabs>
        <w:rPr>
          <w:sz w:val="20"/>
          <w:szCs w:val="20"/>
          <w:color w:val="auto"/>
        </w:rPr>
      </w:pPr>
      <w:r>
        <w:rPr>
          <w:rFonts w:ascii="Arial" w:cs="Arial" w:eastAsia="Arial" w:hAnsi="Arial"/>
          <w:sz w:val="18"/>
          <w:szCs w:val="18"/>
          <w:color w:val="auto"/>
        </w:rPr>
        <w:t>29.5</w:t>
      </w:r>
      <w:r>
        <w:rPr>
          <w:sz w:val="20"/>
          <w:szCs w:val="20"/>
          <w:color w:val="auto"/>
        </w:rPr>
        <w:tab/>
      </w:r>
      <w:r>
        <w:rPr>
          <w:rFonts w:ascii="Arial" w:cs="Arial" w:eastAsia="Arial" w:hAnsi="Arial"/>
          <w:sz w:val="18"/>
          <w:szCs w:val="18"/>
          <w:color w:val="auto"/>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Manner of signing</w:t>
      </w:r>
    </w:p>
    <w:p>
      <w:pPr>
        <w:spacing w:after="0" w:line="229"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29.6</w:t>
      </w:r>
      <w:r>
        <w:rPr>
          <w:sz w:val="20"/>
          <w:szCs w:val="20"/>
          <w:color w:val="auto"/>
        </w:rPr>
        <w:tab/>
      </w:r>
      <w:r>
        <w:rPr>
          <w:rFonts w:ascii="Arial" w:cs="Arial" w:eastAsia="Arial" w:hAnsi="Arial"/>
          <w:sz w:val="18"/>
          <w:szCs w:val="18"/>
          <w:color w:val="auto"/>
        </w:rPr>
        <w:t>For the purposes of these Articles about the authentication of Electronic Records, a document will be taken to be signed if it is signed manually or in any other manner permitted by these Articles.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 provision</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29.7</w:t>
      </w:r>
      <w:r>
        <w:rPr>
          <w:sz w:val="20"/>
          <w:szCs w:val="20"/>
          <w:color w:val="auto"/>
        </w:rPr>
        <w:tab/>
      </w:r>
      <w:r>
        <w:rPr>
          <w:rFonts w:ascii="Arial" w:cs="Arial" w:eastAsia="Arial" w:hAnsi="Arial"/>
          <w:sz w:val="16"/>
          <w:szCs w:val="16"/>
          <w:color w:val="auto"/>
        </w:rPr>
        <w:t>A notice, written resolution or other document under these Articles will not be deemed to be authentic if the recipient, acting reasonably:</w:t>
      </w:r>
    </w:p>
    <w:p>
      <w:pPr>
        <w:spacing w:after="0" w:line="225" w:lineRule="exact"/>
        <w:rPr>
          <w:sz w:val="20"/>
          <w:szCs w:val="20"/>
          <w:color w:val="auto"/>
        </w:rPr>
      </w:pPr>
    </w:p>
    <w:p>
      <w:pPr>
        <w:ind w:left="1280" w:hanging="638"/>
        <w:spacing w:after="0"/>
        <w:tabs>
          <w:tab w:leader="none" w:pos="12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believes that the signature of the signatory has been altered after the signatory had signed the original document; or</w:t>
      </w:r>
    </w:p>
    <w:p>
      <w:pPr>
        <w:spacing w:after="0" w:line="225" w:lineRule="exact"/>
        <w:rPr>
          <w:rFonts w:ascii="Arial" w:cs="Arial" w:eastAsia="Arial" w:hAnsi="Arial"/>
          <w:sz w:val="18"/>
          <w:szCs w:val="18"/>
          <w:color w:val="auto"/>
        </w:rPr>
      </w:pPr>
    </w:p>
    <w:p>
      <w:pPr>
        <w:ind w:left="1280" w:right="120" w:hanging="638"/>
        <w:spacing w:after="0" w:line="277" w:lineRule="auto"/>
        <w:tabs>
          <w:tab w:leader="none" w:pos="12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believes that the original document, or the Electronic Record of it, was altered, without the approval of the signatory, after the signatory signed the original document; or</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otherwise doubts the authenticity of the Electronic Record of the document</w:t>
      </w:r>
    </w:p>
    <w:p>
      <w:pPr>
        <w:spacing w:after="0" w:line="225"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color w:val="auto"/>
        </w:rPr>
        <w:t>and the recipient promptly gives notice to the sender setting the grounds of its objection. If the recipient invokes this Article, the sender may seek to establish the authenticity of the Electronic Record in any way the sender thinks fit.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Transfer by way of continuation</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color w:val="auto"/>
        </w:rPr>
        <w:t>The Company may, by Special Resolution, resolve to be registered by way of continuation in a jurisdiction outside:</w:t>
      </w:r>
    </w:p>
    <w:p>
      <w:pPr>
        <w:spacing w:after="0" w:line="225" w:lineRule="exact"/>
        <w:rPr>
          <w:sz w:val="20"/>
          <w:szCs w:val="20"/>
          <w:color w:val="auto"/>
        </w:rPr>
      </w:pPr>
    </w:p>
    <w:p>
      <w:pPr>
        <w:ind w:left="1280" w:hanging="638"/>
        <w:spacing w:after="0"/>
        <w:tabs>
          <w:tab w:leader="none" w:pos="12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Islands;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such other jurisdiction in which it is, for the time being, incorporated, registered or existing.</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6"/>
          <w:szCs w:val="16"/>
          <w:color w:val="auto"/>
        </w:rPr>
        <w:t>To give effect to any resolution made pursuant to the preceding Article, the directors may cause the following:</w:t>
      </w:r>
    </w:p>
    <w:p>
      <w:pPr>
        <w:spacing w:after="0" w:line="225" w:lineRule="exact"/>
        <w:rPr>
          <w:sz w:val="20"/>
          <w:szCs w:val="20"/>
          <w:color w:val="auto"/>
        </w:rPr>
      </w:pPr>
    </w:p>
    <w:p>
      <w:pPr>
        <w:ind w:left="1280" w:right="160" w:hanging="638"/>
        <w:spacing w:after="0" w:line="277" w:lineRule="auto"/>
        <w:tabs>
          <w:tab w:leader="none" w:pos="1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 application be made to the Registrar of Companies to deregister the Company in the Islands or in the other jurisdiction in which it is for the time being incorporated, registered or existing;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such further steps as they consider appropriate to be taken to effect the transfer by way of continuation of the Company.</w:t>
      </w:r>
    </w:p>
    <w:p>
      <w:pPr>
        <w:spacing w:after="0" w:line="221" w:lineRule="exact"/>
        <w:rPr>
          <w:sz w:val="20"/>
          <w:szCs w:val="20"/>
          <w:color w:val="auto"/>
        </w:rPr>
      </w:pPr>
    </w:p>
    <w:p>
      <w:pPr>
        <w:ind w:right="8840" w:firstLine="8"/>
        <w:spacing w:after="0" w:line="603" w:lineRule="auto"/>
        <w:tabs>
          <w:tab w:leader="none" w:pos="634" w:val="left"/>
        </w:tabs>
        <w:numPr>
          <w:ilvl w:val="0"/>
          <w:numId w:val="193"/>
        </w:numPr>
        <w:rPr>
          <w:rFonts w:ascii="Arial" w:cs="Arial" w:eastAsia="Arial" w:hAnsi="Arial"/>
          <w:sz w:val="15"/>
          <w:szCs w:val="15"/>
          <w:b w:val="1"/>
          <w:bCs w:val="1"/>
          <w:color w:val="auto"/>
        </w:rPr>
      </w:pPr>
      <w:r>
        <w:rPr>
          <w:rFonts w:ascii="Arial" w:cs="Arial" w:eastAsia="Arial" w:hAnsi="Arial"/>
          <w:sz w:val="15"/>
          <w:szCs w:val="15"/>
          <w:b w:val="1"/>
          <w:bCs w:val="1"/>
          <w:color w:val="auto"/>
        </w:rPr>
        <w:t>Winding Up Distribution of assets in specie</w:t>
      </w:r>
    </w:p>
    <w:p>
      <w:pPr>
        <w:spacing w:after="0" w:line="1" w:lineRule="exact"/>
        <w:rPr>
          <w:sz w:val="20"/>
          <w:szCs w:val="20"/>
          <w:color w:val="auto"/>
        </w:rPr>
      </w:pPr>
    </w:p>
    <w:p>
      <w:pPr>
        <w:ind w:left="640" w:right="200" w:hanging="633"/>
        <w:spacing w:after="0" w:line="277" w:lineRule="auto"/>
        <w:tabs>
          <w:tab w:leader="none" w:pos="6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If the Company is wound up, the Members may, subject to these Articles and any other sanction required by the Law, pass a Special Resolution allowing the liquidator to do either or both of the following:</w:t>
      </w:r>
    </w:p>
    <w:p>
      <w:pPr>
        <w:spacing w:after="0" w:line="170" w:lineRule="exact"/>
        <w:rPr>
          <w:sz w:val="20"/>
          <w:szCs w:val="20"/>
          <w:color w:val="auto"/>
        </w:rPr>
      </w:pPr>
    </w:p>
    <w:p>
      <w:pPr>
        <w:ind w:left="1280" w:right="60" w:hanging="638"/>
        <w:spacing w:after="0" w:line="308" w:lineRule="auto"/>
        <w:tabs>
          <w:tab w:leader="none" w:pos="12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to divide in specie among the Members the whole or any part of the assets of the Company and, for that purpose, to value any assets and to determine how the division shall be carried out as between the Members or different classes of Members;</w:t>
      </w: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58" w:right="419" w:bottom="1440" w:gutter="0" w:footer="0" w:header="0"/>
        </w:sectPr>
      </w:pPr>
    </w:p>
    <w:bookmarkStart w:id="189" w:name="page190"/>
    <w:bookmarkEnd w:id="189"/>
    <w:p>
      <w:pPr>
        <w:ind w:left="1280" w:hanging="638"/>
        <w:spacing w:after="0"/>
        <w:tabs>
          <w:tab w:leader="none" w:pos="12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to vest the whole or any part of the assets in trustees for the benefit of Members and those liable to contribute to the winding up.</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obligation to accept liability</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No Member shall be compelled to accept any assets if an obligation attaches to them.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directors are authorised to present a winding up petition</w:t>
      </w:r>
    </w:p>
    <w:p>
      <w:pPr>
        <w:spacing w:after="0" w:line="229"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The directors have the authority to present a petition for the winding up of the Company to the Grand Court of the Cayman Islands on behalf of the Company without the sanction of a resolution passed at a general meeting.</w:t>
      </w:r>
    </w:p>
    <w:p>
      <w:pPr>
        <w:spacing w:after="0" w:line="166" w:lineRule="exact"/>
        <w:rPr>
          <w:sz w:val="20"/>
          <w:szCs w:val="20"/>
          <w:color w:val="auto"/>
        </w:rPr>
      </w:pPr>
    </w:p>
    <w:p>
      <w:pPr>
        <w:ind w:right="7320" w:firstLine="8"/>
        <w:spacing w:after="0" w:line="566" w:lineRule="auto"/>
        <w:tabs>
          <w:tab w:leader="none" w:pos="634"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of Memorandum and Articles Power to change name or amend Memorandum</w:t>
      </w:r>
    </w:p>
    <w:p>
      <w:pPr>
        <w:spacing w:after="0"/>
        <w:tabs>
          <w:tab w:leader="none" w:pos="6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Subject to the Law, the Company may, by Special Resolution:</w:t>
      </w:r>
    </w:p>
    <w:p>
      <w:pPr>
        <w:spacing w:after="0" w:line="225" w:lineRule="exact"/>
        <w:rPr>
          <w:sz w:val="20"/>
          <w:szCs w:val="20"/>
          <w:color w:val="auto"/>
        </w:rPr>
      </w:pPr>
    </w:p>
    <w:p>
      <w:pPr>
        <w:ind w:left="1280" w:hanging="638"/>
        <w:spacing w:after="0"/>
        <w:tabs>
          <w:tab w:leader="none" w:pos="12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change its name;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change the provisions of its Memorandum with respect to its objects, powers or any other matter specified in the Memorandum.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amend these Articles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Subject to the Law and as provided in these Articles, the Company may, by Special Resolution, amend these Articles in whole or in part.</w:t>
      </w:r>
    </w:p>
    <w:p>
      <w:pPr>
        <w:spacing w:after="0" w:line="221" w:lineRule="exact"/>
        <w:rPr>
          <w:sz w:val="20"/>
          <w:szCs w:val="20"/>
          <w:color w:val="auto"/>
        </w:rPr>
      </w:pPr>
    </w:p>
    <w:p>
      <w:pPr>
        <w:ind w:left="640" w:hanging="632"/>
        <w:spacing w:after="0"/>
        <w:tabs>
          <w:tab w:leader="none" w:pos="64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Forum</w:t>
      </w:r>
    </w:p>
    <w:p>
      <w:pPr>
        <w:spacing w:after="0" w:line="229" w:lineRule="exact"/>
        <w:rPr>
          <w:rFonts w:ascii="Arial" w:cs="Arial" w:eastAsia="Arial" w:hAnsi="Arial"/>
          <w:sz w:val="18"/>
          <w:szCs w:val="18"/>
          <w:b w:val="1"/>
          <w:bCs w:val="1"/>
          <w:color w:val="auto"/>
        </w:rPr>
      </w:pPr>
    </w:p>
    <w:p>
      <w:pPr>
        <w:ind w:left="64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courts located in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Law, the Memorandum or these Articles, and (iv) any action asserting a claim against the Company in respect of shareholders’ rights as shareholders or distributions of dividends.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22"/>
          <w:szCs w:val="22"/>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spacing w:after="0" w:line="20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Purpose.</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purpose of the CLPS Incorporation 2017 Equity Incentive Plan (the “Plan”) is to attract and retain outstanding individuals as Key Employees and Directors of the Company and its Subsidiaries, to recognize the contributions made to the Company and its Subsidiaries by Key Employees and Directors, and to provide such Key Employees and Directors with additional incentive to expand and improve the profits and achieve the objectives of the Company and its Subsidiaries, by providing such Key Employees and Directors with the opportunity to acquire or increase their proprietary interest in the Company through receipt of Awards.</w:t>
      </w:r>
    </w:p>
    <w:p>
      <w:pPr>
        <w:spacing w:after="0" w:line="18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Award</w:t>
      </w:r>
      <w:r>
        <w:rPr>
          <w:rFonts w:ascii="Arial" w:cs="Arial" w:eastAsia="Arial" w:hAnsi="Arial"/>
          <w:sz w:val="18"/>
          <w:szCs w:val="18"/>
          <w:color w:val="auto"/>
        </w:rPr>
        <w:t>” means any award or benefit granted under the Plan, which shall be a Stock Option, a Stock Award, a Stock Bonus, a Stock Appreciation Right, or a Stock Unit Award.</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as applicable, a Stock Option Agreement, a Stock Award Agreement, a Stock Bonus Agreement, a Stock Appreciation Right Agreement, or Stock Unit Award Agreement evidencing an Award granted under the Plan.</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has the meaning set forth in Section 10 of the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from time to time.</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such other committee as may be designated by the Board from time to time to administer the Plan, or, if no such committee has been designated at the time of any grants, it shall mean the Board.</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means ordinary shares of the Company.</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CLPS Incorporation, a Cayman Islands corporation.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 director of the Company who is not an employee of the Company or a Subsidiary.</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from time to time.</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of the Shares on the national securities exchange on which the Shares are listed, or, if the Shares are not listed on a national securities exchange, the over-the-counter market on which the Shares trade, or, if the Shares are not listed on a national securities exchange or an over-the-counter market, as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1" w:name="page192"/>
    <w:bookmarkEnd w:id="191"/>
    <w:p>
      <w:pPr>
        <w:ind w:right="460" w:firstLine="648"/>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or “</w:t>
      </w:r>
      <w:r>
        <w:rPr>
          <w:rFonts w:ascii="Arial" w:cs="Arial" w:eastAsia="Arial" w:hAnsi="Arial"/>
          <w:sz w:val="18"/>
          <w:szCs w:val="18"/>
          <w:u w:val="single" w:color="auto"/>
          <w:color w:val="auto"/>
        </w:rPr>
        <w:t>ISO</w:t>
      </w:r>
      <w:r>
        <w:rPr>
          <w:rFonts w:ascii="Arial" w:cs="Arial" w:eastAsia="Arial" w:hAnsi="Arial"/>
          <w:sz w:val="18"/>
          <w:szCs w:val="18"/>
          <w:color w:val="auto"/>
        </w:rPr>
        <w:t>” means a Stock Option granted under Section 5 of the Plan that meets the requirements of Section 422(b) of the Code or any successor provision.</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Key Employee</w:t>
      </w:r>
      <w:r>
        <w:rPr>
          <w:rFonts w:ascii="Arial" w:cs="Arial" w:eastAsia="Arial" w:hAnsi="Arial"/>
          <w:sz w:val="18"/>
          <w:szCs w:val="18"/>
          <w:color w:val="auto"/>
        </w:rPr>
        <w:t>” means an employee of the Company or any Subsidiary selected to participate in the Plan in accordance with Section 3. A Key Employee may also include a person who is granted an Award (other than an Incentive Stock Option) in connection with the hiring of the person prior to the date the person becomes an employee of the Company or any Subsidiary, provided that such Award shall not vest prior to the commencement of employment.</w:t>
      </w:r>
    </w:p>
    <w:p>
      <w:pPr>
        <w:spacing w:after="0" w:line="18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or “</w:t>
      </w:r>
      <w:r>
        <w:rPr>
          <w:rFonts w:ascii="Arial" w:cs="Arial" w:eastAsia="Arial" w:hAnsi="Arial"/>
          <w:sz w:val="16"/>
          <w:szCs w:val="16"/>
          <w:u w:val="single" w:color="auto"/>
          <w:color w:val="auto"/>
        </w:rPr>
        <w:t>NSO</w:t>
      </w:r>
      <w:r>
        <w:rPr>
          <w:rFonts w:ascii="Arial" w:cs="Arial" w:eastAsia="Arial" w:hAnsi="Arial"/>
          <w:sz w:val="16"/>
          <w:szCs w:val="16"/>
          <w:color w:val="auto"/>
        </w:rPr>
        <w:t>” means a Stock Option granted under Section 5 of the Plan that is not an Incentive Stock Option.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 Key Employee or Director selected to receive an Award under the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CLPS Incorporation 2017 Equity Incentive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Award</w:t>
      </w:r>
      <w:r>
        <w:rPr>
          <w:rFonts w:ascii="Arial" w:cs="Arial" w:eastAsia="Arial" w:hAnsi="Arial"/>
          <w:sz w:val="16"/>
          <w:szCs w:val="16"/>
          <w:color w:val="auto"/>
        </w:rPr>
        <w:t>” means a grant of the Shares under Section 6 of the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Option</w:t>
      </w:r>
      <w:r>
        <w:rPr>
          <w:rFonts w:ascii="Arial" w:cs="Arial" w:eastAsia="Arial" w:hAnsi="Arial"/>
          <w:sz w:val="16"/>
          <w:szCs w:val="16"/>
          <w:color w:val="auto"/>
        </w:rPr>
        <w:t>” means an Incentive Stock Option or a Non-Qualified Stock Option granted under Section 5 of the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Bonus</w:t>
      </w:r>
      <w:r>
        <w:rPr>
          <w:rFonts w:ascii="Arial" w:cs="Arial" w:eastAsia="Arial" w:hAnsi="Arial"/>
          <w:sz w:val="16"/>
          <w:szCs w:val="16"/>
          <w:color w:val="auto"/>
        </w:rPr>
        <w:t>” means a Stock Bonus grant under Section 7 of the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means a Stock Appreciation Right grant under Section 8 of the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Unit Award</w:t>
      </w:r>
      <w:r>
        <w:rPr>
          <w:rFonts w:ascii="Arial" w:cs="Arial" w:eastAsia="Arial" w:hAnsi="Arial"/>
          <w:sz w:val="16"/>
          <w:szCs w:val="16"/>
          <w:color w:val="auto"/>
        </w:rPr>
        <w:t>” means a grant of a right to receive Shares or cash under Section 9 of the Plan.</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Subsidiary</w:t>
      </w:r>
      <w:r>
        <w:rPr>
          <w:rFonts w:ascii="Arial" w:cs="Arial" w:eastAsia="Arial" w:hAnsi="Arial"/>
          <w:sz w:val="18"/>
          <w:szCs w:val="18"/>
          <w:color w:val="auto"/>
        </w:rPr>
        <w:t>” means an entity of which the Company is the direct or indirect beneficial owner of not less than 50% of all issued and outstanding equity interest of such entity.</w:t>
      </w:r>
    </w:p>
    <w:p>
      <w:pPr>
        <w:spacing w:after="0" w:line="16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Administration.</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The Board</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Plan shall be administered by the Board; provided, however, that the Committee shall administer the Plan so long as the Committee is comprised of at least two members of the Board who satisfy the “non-employee director” definition set forth in Rule 16b-3 under the Exchange Act and the “outside director” definition under Section 162(m) of the Code and the regulations thereunder, unless the Board otherwise determines. For purposes of the Plan, the term “Board” shall refer to the Board or, to the extent the Committee is administering the Plan, and other than for purposes of Section 12.1, the Committee.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92" w:name="page193"/>
    <w:bookmarkEnd w:id="192"/>
    <w:p>
      <w:pPr>
        <w:ind w:left="660"/>
        <w:spacing w:after="0"/>
        <w:tabs>
          <w:tab w:leader="none" w:pos="11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Authority of the Board</w:t>
      </w:r>
      <w:r>
        <w:rPr>
          <w:rFonts w:ascii="Arial" w:cs="Arial" w:eastAsia="Arial" w:hAnsi="Arial"/>
          <w:sz w:val="16"/>
          <w:szCs w:val="16"/>
          <w:color w:val="auto"/>
        </w:rPr>
        <w:t>.</w:t>
      </w:r>
    </w:p>
    <w:p>
      <w:pPr>
        <w:spacing w:after="0" w:line="225" w:lineRule="exact"/>
        <w:rPr>
          <w:sz w:val="20"/>
          <w:szCs w:val="20"/>
          <w:color w:val="auto"/>
        </w:rPr>
      </w:pPr>
    </w:p>
    <w:p>
      <w:pPr>
        <w:ind w:left="660" w:right="40" w:firstLine="514"/>
        <w:spacing w:after="0" w:line="279" w:lineRule="auto"/>
        <w:tabs>
          <w:tab w:leader="none" w:pos="169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Board, in its sole discretion, shall determine the Key Employees and Directors to whom, and the time or times at which Awards will be granted, the form and amount of each Award, the expiration date of each Award, the time or times within which the Awards may be exercised, the cancellation of the Awards and the other limitations, restrictions, terms and conditions applicable to the grant of the Awards. The terms and conditions of the Awards need not be the same with respect to each Participant or with respect to each Award.</w:t>
      </w:r>
    </w:p>
    <w:p>
      <w:pPr>
        <w:spacing w:after="0" w:line="171" w:lineRule="exact"/>
        <w:rPr>
          <w:rFonts w:ascii="Arial" w:cs="Arial" w:eastAsia="Arial" w:hAnsi="Arial"/>
          <w:sz w:val="17"/>
          <w:szCs w:val="17"/>
          <w:color w:val="auto"/>
        </w:rPr>
      </w:pPr>
    </w:p>
    <w:p>
      <w:pPr>
        <w:ind w:left="660" w:right="40" w:firstLine="514"/>
        <w:spacing w:after="0" w:line="279" w:lineRule="auto"/>
        <w:tabs>
          <w:tab w:leader="none" w:pos="17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To the extent permitted by applicable law, regulation, and rules of a stock exchange on which the Shares are listed or traded, the Board may delegate its authority to grant Awards to Key Employees and to determine the terms and conditions thereof to such officer of the Company as it may determine in its discretion, on such terms and conditions as it may impose, except with respect to Awards to officers subject to Section 16 of the Exchange Act or officers who are or may be “covered employees” as defined in Section 162(m) of the Code.</w:t>
      </w:r>
    </w:p>
    <w:p>
      <w:pPr>
        <w:spacing w:after="0" w:line="171" w:lineRule="exact"/>
        <w:rPr>
          <w:rFonts w:ascii="Arial" w:cs="Arial" w:eastAsia="Arial" w:hAnsi="Arial"/>
          <w:sz w:val="17"/>
          <w:szCs w:val="17"/>
          <w:color w:val="auto"/>
        </w:rPr>
      </w:pPr>
    </w:p>
    <w:p>
      <w:pPr>
        <w:jc w:val="both"/>
        <w:ind w:left="660" w:right="100" w:firstLine="514"/>
        <w:spacing w:after="0" w:line="301" w:lineRule="auto"/>
        <w:tabs>
          <w:tab w:leader="none" w:pos="169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Board may, subject to the provisions of the Plan, establish such rules and regulations as it deems necessary or advisable for the proper administration of the Plan, and may make determinations and may take such other action in connection with or in relation to the Plan as it deems necessary or advisable. Each determination or other action made or taken pursuant to the Plan, including interpretation of the Plan and the specific terms and conditions of the Awards granted hereunder, shall be final and conclusive for all purposes and upon all persons.</w:t>
      </w:r>
    </w:p>
    <w:p>
      <w:pPr>
        <w:spacing w:after="0" w:line="157" w:lineRule="exact"/>
        <w:rPr>
          <w:rFonts w:ascii="Arial" w:cs="Arial" w:eastAsia="Arial" w:hAnsi="Arial"/>
          <w:sz w:val="16"/>
          <w:szCs w:val="16"/>
          <w:color w:val="auto"/>
        </w:rPr>
      </w:pPr>
    </w:p>
    <w:p>
      <w:pPr>
        <w:jc w:val="both"/>
        <w:ind w:left="660" w:right="400" w:firstLine="514"/>
        <w:spacing w:after="0" w:line="286" w:lineRule="auto"/>
        <w:tabs>
          <w:tab w:leader="none" w:pos="170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No member of the Board or the Committee shall be liable for any action taken or determination made hereunder in good faith. Service on the Committee shall constitute service as a Director so that the members of the Committee shall be entitled to indemnification and reimbursement as Directors of the Company pursuant to the Company’s Certificate of Incorporation and By-Laws.</w:t>
      </w:r>
    </w:p>
    <w:p>
      <w:pPr>
        <w:spacing w:after="0" w:line="16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u w:val="single" w:color="auto"/>
          <w:color w:val="auto"/>
        </w:rPr>
        <w:t>Performance Goals.</w:t>
      </w:r>
    </w:p>
    <w:p>
      <w:pPr>
        <w:spacing w:after="0" w:line="225" w:lineRule="exact"/>
        <w:rPr>
          <w:sz w:val="20"/>
          <w:szCs w:val="20"/>
          <w:color w:val="auto"/>
        </w:rPr>
      </w:pPr>
    </w:p>
    <w:p>
      <w:pPr>
        <w:ind w:firstLine="1166"/>
        <w:spacing w:after="0" w:line="267" w:lineRule="auto"/>
        <w:rPr>
          <w:sz w:val="20"/>
          <w:szCs w:val="20"/>
          <w:color w:val="auto"/>
        </w:rPr>
      </w:pPr>
      <w:r>
        <w:rPr>
          <w:rFonts w:ascii="Arial" w:cs="Arial" w:eastAsia="Arial" w:hAnsi="Arial"/>
          <w:sz w:val="17"/>
          <w:szCs w:val="17"/>
          <w:color w:val="auto"/>
        </w:rPr>
        <w:t>The Board may, in its discretion, provide that any Award granted under the Plan shall be subject to performance goals, including those that qualify the Award as “performance-based compensation” within the meaning of Section 162(m) of the Code. Performance goals may be based on one or more business criteria, including, but not limited to: (i) net earnings or net income (before or after taxes); (ii) earnings per share; (iii) net sales or revenue growth; (iv) net operating profit or income (including as a percentage of sales); (v) return measures (including, but not limited to, return on assets, capital, invested capital, equity, sales, or revenue); (vi) cash flow (including, but not limited to, operating cash flow, free cash flow, cash flow return on equity, and cash flow return on investment); (vii) earnings before or after taxes, interest, depreciation, and/or amortization; (viii) gross or operating margins; (ix) productivity ratios; (x) share price (including, but not limited to, growth measures and total shareholder return); (xi) cost control; (xii) margins; (xiii) operating efficiency; (xiv) market share; (xv) customer satisfaction or employee satisfaction; (xvi) working capital; (xvii) economic value added (net operating profit after tax minus the sum of capital multiplied by the cost of capital); (xviii) taxes; (xix) depreciation and amortization; (xx) total shareholder return; (xxi) low cost region labor as a percent of total labor; and (xxii) top customer concentration as a percent of sales. Performance goals may be absolute in their terms or measured against or in relationship to the performance of other companies or indices selected by the Board. In addition, performance goals may be adjusted for any events or occurrences (including acquisition expenses, extraordinary charges, losses from discontinued operations, restatements and accounting charges and restructuring expenses), as may be determined by the Board. Performance goals may be particular to one or more lines of business or Subsidiaries or may be based on the performance of the Company and its Subsidiaries as a whole. With respect to each performance period, the Board shall establish such performance goals relating to one or more of the business criteria identified above and shall establish targets for Participants for achievement of performance goals. Following the completion of each performance period, the Board shall determine the extent to which performance goals for that performance period have been achieved and the related performance-based restrictions shall lapse in accordance with the terms of the applicable Award Agreement.</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3" w:name="page194"/>
    <w:bookmarkEnd w:id="193"/>
    <w:p>
      <w:pPr>
        <w:ind w:left="660"/>
        <w:spacing w:after="0"/>
        <w:tabs>
          <w:tab w:leader="none" w:pos="11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Award Agreements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Each Award shall be evidenced by a written Award Agreement specifying the terms and conditions of the Award. In the sole discretion of the Board, the Award Agreement may condition the grant of an Award upon the Participant’s entering into one or more of the following agreements with the Company: (a) an agreement not to compete with the Company and its Subsidiaries which shall become effective as of the date of the grant of the Award and remain in effect for a specified period of time following termination of the Participant’s employment with the Company; (b) an agreement to cancel any employment agreement, fringe benefit or compensation arrangement in effect between the Company and the Participant; and (c) an agreement to retain the confidentiality of certain information. Such agreements may contain such other terms and conditions as the Board shall determine. If the Participant shall fail to enter into any such agreement at the request of the Board, then the Award granted or to be granted to such Participant shall be forfeited and cancelled.</w:t>
      </w:r>
    </w:p>
    <w:p>
      <w:pPr>
        <w:spacing w:after="0" w:line="18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Shares Subject to Plan.</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Total Number of Shares</w:t>
      </w:r>
      <w:r>
        <w:rPr>
          <w:rFonts w:ascii="Arial" w:cs="Arial" w:eastAsia="Arial" w:hAnsi="Arial"/>
          <w:sz w:val="16"/>
          <w:szCs w:val="16"/>
          <w:color w:val="auto"/>
        </w:rPr>
        <w:t>.</w:t>
      </w:r>
    </w:p>
    <w:p>
      <w:pPr>
        <w:spacing w:after="0" w:line="225" w:lineRule="exact"/>
        <w:rPr>
          <w:sz w:val="20"/>
          <w:szCs w:val="20"/>
          <w:color w:val="auto"/>
        </w:rPr>
      </w:pPr>
    </w:p>
    <w:p>
      <w:pPr>
        <w:ind w:left="660" w:right="40" w:firstLine="514"/>
        <w:spacing w:after="0" w:line="308" w:lineRule="auto"/>
        <w:tabs>
          <w:tab w:leader="none" w:pos="169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total number of Shares that may be issued under the Plan shall be 2,210,000. Such shares may be either authorized but unissued shares or treasury shares, and shall be adjusted in accordance with the provisions of Section 4.3 of the Plan.</w:t>
      </w:r>
    </w:p>
    <w:p>
      <w:pPr>
        <w:spacing w:after="0" w:line="146" w:lineRule="exact"/>
        <w:rPr>
          <w:rFonts w:ascii="Arial" w:cs="Arial" w:eastAsia="Arial" w:hAnsi="Arial"/>
          <w:sz w:val="17"/>
          <w:szCs w:val="17"/>
          <w:color w:val="auto"/>
        </w:rPr>
      </w:pPr>
    </w:p>
    <w:p>
      <w:pPr>
        <w:ind w:left="660" w:right="20" w:firstLine="514"/>
        <w:spacing w:after="0" w:line="254" w:lineRule="auto"/>
        <w:tabs>
          <w:tab w:leader="none" w:pos="17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number of Shares delivered by a Participant or withheld by the Company on behalf of any such Participant as full or partial payment of an Award, including the exercise price of a Stock Option or of any required withholding taxes, shall not again be available for issuance pursuant to subsequent Awards, and shall count towards the aggregate number of Shares that may be issued under the Plan. If there is a lapse, forfeiture, expiration, termination or cancellation of any Award for any reason, or if Shares are issued under such Award and thereafter are reacquired by the Company pursuant to rights reserved by the Company upon issuance thereof, the Shares subject to such Award or reacquired by the Company shall again be available for issuance pursuant to subsequent Awards, and shall not count towards the aggregate number of Shares that may be issued under the Plan.</w:t>
      </w:r>
    </w:p>
    <w:p>
      <w:pPr>
        <w:spacing w:after="0" w:line="19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Shares under Awards</w:t>
      </w:r>
      <w:r>
        <w:rPr>
          <w:rFonts w:ascii="Arial" w:cs="Arial" w:eastAsia="Arial" w:hAnsi="Arial"/>
          <w:sz w:val="15"/>
          <w:szCs w:val="15"/>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the Shares authorized for issuance under the Plan pursuant to Section 4.1:</w:t>
      </w:r>
    </w:p>
    <w:p>
      <w:pPr>
        <w:spacing w:after="0" w:line="225" w:lineRule="exact"/>
        <w:rPr>
          <w:sz w:val="20"/>
          <w:szCs w:val="20"/>
          <w:color w:val="auto"/>
        </w:rPr>
      </w:pPr>
    </w:p>
    <w:p>
      <w:pPr>
        <w:ind w:left="660" w:right="80" w:firstLine="514"/>
        <w:spacing w:after="0" w:line="259" w:lineRule="auto"/>
        <w:tabs>
          <w:tab w:leader="none" w:pos="169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aggregate maximum number of Shares as to which a Key Employee may receive Stock Options and Stock Appreciation Rights in any calendar year is 100,000, except that the aggregate maximum number of Shares as to which a Key Employee may receive Stock Options and Stock Appreciation Rights in the calendar year in which such Key Employee begins employment with the Company or its Subsidiaries is 250,000.</w:t>
      </w:r>
    </w:p>
    <w:p>
      <w:pPr>
        <w:spacing w:after="0" w:line="186" w:lineRule="exact"/>
        <w:rPr>
          <w:rFonts w:ascii="Arial" w:cs="Arial" w:eastAsia="Arial" w:hAnsi="Arial"/>
          <w:sz w:val="18"/>
          <w:szCs w:val="18"/>
          <w:color w:val="auto"/>
        </w:rPr>
      </w:pPr>
    </w:p>
    <w:p>
      <w:pPr>
        <w:ind w:left="1700" w:hanging="526"/>
        <w:spacing w:after="0"/>
        <w:tabs>
          <w:tab w:leader="none" w:pos="17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maximum number of Shares that may be subject to Stock Options (ISOs and/or NSOs) is full amount under the plan.</w:t>
      </w:r>
    </w:p>
    <w:p>
      <w:pPr>
        <w:spacing w:after="0" w:line="236" w:lineRule="exact"/>
        <w:rPr>
          <w:rFonts w:ascii="Arial" w:cs="Arial" w:eastAsia="Arial" w:hAnsi="Arial"/>
          <w:sz w:val="17"/>
          <w:szCs w:val="17"/>
          <w:color w:val="auto"/>
        </w:rPr>
      </w:pPr>
    </w:p>
    <w:p>
      <w:pPr>
        <w:ind w:left="660" w:right="60" w:firstLine="514"/>
        <w:spacing w:after="0" w:line="259" w:lineRule="auto"/>
        <w:tabs>
          <w:tab w:leader="none" w:pos="169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aggregate maximum number of Shares that may be used for Stock Awards, Stock Bonus Awards and/or Stock Unit Awards that are intended to qualify as “performance-based” in accordance with Section 162(m) of the Code that may be granted to any Key Employee in any calendar year is 250,000, or, in the event the Award is settled in cash, an amount equal to the Fair Market Value of such number of shares on the date on which the Award is settled.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ind w:left="660" w:right="400" w:firstLine="514"/>
        <w:spacing w:after="0" w:line="277" w:lineRule="auto"/>
        <w:tabs>
          <w:tab w:leader="none" w:pos="17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maximum number of Shares that may be used for Stock Awards, Stock Bonus Awards, Stock Appreciation Rights Awards and/or Stock Unit Awards is full amount under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numbers of Shares described herein shall be as adjusted in accordance with Section 4.3 of the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Adjustment</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event of any reorganization, recapitalization, stock split, stock distribution, merger, consolidation, split-up, spin-off, combination, subdivision, consolidation or exchange of shares, any change in the capital structure of the Company or any similar corporate transaction, the Board shall make such adjustments as it deems appropriate, in its sole discretion, to preserve the benefits or intended benefits of the Plan and Awards granted under the Plan. Such adjustments may include: (a) adjustment in the number and kind of shares reserved for issuance under the Plan; (b) adjustment in the number and kind of shares covered by outstanding Awards; (c) adjustment in the exercise price of outstanding Awards under the Plan; (d) adjustments to any of the shares limitations set forth in Section 4.1 or 4.2 of the Plan; and (e) any other changes that the Board determines to be equitable under the circumstances.</w:t>
      </w:r>
    </w:p>
    <w:p>
      <w:pPr>
        <w:spacing w:after="0" w:line="16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Grants of Stock Options.</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Grant</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Subject to the terms of the Plan, the Board may from time to time grant Stock Options to Participants. Unless otherwise expressly provided at the time of the grant, Stock Options granted under the Plan to Key Employees will be NSOs. Stock Options granted under the Plan to Directors who are not employees of the Company or any Subsidiary will be NSOs.</w:t>
      </w:r>
    </w:p>
    <w:p>
      <w:pPr>
        <w:spacing w:after="0" w:line="18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Stock Option Agreement</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grant of each Stock Option shall be evidenced by a written Stock Option Agreement specifying the type of Stock Option granted, the exercise period, the exercise price, the terms for payment of the exercise price, the expiration date of the Stock Option, the number of Shares to be subject to each Stock Option and such other terms and conditions established by the Board, in its sole discretion, not inconsistent with the Plan; provided, however, that no Stock Option shall be credited with any amounts equal to dividends and other distributions that a Participant would have received had he held the Shares subject to an unexercised Stock Option.</w:t>
      </w:r>
    </w:p>
    <w:p>
      <w:pPr>
        <w:spacing w:after="0" w:line="18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Exercise Price and Exercise Period</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each Stock Option granted to a Participant:</w:t>
      </w:r>
    </w:p>
    <w:p>
      <w:pPr>
        <w:spacing w:after="0" w:line="225" w:lineRule="exact"/>
        <w:rPr>
          <w:sz w:val="20"/>
          <w:szCs w:val="20"/>
          <w:color w:val="auto"/>
        </w:rPr>
      </w:pPr>
    </w:p>
    <w:p>
      <w:pPr>
        <w:ind w:left="1680" w:hanging="506"/>
        <w:spacing w:after="0"/>
        <w:tabs>
          <w:tab w:leader="none" w:pos="16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exercise price, if any, shall be determined by the Board, consistent with the provisions of Section 3 hereof.</w:t>
      </w:r>
    </w:p>
    <w:p>
      <w:pPr>
        <w:spacing w:after="0" w:line="225" w:lineRule="exact"/>
        <w:rPr>
          <w:rFonts w:ascii="Arial" w:cs="Arial" w:eastAsia="Arial" w:hAnsi="Arial"/>
          <w:sz w:val="18"/>
          <w:szCs w:val="18"/>
          <w:color w:val="auto"/>
        </w:rPr>
      </w:pPr>
    </w:p>
    <w:p>
      <w:pPr>
        <w:ind w:left="660" w:right="300" w:firstLine="514"/>
        <w:spacing w:after="0" w:line="286" w:lineRule="auto"/>
        <w:tabs>
          <w:tab w:leader="none" w:pos="1703" w:val="left"/>
        </w:tabs>
        <w:numPr>
          <w:ilvl w:val="0"/>
          <w:numId w:val="203"/>
        </w:numPr>
        <w:rPr>
          <w:rFonts w:ascii="Arial" w:cs="Arial" w:eastAsia="Arial" w:hAnsi="Arial"/>
          <w:sz w:val="17"/>
          <w:szCs w:val="17"/>
          <w:color w:val="auto"/>
        </w:rPr>
      </w:pPr>
      <w:r>
        <w:rPr>
          <w:rFonts w:ascii="Arial" w:cs="Arial" w:eastAsia="Arial" w:hAnsi="Arial"/>
          <w:sz w:val="17"/>
          <w:szCs w:val="17"/>
          <w:color w:val="auto"/>
        </w:rPr>
        <w:t>Each Stock Option shall become exercisable as provided in the Stock Option Agreement; provided that the Board shall have the discretion to accelerate the date as of which any Stock Option shall become exercisable in the event of the Participant’s termination of employment with the Company, or service on the Board, without cause (as determined by the Board in its sole discretion).</w:t>
      </w:r>
    </w:p>
    <w:p>
      <w:pPr>
        <w:spacing w:after="0" w:line="165" w:lineRule="exact"/>
        <w:rPr>
          <w:rFonts w:ascii="Arial" w:cs="Arial" w:eastAsia="Arial" w:hAnsi="Arial"/>
          <w:sz w:val="17"/>
          <w:szCs w:val="17"/>
          <w:color w:val="auto"/>
        </w:rPr>
      </w:pPr>
    </w:p>
    <w:p>
      <w:pPr>
        <w:ind w:left="1680" w:hanging="506"/>
        <w:spacing w:after="0"/>
        <w:tabs>
          <w:tab w:leader="none" w:pos="16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Each Stock Option shall expire, and all rights to purchase Shares thereunder shall expire, on the date ten years after the date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grant.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95" w:name="page196"/>
    <w:bookmarkEnd w:id="195"/>
    <w:p>
      <w:pPr>
        <w:ind w:left="4"/>
        <w:spacing w:after="0"/>
        <w:tabs>
          <w:tab w:leader="none" w:pos="52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Required Terms and Conditions of ISOs</w:t>
      </w:r>
      <w:r>
        <w:rPr>
          <w:rFonts w:ascii="Arial" w:cs="Arial" w:eastAsia="Arial" w:hAnsi="Arial"/>
          <w:sz w:val="16"/>
          <w:szCs w:val="16"/>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addition to the foregoing, each ISO granted to a Key Employee shall be subject to the following specific rules:</w:t>
      </w:r>
    </w:p>
    <w:p>
      <w:pPr>
        <w:spacing w:after="0" w:line="225" w:lineRule="exact"/>
        <w:rPr>
          <w:sz w:val="20"/>
          <w:szCs w:val="20"/>
          <w:color w:val="auto"/>
        </w:rPr>
      </w:pPr>
    </w:p>
    <w:p>
      <w:pPr>
        <w:ind w:left="4" w:firstLine="514"/>
        <w:spacing w:after="0" w:line="255" w:lineRule="auto"/>
        <w:tabs>
          <w:tab w:leader="none" w:pos="1034"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aggregate Fair Market Value (determined with respect to each ISO at the time such Option is granted) of the Shares with respect to which ISOs are exercisable for the first time by a Key Employee during any calendar year (under all incentive stock option plans of the Company and its Subsidiaries) shall not exceed $100,000. If the aggregate Fair Market Value (determined at the time of grant) of the Shares subject to an ISO which first becomes exercisable in any calendar year exceeds the limitation of this Section 5.4(a), so much of the ISO that does not exceed the applicable dollar limit shall be an ISO and the remainder shall be a NSO; but in all other respects, the original Stock Option Agreement shall remain in full force and effect.</w:t>
      </w:r>
    </w:p>
    <w:p>
      <w:pPr>
        <w:spacing w:after="0" w:line="192" w:lineRule="exact"/>
        <w:rPr>
          <w:rFonts w:ascii="Arial" w:cs="Arial" w:eastAsia="Arial" w:hAnsi="Arial"/>
          <w:sz w:val="18"/>
          <w:szCs w:val="18"/>
          <w:color w:val="auto"/>
        </w:rPr>
      </w:pPr>
    </w:p>
    <w:p>
      <w:pPr>
        <w:ind w:left="4" w:right="80" w:firstLine="514"/>
        <w:spacing w:after="0" w:line="291" w:lineRule="auto"/>
        <w:tabs>
          <w:tab w:leader="none" w:pos="1047" w:val="left"/>
        </w:tabs>
        <w:numPr>
          <w:ilvl w:val="1"/>
          <w:numId w:val="204"/>
        </w:numPr>
        <w:rPr>
          <w:rFonts w:ascii="Arial" w:cs="Arial" w:eastAsia="Arial" w:hAnsi="Arial"/>
          <w:sz w:val="16"/>
          <w:szCs w:val="16"/>
          <w:color w:val="auto"/>
        </w:rPr>
      </w:pPr>
      <w:r>
        <w:rPr>
          <w:rFonts w:ascii="Arial" w:cs="Arial" w:eastAsia="Arial" w:hAnsi="Arial"/>
          <w:sz w:val="16"/>
          <w:szCs w:val="16"/>
          <w:color w:val="auto"/>
        </w:rPr>
        <w:t>Notwithstanding anything herein to the contrary, if an ISO is granted to a Key Employee who owns stock possessing more than 10% of the total combined voting power of all classes of stock of the Company (or its parent or subsidiaries within the meaning of Section 422(b)</w:t>
      </w:r>
    </w:p>
    <w:p>
      <w:pPr>
        <w:ind w:left="4" w:right="20" w:hanging="4"/>
        <w:spacing w:after="0" w:line="255" w:lineRule="auto"/>
        <w:tabs>
          <w:tab w:leader="none" w:pos="25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of the Code): (i) the purchase price of each Share subject to the ISO shall be not less than 110% of the Fair Market Value of the Shares on the date the ISO is granted; and (ii) the ISO shall expire, and all rights to purchase Shares thereunder shall expire, no later than the fifth anniversary of the date the ISO was granted.</w:t>
      </w:r>
    </w:p>
    <w:p>
      <w:pPr>
        <w:spacing w:after="0" w:line="189" w:lineRule="exact"/>
        <w:rPr>
          <w:rFonts w:ascii="Arial" w:cs="Arial" w:eastAsia="Arial" w:hAnsi="Arial"/>
          <w:sz w:val="18"/>
          <w:szCs w:val="18"/>
          <w:color w:val="auto"/>
        </w:rPr>
      </w:pPr>
    </w:p>
    <w:p>
      <w:pPr>
        <w:ind w:left="4" w:right="100" w:firstLine="514"/>
        <w:spacing w:after="0" w:line="277" w:lineRule="auto"/>
        <w:tabs>
          <w:tab w:leader="none" w:pos="103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No ISOs shall be granted under the Plan after ten years from the earlier of the date the Plan is adopted or approved by shareholders of the Company.</w:t>
      </w:r>
    </w:p>
    <w:p>
      <w:pPr>
        <w:spacing w:after="0" w:line="1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Exercise of Stock Options</w:t>
      </w:r>
      <w:r>
        <w:rPr>
          <w:rFonts w:ascii="Arial" w:cs="Arial" w:eastAsia="Arial" w:hAnsi="Arial"/>
          <w:sz w:val="16"/>
          <w:szCs w:val="16"/>
          <w:color w:val="auto"/>
        </w:rPr>
        <w:t>.</w:t>
      </w:r>
    </w:p>
    <w:p>
      <w:pPr>
        <w:spacing w:after="0" w:line="225" w:lineRule="exact"/>
        <w:rPr>
          <w:sz w:val="20"/>
          <w:szCs w:val="20"/>
          <w:color w:val="auto"/>
        </w:rPr>
      </w:pPr>
    </w:p>
    <w:p>
      <w:pPr>
        <w:jc w:val="both"/>
        <w:ind w:left="4" w:right="440" w:firstLine="514"/>
        <w:spacing w:after="0" w:line="263" w:lineRule="auto"/>
        <w:tabs>
          <w:tab w:leader="none" w:pos="102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Participant entitled to exercise a Stock Option may do so by delivering written notice to that effect specifying the number of Shares with respect to which the Stock Option is being exercised and any other information the Board may prescribe. All notices or requests provided for herein shall be delivered to the Chief Financial Officer of the Company.</w:t>
      </w:r>
    </w:p>
    <w:p>
      <w:pPr>
        <w:spacing w:after="0" w:line="183" w:lineRule="exact"/>
        <w:rPr>
          <w:rFonts w:ascii="Arial" w:cs="Arial" w:eastAsia="Arial" w:hAnsi="Arial"/>
          <w:sz w:val="18"/>
          <w:szCs w:val="18"/>
          <w:color w:val="auto"/>
        </w:rPr>
      </w:pPr>
    </w:p>
    <w:p>
      <w:pPr>
        <w:ind w:left="4" w:right="160" w:firstLine="514"/>
        <w:spacing w:after="0" w:line="277" w:lineRule="auto"/>
        <w:tabs>
          <w:tab w:leader="none" w:pos="104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Board in its sole discretion may make available one or more of the following alternatives for the payment of the Stock Option exercise price:</w:t>
      </w:r>
    </w:p>
    <w:p>
      <w:pPr>
        <w:spacing w:after="0" w:line="170" w:lineRule="exact"/>
        <w:rPr>
          <w:rFonts w:ascii="Arial" w:cs="Arial" w:eastAsia="Arial" w:hAnsi="Arial"/>
          <w:sz w:val="18"/>
          <w:szCs w:val="18"/>
          <w:color w:val="auto"/>
        </w:rPr>
      </w:pPr>
    </w:p>
    <w:p>
      <w:pPr>
        <w:ind w:left="1784" w:hanging="488"/>
        <w:spacing w:after="0"/>
        <w:tabs>
          <w:tab w:leader="none" w:pos="178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in cash;</w:t>
      </w:r>
    </w:p>
    <w:p>
      <w:pPr>
        <w:spacing w:after="0" w:line="225" w:lineRule="exact"/>
        <w:rPr>
          <w:rFonts w:ascii="Arial" w:cs="Arial" w:eastAsia="Arial" w:hAnsi="Arial"/>
          <w:sz w:val="18"/>
          <w:szCs w:val="18"/>
          <w:color w:val="auto"/>
        </w:rPr>
      </w:pPr>
    </w:p>
    <w:p>
      <w:pPr>
        <w:ind w:left="644" w:right="100" w:firstLine="652"/>
        <w:spacing w:after="0" w:line="263" w:lineRule="auto"/>
        <w:tabs>
          <w:tab w:leader="none" w:pos="178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in cash received from a broker-dealer to whom the Participant has submitted an exercise notice together with irrevocable instructions to deliver promptly to the Company the amount of sales proceeds from the sale of the shares subject to the Stock Option to pay the exercise price;</w:t>
      </w:r>
    </w:p>
    <w:p>
      <w:pPr>
        <w:spacing w:after="0" w:line="183" w:lineRule="exact"/>
        <w:rPr>
          <w:rFonts w:ascii="Arial" w:cs="Arial" w:eastAsia="Arial" w:hAnsi="Arial"/>
          <w:sz w:val="18"/>
          <w:szCs w:val="18"/>
          <w:color w:val="auto"/>
        </w:rPr>
      </w:pPr>
    </w:p>
    <w:p>
      <w:pPr>
        <w:ind w:left="644" w:right="220" w:firstLine="652"/>
        <w:spacing w:after="0" w:line="277" w:lineRule="auto"/>
        <w:tabs>
          <w:tab w:leader="none" w:pos="178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by directing the Company to withhold such number of Shares otherwise issuable in connection with the exercise of the Stock Option having an aggregate Fair Market Value equal to the exercise price;</w:t>
      </w:r>
    </w:p>
    <w:p>
      <w:pPr>
        <w:spacing w:after="0" w:line="170" w:lineRule="exact"/>
        <w:rPr>
          <w:rFonts w:ascii="Arial" w:cs="Arial" w:eastAsia="Arial" w:hAnsi="Arial"/>
          <w:sz w:val="18"/>
          <w:szCs w:val="18"/>
          <w:color w:val="auto"/>
        </w:rPr>
      </w:pPr>
    </w:p>
    <w:p>
      <w:pPr>
        <w:ind w:left="644" w:right="200" w:firstLine="652"/>
        <w:spacing w:after="0" w:line="277" w:lineRule="auto"/>
        <w:tabs>
          <w:tab w:leader="none" w:pos="177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by delivering previously acquired Shares that are acceptable to the Board and that have an aggregate Fair Market Value on the date of exercise equal to the Stock Option exercise price; or</w:t>
      </w:r>
    </w:p>
    <w:p>
      <w:pPr>
        <w:spacing w:after="0" w:line="38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196" w:name="page197"/>
    <w:bookmarkEnd w:id="196"/>
    <w:p>
      <w:pPr>
        <w:ind w:left="2440" w:hanging="488"/>
        <w:spacing w:after="0"/>
        <w:tabs>
          <w:tab w:leader="none" w:pos="24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by certifying to ownership by attestation of such previously acquired Shares.</w:t>
      </w:r>
    </w:p>
    <w:p>
      <w:pPr>
        <w:spacing w:after="0" w:line="225" w:lineRule="exact"/>
        <w:rPr>
          <w:sz w:val="20"/>
          <w:szCs w:val="20"/>
          <w:color w:val="auto"/>
        </w:rPr>
      </w:pPr>
    </w:p>
    <w:p>
      <w:pPr>
        <w:ind w:left="580" w:right="360" w:firstLine="1296"/>
        <w:spacing w:after="0" w:line="277" w:lineRule="auto"/>
        <w:rPr>
          <w:sz w:val="20"/>
          <w:szCs w:val="20"/>
          <w:color w:val="auto"/>
        </w:rPr>
      </w:pPr>
      <w:r>
        <w:rPr>
          <w:rFonts w:ascii="Arial" w:cs="Arial" w:eastAsia="Arial" w:hAnsi="Arial"/>
          <w:sz w:val="18"/>
          <w:szCs w:val="18"/>
          <w:color w:val="auto"/>
        </w:rPr>
        <w:t>The Board shall have the sole discretion to establish the terms and conditions applicable to any alternative made available for payment of the Stock Option exercise price.</w:t>
      </w:r>
    </w:p>
    <w:p>
      <w:pPr>
        <w:spacing w:after="0" w:line="170" w:lineRule="exact"/>
        <w:rPr>
          <w:sz w:val="20"/>
          <w:szCs w:val="20"/>
          <w:color w:val="auto"/>
        </w:rPr>
      </w:pPr>
    </w:p>
    <w:p>
      <w:pPr>
        <w:ind w:left="660" w:firstLine="514"/>
        <w:spacing w:after="0" w:line="272" w:lineRule="auto"/>
        <w:tabs>
          <w:tab w:leader="none" w:pos="169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Company shall issue, in the name of the Participant, stock certificates representing the total number of Shares issuable pursuant to the exercise of any Stock Option as soon as reasonably practicable after such exercise; provided that any Shares purchased by a Participant through a broker-dealer pursuant to Section 5.5(b)(ii) shall be delivered to such broker-dealer in accordance with 12 C.F.R. §220.3(e)(4) or other applicable provision of law. Notwithstanding the foregoing, the Company, in lieu of issuing stock certificates, may reflect the issuance of Shares to a Participant on a non–certificated basis, with the ownership of such shares by the Participant evidenced solely by book entry in the records of the Company’s transfer agent; provided however, that the Company, upon written request of the Participant, shall issue, in the name of the Participant, stock certificates representing such shares.</w:t>
      </w:r>
    </w:p>
    <w:p>
      <w:pPr>
        <w:spacing w:after="0" w:line="17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Stock Awards.</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Grant</w:t>
      </w:r>
      <w:r>
        <w:rPr>
          <w:rFonts w:ascii="Arial" w:cs="Arial" w:eastAsia="Arial" w:hAnsi="Arial"/>
          <w:sz w:val="16"/>
          <w:szCs w:val="16"/>
          <w:color w:val="auto"/>
        </w:rPr>
        <w: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may, in its discretion, (a) grant Shares under the Plan to any Participant without consideration from such Participant or (b) sell Shares under the Plan to any Participant for such amount of cash, Shares or other consideration as the Board deems appropriate.</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Stock Award Agreement</w:t>
      </w:r>
      <w:r>
        <w:rPr>
          <w:rFonts w:ascii="Arial" w:cs="Arial" w:eastAsia="Arial" w:hAnsi="Arial"/>
          <w:sz w:val="16"/>
          <w:szCs w:val="16"/>
          <w:color w:val="auto"/>
        </w:rPr>
        <w:t>.</w:t>
      </w:r>
    </w:p>
    <w:p>
      <w:pPr>
        <w:spacing w:after="0" w:line="22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Each Share granted or sold hereunder shall be subject to such restrictions, conditions and other terms as the Board may determine at the time of grant or sale, the general provisions of the Plan, the restrictions, terms and conditions of the related Stock Award Agreement, and the following specific rules:</w:t>
      </w:r>
    </w:p>
    <w:p>
      <w:pPr>
        <w:spacing w:after="0" w:line="184" w:lineRule="exact"/>
        <w:rPr>
          <w:sz w:val="20"/>
          <w:szCs w:val="20"/>
          <w:color w:val="auto"/>
        </w:rPr>
      </w:pPr>
    </w:p>
    <w:p>
      <w:pPr>
        <w:ind w:left="660" w:right="340" w:firstLine="514"/>
        <w:spacing w:after="0" w:line="263" w:lineRule="auto"/>
        <w:tabs>
          <w:tab w:leader="none" w:pos="169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Shares issued to a Participant under the Plan shall be evidenced by a Stock Award Agreement, which shall specify whether the Shares are granted or sold to the Participant and such other provisions, not inconsistent with the terms and conditions of the Plan, as the Board shall determine.</w:t>
      </w:r>
    </w:p>
    <w:p>
      <w:pPr>
        <w:spacing w:after="0" w:line="183" w:lineRule="exact"/>
        <w:rPr>
          <w:rFonts w:ascii="Arial" w:cs="Arial" w:eastAsia="Arial" w:hAnsi="Arial"/>
          <w:sz w:val="18"/>
          <w:szCs w:val="18"/>
          <w:color w:val="auto"/>
        </w:rPr>
      </w:pPr>
    </w:p>
    <w:p>
      <w:pPr>
        <w:ind w:left="660" w:right="20" w:firstLine="514"/>
        <w:spacing w:after="0" w:line="259" w:lineRule="auto"/>
        <w:tabs>
          <w:tab w:leader="none" w:pos="17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restrictions to which the Shares awarded hereunder are subject shall lapse as provided in Stock Award Agreement; provided that the Board shall have the discretion to accelerate the date as of which the restrictions lapse with respect to any Award held by a Participant in the event of the Participant’s termination of employment with the Company, or service on the Board, without cause (as determined by the Board in its sole discretion).</w:t>
      </w:r>
    </w:p>
    <w:p>
      <w:pPr>
        <w:spacing w:after="0" w:line="186" w:lineRule="exact"/>
        <w:rPr>
          <w:rFonts w:ascii="Arial" w:cs="Arial" w:eastAsia="Arial" w:hAnsi="Arial"/>
          <w:sz w:val="18"/>
          <w:szCs w:val="18"/>
          <w:color w:val="auto"/>
        </w:rPr>
      </w:pPr>
    </w:p>
    <w:p>
      <w:pPr>
        <w:ind w:left="660" w:right="120" w:firstLine="514"/>
        <w:spacing w:after="0" w:line="290" w:lineRule="auto"/>
        <w:tabs>
          <w:tab w:leader="none" w:pos="1693" w:val="left"/>
        </w:tabs>
        <w:numPr>
          <w:ilvl w:val="0"/>
          <w:numId w:val="209"/>
        </w:numPr>
        <w:rPr>
          <w:rFonts w:ascii="Arial" w:cs="Arial" w:eastAsia="Arial" w:hAnsi="Arial"/>
          <w:sz w:val="16"/>
          <w:szCs w:val="16"/>
          <w:color w:val="auto"/>
        </w:rPr>
      </w:pPr>
      <w:r>
        <w:rPr>
          <w:rFonts w:ascii="Arial" w:cs="Arial" w:eastAsia="Arial" w:hAnsi="Arial"/>
          <w:sz w:val="16"/>
          <w:szCs w:val="16"/>
          <w:color w:val="auto"/>
        </w:rPr>
        <w:t>Except as provided in this subsection (c) and unless otherwise set forth in the related Stock Award Agreement, the Participant receiving a grant of or purchasing Shares shall thereupon be a shareholder with respect to such shares and shall have the rights of a shareholder with respect to such shares, including the right to vote such shares and to receive dividends and other distributions paid with respect to such shares; provided that (i) in the case of a performance-based Stock Award as described in Section 3.3, any dividends or other distributions payable with respect to the Stock Award shall be accumulated and held by the Company and paid to the Participant only upon, and to the extent, the performance-based restrictions lapse in accordance with the terms of the applicable Stock Award Agreement and (ii) in the case of all other Stock Awards, the Board shall have the discretion to have the Company accumulate and hold such dividends or distributions. In either case, any such dividends or other distributions held by the Company attributable to the portion of a Stock Award that is forfeited shall also be forfeited.</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ind w:left="660" w:firstLine="514"/>
        <w:spacing w:after="0" w:line="272" w:lineRule="auto"/>
        <w:tabs>
          <w:tab w:leader="none" w:pos="17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Company shall issue, in the name of the Participant, stock certificates representing the total number of Shares granted or sold to the Participant, as soon as may be reasonably practicable after such grant or sale, which shall be held by the Secretary of the Company until such time as the Shares are forfeited, resold to the Company, or the restrictions lapse. Notwithstanding the foregoing, the Company, in lieu of issuing stock certificates, may reflect the issuance of Shares to a Participant on a non–certificated basis, with the ownership of such shares by the Participant evidenced solely by book entry in the records of the Company’s transfer agent; provided, however that following the lapse of all restrictions with respect to the shares granted or sold to a Participant, the Company, upon the written request of the Participant, shall issue, in the name of the Participant, stock certificates representing such shares.</w:t>
      </w:r>
    </w:p>
    <w:p>
      <w:pPr>
        <w:spacing w:after="0" w:line="177" w:lineRule="exact"/>
        <w:rPr>
          <w:rFonts w:ascii="Arial" w:cs="Arial" w:eastAsia="Arial" w:hAnsi="Arial"/>
          <w:sz w:val="17"/>
          <w:szCs w:val="17"/>
          <w:color w:val="auto"/>
        </w:rPr>
      </w:pPr>
    </w:p>
    <w:p>
      <w:pPr>
        <w:ind w:left="660" w:right="40" w:firstLine="514"/>
        <w:spacing w:after="0" w:line="342" w:lineRule="auto"/>
        <w:tabs>
          <w:tab w:leader="none" w:pos="1693" w:val="left"/>
        </w:tabs>
        <w:numPr>
          <w:ilvl w:val="0"/>
          <w:numId w:val="210"/>
        </w:numPr>
        <w:rPr>
          <w:rFonts w:ascii="Arial" w:cs="Arial" w:eastAsia="Arial" w:hAnsi="Arial"/>
          <w:sz w:val="16"/>
          <w:szCs w:val="16"/>
          <w:color w:val="auto"/>
        </w:rPr>
      </w:pPr>
      <w:r>
        <w:rPr>
          <w:rFonts w:ascii="Arial" w:cs="Arial" w:eastAsia="Arial" w:hAnsi="Arial"/>
          <w:sz w:val="16"/>
          <w:szCs w:val="16"/>
          <w:color w:val="auto"/>
        </w:rPr>
        <w:t>Shares granted to the Participant pursuant to this Section shall be effective and exercisable as of the Company’s completion of an initial public offering of its securities (the “IPO”) and other terms, restrictions and qualifications that may be set forth in the individual agreement.</w:t>
      </w:r>
    </w:p>
    <w:p>
      <w:pPr>
        <w:spacing w:after="0" w:line="12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Stock Bonus Awards.</w:t>
      </w:r>
    </w:p>
    <w:p>
      <w:pPr>
        <w:spacing w:after="0" w:line="229"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A Stock Bonus Award is an award to an eligible Key Employee or Director of Shares for services to be rendered or for past services already rendered to the Company or any Subsidiary. All Stock Bonus Awards shall be made pursuant to an Award Agreement. No payment from the Participant will be required for Shares awarded pursuant to a Stock Bonus Award.</w:t>
      </w:r>
    </w:p>
    <w:p>
      <w:pPr>
        <w:spacing w:after="0" w:line="18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Terms of Stock Bonus Awards</w:t>
      </w:r>
      <w:r>
        <w:rPr>
          <w:rFonts w:ascii="Arial" w:cs="Arial" w:eastAsia="Arial" w:hAnsi="Arial"/>
          <w:sz w:val="16"/>
          <w:szCs w:val="16"/>
          <w:color w:val="auto"/>
        </w:rPr>
        <w:t>. The Committee will determine the number of Shares to be awarded to the Participant under a Stock Bonus 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66"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Form of Payment to Participant</w:t>
      </w:r>
      <w:r>
        <w:rPr>
          <w:rFonts w:ascii="Arial" w:cs="Arial" w:eastAsia="Arial" w:hAnsi="Arial"/>
          <w:sz w:val="16"/>
          <w:szCs w:val="16"/>
          <w:color w:val="auto"/>
        </w:rPr>
        <w:t>. Payment may be made in the form of cash, whole Shares, or a combination thereof as determined in the sole discretion of the Committee, based on the Fair Market Value of the Shares earned under a Stock Bonus Award on the date of payment.</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 terminates (unless determined otherwise by the Committee).</w:t>
      </w:r>
    </w:p>
    <w:p>
      <w:pPr>
        <w:spacing w:after="0" w:line="16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Stock Appreciation Right Awards.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 Stock Appreciation Right (“SAR”) is an award to an eligible Key Employee or Director that 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8" w:name="page199"/>
    <w:bookmarkEnd w:id="198"/>
    <w:p>
      <w:pPr>
        <w:ind w:right="40" w:firstLine="648"/>
        <w:spacing w:after="0" w:line="271"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Terms of SARs</w:t>
      </w:r>
      <w:r>
        <w:rPr>
          <w:rFonts w:ascii="Arial" w:cs="Arial" w:eastAsia="Arial" w:hAnsi="Arial"/>
          <w:sz w:val="17"/>
          <w:szCs w:val="17"/>
          <w:color w:val="auto"/>
        </w:rPr>
        <w:t>. The Committee will determine the terms of each SAR including, without limitation: (a) the number of Shares subject to the 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A SAR may be awarded upon satisfaction of performance factors, if any, during any performance period as are set out in advance in the Participant’s individual Award Agreement. If the SAR is being earned upon the satisfaction of performance factors, then the Committee will: (x) determine the nature, length and starting date of any Performance Period for each SAR; and (y)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Exercise Period and Expiration Date</w:t>
      </w:r>
      <w:r>
        <w:rPr>
          <w:rFonts w:ascii="Arial" w:cs="Arial" w:eastAsia="Arial" w:hAnsi="Arial"/>
          <w:sz w:val="18"/>
          <w:szCs w:val="18"/>
          <w:color w:val="auto"/>
        </w:rPr>
        <w:t>. A SAR will be exercisable within the times or upon the occurrence of events determined by the 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w:t>
      </w:r>
    </w:p>
    <w:p>
      <w:pPr>
        <w:spacing w:after="0" w:line="19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Form of Settlement</w:t>
      </w:r>
      <w:r>
        <w:rPr>
          <w:rFonts w:ascii="Arial" w:cs="Arial" w:eastAsia="Arial" w:hAnsi="Arial"/>
          <w:sz w:val="18"/>
          <w:szCs w:val="18"/>
          <w:color w:val="auto"/>
        </w:rPr>
        <w:t>. Upon exercise of a SAR, a Participant will be entitled to receive payment from the Company in an amount determined by 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or dividend equivalent, if any, as the Committee determines, provided that the terms of the SAR and any deferral satisfy the requirements of Section 409A of the Code.</w:t>
      </w:r>
    </w:p>
    <w:p>
      <w:pPr>
        <w:spacing w:after="0" w:line="19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such date Participant’s service terminates (unless determined otherwise by the Committee).</w:t>
      </w:r>
    </w:p>
    <w:p>
      <w:pPr>
        <w:spacing w:after="0" w:line="16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Stock Unit Awards.</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Grant</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Board may, in its discretion, grant Stock Unit Awards to any Participant. Each Stock Unit subject to the Award shall entitle the Participant 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9" w:name="page200"/>
    <w:bookmarkEnd w:id="199"/>
    <w:p>
      <w:pPr>
        <w:ind w:left="660"/>
        <w:spacing w:after="0"/>
        <w:tabs>
          <w:tab w:leader="none" w:pos="11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Stock Unit Agreement</w:t>
      </w:r>
      <w:r>
        <w:rPr>
          <w:rFonts w:ascii="Arial" w:cs="Arial" w:eastAsia="Arial" w:hAnsi="Arial"/>
          <w:sz w:val="16"/>
          <w:szCs w:val="16"/>
          <w:color w:val="auto"/>
        </w:rPr>
        <w:t>.</w:t>
      </w:r>
    </w:p>
    <w:p>
      <w:pPr>
        <w:spacing w:after="0" w:line="225"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Each Stock Unit Award shall be subject to such restrictions, conditions and other terms as the Board may determine at the time of grant, the general provisions of the Plan, the restrictions, terms and conditions of the related Stock Unit Award Agreement and the following specific rules:</w:t>
      </w:r>
    </w:p>
    <w:p>
      <w:pPr>
        <w:spacing w:after="0" w:line="124" w:lineRule="exact"/>
        <w:rPr>
          <w:sz w:val="20"/>
          <w:szCs w:val="20"/>
          <w:color w:val="auto"/>
        </w:rPr>
      </w:pPr>
    </w:p>
    <w:p>
      <w:pPr>
        <w:ind w:left="660" w:firstLine="514"/>
        <w:spacing w:after="0" w:line="277" w:lineRule="auto"/>
        <w:tabs>
          <w:tab w:leader="none" w:pos="169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Shares issued to a Participant under the Plan shall be evidenced by a Stock Unit Agreement, which shall specify such provisions, not inconsistent with the terms and conditions of the Plan, as the Board shall determine.</w:t>
      </w:r>
    </w:p>
    <w:p>
      <w:pPr>
        <w:spacing w:after="0" w:line="170" w:lineRule="exact"/>
        <w:rPr>
          <w:rFonts w:ascii="Arial" w:cs="Arial" w:eastAsia="Arial" w:hAnsi="Arial"/>
          <w:sz w:val="18"/>
          <w:szCs w:val="18"/>
          <w:color w:val="auto"/>
        </w:rPr>
      </w:pPr>
    </w:p>
    <w:p>
      <w:pPr>
        <w:ind w:left="660" w:right="100" w:firstLine="514"/>
        <w:spacing w:after="0" w:line="259" w:lineRule="auto"/>
        <w:tabs>
          <w:tab w:leader="none" w:pos="17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restrictions to which the shares of Stock Units awarded hereunder are subject shall lapse as provided in Stock Unit Agreement; provided that the Board shall have the discretion to accelerate the date as of which the restrictions lapse with respect to any Award held by a Participant in the event of the Participant’s termination of employment with the Company, or service on the Board, without cause (as determined by the Board in its sole discretion).</w:t>
      </w:r>
    </w:p>
    <w:p>
      <w:pPr>
        <w:spacing w:after="0" w:line="186" w:lineRule="exact"/>
        <w:rPr>
          <w:rFonts w:ascii="Arial" w:cs="Arial" w:eastAsia="Arial" w:hAnsi="Arial"/>
          <w:sz w:val="18"/>
          <w:szCs w:val="18"/>
          <w:color w:val="auto"/>
        </w:rPr>
      </w:pPr>
    </w:p>
    <w:p>
      <w:pPr>
        <w:ind w:left="660" w:right="80" w:firstLine="514"/>
        <w:spacing w:after="0" w:line="269" w:lineRule="auto"/>
        <w:tabs>
          <w:tab w:leader="none" w:pos="1693"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Except as provided in this subsection (c) and unless otherwise set forth in the Stock Unit Agreement, the Participant receiving a Stock Unit Award shall have no rights of a shareholder, including voting or dividends or other distributions rights, with respect to any Stock Units prior to the date they are settled in Shares; provided that a Stock Unit Award Agreement may provide that until the Stock Units are settled in shares or cash, the Participant shall receive on each dividend or distribution payment date applicable to the Shares an amount equal to the dividends or other distributions that the Participant would have received had the Stock Units held by the Participant as of the related record date been actual Shares. In the case of a performance-based Stock Unit Award as described in Section 3.3 above, such amounts shall be accumulated and held by the Company and paid to the Participant only upon, and to the extent, the performance-based restrictions lapse in accordance with the terms of the applicable Stock Unit Award Agreement and in the case of all other Stock Unit Awards, the Board shall have the discretion to have the Company accumulate and hold such amounts. In either case, such amounts held by the Company attributable to the portion of the Stock Unit Award that is forfeited shall also be forfeited.</w:t>
      </w:r>
    </w:p>
    <w:p>
      <w:pPr>
        <w:spacing w:after="0" w:line="185" w:lineRule="exact"/>
        <w:rPr>
          <w:rFonts w:ascii="Arial" w:cs="Arial" w:eastAsia="Arial" w:hAnsi="Arial"/>
          <w:sz w:val="17"/>
          <w:szCs w:val="17"/>
          <w:color w:val="auto"/>
        </w:rPr>
      </w:pPr>
    </w:p>
    <w:p>
      <w:pPr>
        <w:ind w:left="660" w:firstLine="514"/>
        <w:spacing w:after="0" w:line="275" w:lineRule="auto"/>
        <w:tabs>
          <w:tab w:leader="none" w:pos="1703" w:val="left"/>
        </w:tabs>
        <w:numPr>
          <w:ilvl w:val="0"/>
          <w:numId w:val="211"/>
        </w:numPr>
        <w:rPr>
          <w:rFonts w:ascii="Arial" w:cs="Arial" w:eastAsia="Arial" w:hAnsi="Arial"/>
          <w:sz w:val="17"/>
          <w:szCs w:val="17"/>
          <w:color w:val="auto"/>
        </w:rPr>
      </w:pPr>
      <w:r>
        <w:rPr>
          <w:rFonts w:ascii="Arial" w:cs="Arial" w:eastAsia="Arial" w:hAnsi="Arial"/>
          <w:sz w:val="17"/>
          <w:szCs w:val="17"/>
          <w:color w:val="auto"/>
        </w:rPr>
        <w:t>Upon settlement of Stock Units into Shares, the Company shall issue, in the name of the Participant, stock certificates representing a number of Shares equal to the number of Stock Units being settled. Notwithstanding the foregoing, the Company, in lieu of issuing stock certificates, may reflect the issuance of Shares to a Participant on a non-certificated basis, with the ownership of such shares by the Participant evidenced solely by book entry in the records of the Company’s transfer agent; provided, however that the Company, upon the written request of the Participant, shall issue in the name of the Participant, stock certificates representing such shares.</w:t>
      </w:r>
    </w:p>
    <w:p>
      <w:pPr>
        <w:spacing w:after="0" w:line="17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Change in Control.</w:t>
      </w:r>
    </w:p>
    <w:p>
      <w:pPr>
        <w:spacing w:after="0" w:line="22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Effect of a Change in Control</w:t>
      </w:r>
      <w:r>
        <w:rPr>
          <w:rFonts w:ascii="Arial" w:cs="Arial" w:eastAsia="Arial" w:hAnsi="Arial"/>
          <w:sz w:val="16"/>
          <w:szCs w:val="16"/>
          <w:color w:val="auto"/>
        </w:rPr>
        <w:t>.</w:t>
      </w:r>
    </w:p>
    <w:p>
      <w:pPr>
        <w:spacing w:after="0" w:line="225" w:lineRule="exact"/>
        <w:rPr>
          <w:sz w:val="20"/>
          <w:szCs w:val="20"/>
          <w:color w:val="auto"/>
        </w:rPr>
      </w:pPr>
    </w:p>
    <w:p>
      <w:pPr>
        <w:ind w:left="660" w:right="40" w:firstLine="514"/>
        <w:spacing w:after="0" w:line="279" w:lineRule="auto"/>
        <w:tabs>
          <w:tab w:leader="none" w:pos="1693" w:val="left"/>
        </w:tabs>
        <w:numPr>
          <w:ilvl w:val="0"/>
          <w:numId w:val="212"/>
        </w:numPr>
        <w:rPr>
          <w:rFonts w:ascii="Arial" w:cs="Arial" w:eastAsia="Arial" w:hAnsi="Arial"/>
          <w:sz w:val="17"/>
          <w:szCs w:val="17"/>
          <w:color w:val="auto"/>
        </w:rPr>
      </w:pPr>
      <w:r>
        <w:rPr>
          <w:rFonts w:ascii="Arial" w:cs="Arial" w:eastAsia="Arial" w:hAnsi="Arial"/>
          <w:sz w:val="17"/>
          <w:szCs w:val="17"/>
          <w:color w:val="auto"/>
        </w:rPr>
        <w:t>Notwithstanding any of the provisions of the Plan or any outstanding Award Agreement, upon a Change in Control of the Company, the Board is authorized and has sole discretion to provide that (i) all outstanding Awards shall become fully exercisable, (ii) all restrictions applicable to all Awards shall terminate or lapse and (iii) performance goals applicable to any Awards shall be deemed satisfied at the highest target level, as applicable, in order that Participants may fully realize the benefits thereunder.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ind w:left="660" w:firstLine="514"/>
        <w:spacing w:after="0" w:line="293" w:lineRule="auto"/>
        <w:tabs>
          <w:tab w:leader="none" w:pos="1703"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 addition to the Board’s authority set forth in Section 3, upon such Change in Control of the Company, the Board is authorized and has sole discretion as to any Award, either at the time such Award is granted hereunder or any time thereafter, to take any one or more of the following actions: (i) provide for the purchase of any outstanding Stock Option, for an amount of cash equal to the difference between the exercise price and the then Fair Market Value of the Shares covered thereby had such Stock Option been currently exercisable; (ii) make such adjustment to any such Award then outstanding as the Board deems appropriate to reflect such Change in Control; and (iii) cause any such Award then outstanding to be assumed by the acquiring or surviving corporation after such Change in Control.</w:t>
      </w:r>
    </w:p>
    <w:p>
      <w:pPr>
        <w:spacing w:after="0" w:line="16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Definition of Change in Control</w:t>
      </w:r>
      <w:r>
        <w:rPr>
          <w:rFonts w:ascii="Arial" w:cs="Arial" w:eastAsia="Arial" w:hAnsi="Arial"/>
          <w:sz w:val="16"/>
          <w:szCs w:val="16"/>
          <w:color w:val="auto"/>
        </w:rPr>
        <w: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“Change in Control” of the Company shall be deemed to have occurred if at any time during the term of an Award granted under the Plan any of the following events occurs:</w:t>
      </w:r>
    </w:p>
    <w:p>
      <w:pPr>
        <w:spacing w:after="0" w:line="170" w:lineRule="exact"/>
        <w:rPr>
          <w:sz w:val="20"/>
          <w:szCs w:val="20"/>
          <w:color w:val="auto"/>
        </w:rPr>
      </w:pPr>
    </w:p>
    <w:p>
      <w:pPr>
        <w:ind w:left="660" w:right="60" w:firstLine="514"/>
        <w:spacing w:after="0" w:line="275" w:lineRule="auto"/>
        <w:tabs>
          <w:tab w:leader="none" w:pos="169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any Person (other than the Company, a trustee or other fiduciary holding securities under an employee benefit plan of the Company, or a corporation owned directly or indirectly by the shareholders of the Company in substantially the same proportions as their ownership of Shares of the Company) is or becomes the Beneficial Owner, directly or indirectly, of securities of the Company representing 30% or more of the combined voting power of the Company’s then outstanding securities entitled to vote generally in the election of directors (“Person” and “Beneficial Owner” being defined in Rule 13d-3 of the General Rules and Regulations of the Exchange Act);</w:t>
      </w:r>
    </w:p>
    <w:p>
      <w:pPr>
        <w:spacing w:after="0" w:line="176" w:lineRule="exact"/>
        <w:rPr>
          <w:rFonts w:ascii="Arial" w:cs="Arial" w:eastAsia="Arial" w:hAnsi="Arial"/>
          <w:sz w:val="17"/>
          <w:szCs w:val="17"/>
          <w:color w:val="auto"/>
        </w:rPr>
      </w:pPr>
    </w:p>
    <w:p>
      <w:pPr>
        <w:ind w:left="660" w:firstLine="514"/>
        <w:spacing w:after="0" w:line="254" w:lineRule="auto"/>
        <w:tabs>
          <w:tab w:leader="none" w:pos="170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Company is party to a merger, consolidation, reorganization or other similar transaction with another corporation or other Person unless, following such transaction, more than 50% of the combined voting power of the outstanding securities of the surviving, resulting or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transaction, in substantially the same proportions as their ownership, immediately prior to such transaction, of the Company’s outstanding securities entitled to vote generally in the election of directors;</w:t>
      </w:r>
    </w:p>
    <w:p>
      <w:pPr>
        <w:spacing w:after="0" w:line="194" w:lineRule="exact"/>
        <w:rPr>
          <w:rFonts w:ascii="Arial" w:cs="Arial" w:eastAsia="Arial" w:hAnsi="Arial"/>
          <w:sz w:val="18"/>
          <w:szCs w:val="18"/>
          <w:color w:val="auto"/>
        </w:rPr>
      </w:pPr>
    </w:p>
    <w:p>
      <w:pPr>
        <w:ind w:left="660" w:right="80" w:firstLine="514"/>
        <w:spacing w:after="0" w:line="301" w:lineRule="auto"/>
        <w:tabs>
          <w:tab w:leader="none" w:pos="1693"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election to the Board, without the recommendation or approval of two-thirds of the incumbent Board, of the lesser of: (i) three Directors; or (ii) Directors constituting a majority of the number of Directors of the Company then in office; provided, however, that Directors whose initial assumption of office is in connection with an actual or threatened election contest, including but not limited to a consent solicitation, relating to the election of Directors of the Company will not be considered as incumbent members of the Board for purposes of this Section; or</w:t>
      </w:r>
    </w:p>
    <w:p>
      <w:pPr>
        <w:spacing w:after="0" w:line="157" w:lineRule="exact"/>
        <w:rPr>
          <w:rFonts w:ascii="Arial" w:cs="Arial" w:eastAsia="Arial" w:hAnsi="Arial"/>
          <w:sz w:val="16"/>
          <w:szCs w:val="16"/>
          <w:color w:val="auto"/>
        </w:rPr>
      </w:pPr>
    </w:p>
    <w:p>
      <w:pPr>
        <w:ind w:left="660" w:firstLine="514"/>
        <w:spacing w:after="0" w:line="254" w:lineRule="auto"/>
        <w:tabs>
          <w:tab w:leader="none" w:pos="170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there is a complete liquidation or dissolution of the Company, or the Company sells all or substantially all of its business and/or assets to another corporation or other Person unless, following such sale, more than 50% of the combined voting power of the outstanding securities of the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sale, in substantially the same proportions as their ownership, immediately prior to such sale, of the Company’s outstanding securities entitled to vote generally in the election of directors.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ind w:right="100" w:firstLine="648"/>
        <w:spacing w:after="0" w:line="287" w:lineRule="auto"/>
        <w:rPr>
          <w:sz w:val="20"/>
          <w:szCs w:val="20"/>
          <w:color w:val="auto"/>
        </w:rPr>
      </w:pPr>
      <w:r>
        <w:rPr>
          <w:rFonts w:ascii="Arial" w:cs="Arial" w:eastAsia="Arial" w:hAnsi="Arial"/>
          <w:sz w:val="16"/>
          <w:szCs w:val="16"/>
          <w:color w:val="auto"/>
        </w:rPr>
        <w:t>In no event, however, shall a Change in Control be deemed to have occurred, with respect to a Participant, if that Participant is part of a purchasing group which consummates the Change in Control transaction. A Participant shall be deemed “part of a purchasing group” for purposes of the preceding sentence if the Participant is an equity participant or has agreed to become an equity participant in the purchasing company or group (except for</w:t>
      </w:r>
    </w:p>
    <w:p>
      <w:pPr>
        <w:spacing w:after="0" w:line="2" w:lineRule="exact"/>
        <w:rPr>
          <w:sz w:val="20"/>
          <w:szCs w:val="20"/>
          <w:color w:val="auto"/>
        </w:rPr>
      </w:pPr>
    </w:p>
    <w:p>
      <w:pPr>
        <w:ind w:right="400" w:firstLine="8"/>
        <w:spacing w:after="0" w:line="323" w:lineRule="auto"/>
        <w:tabs>
          <w:tab w:leader="none" w:pos="24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passive ownership of less than 3% of the shares of the purchasing company; or (b) ownership of equity participation in the purchasing company or group which is otherwise not deemed to be significant, as determined prior to the Change in Control by a majority of the disinterested Directors).</w:t>
      </w:r>
    </w:p>
    <w:p>
      <w:pPr>
        <w:spacing w:after="0" w:line="13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Payment of Taxes.</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connection with any Award, and as a condition to the issuance or delivery of any Shares to the Participant in connection therewith, the Company may require the Participant to pay the Company an amount equal to the minimum amount of the tax the Company or any Subsidiary may be required to withhold to obtain a deduction for federal, state or local income tax purposes as a result of such Award or to comply with applicable law. The Board in its sole discretion may make available one or more of the following alternatives for the payment of such taxes:</w:t>
      </w:r>
    </w:p>
    <w:p>
      <w:pPr>
        <w:spacing w:after="0" w:line="171" w:lineRule="exact"/>
        <w:rPr>
          <w:sz w:val="20"/>
          <w:szCs w:val="20"/>
          <w:color w:val="auto"/>
        </w:rPr>
      </w:pPr>
    </w:p>
    <w:p>
      <w:pPr>
        <w:ind w:left="1680" w:hanging="506"/>
        <w:spacing w:after="0"/>
        <w:tabs>
          <w:tab w:leader="none" w:pos="16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cash;</w:t>
      </w:r>
    </w:p>
    <w:p>
      <w:pPr>
        <w:spacing w:after="0" w:line="225" w:lineRule="exact"/>
        <w:rPr>
          <w:rFonts w:ascii="Arial" w:cs="Arial" w:eastAsia="Arial" w:hAnsi="Arial"/>
          <w:sz w:val="18"/>
          <w:szCs w:val="18"/>
          <w:color w:val="auto"/>
        </w:rPr>
      </w:pPr>
    </w:p>
    <w:p>
      <w:pPr>
        <w:ind w:left="660" w:right="60" w:firstLine="514"/>
        <w:spacing w:after="0" w:line="342" w:lineRule="auto"/>
        <w:tabs>
          <w:tab w:leader="none" w:pos="1703"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 cash received from a broker-dealer to whom the Participant has submitted notice together with irrevocable instructions to deliver promptly to the Company the amount of sales proceeds from the sale of the shares subject to the Award to pay the withholding taxes;</w:t>
      </w:r>
    </w:p>
    <w:p>
      <w:pPr>
        <w:spacing w:after="0" w:line="123" w:lineRule="exact"/>
        <w:rPr>
          <w:rFonts w:ascii="Arial" w:cs="Arial" w:eastAsia="Arial" w:hAnsi="Arial"/>
          <w:sz w:val="16"/>
          <w:szCs w:val="16"/>
          <w:color w:val="auto"/>
        </w:rPr>
      </w:pPr>
    </w:p>
    <w:p>
      <w:pPr>
        <w:ind w:left="660" w:right="40" w:firstLine="514"/>
        <w:spacing w:after="0" w:line="277" w:lineRule="auto"/>
        <w:tabs>
          <w:tab w:leader="none" w:pos="169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by directing the Company to withhold such number of Shares otherwise issuable in connection with the Award having an aggregate Fair Market Value equal to the minimum amount of tax required to be withheld;</w:t>
      </w:r>
    </w:p>
    <w:p>
      <w:pPr>
        <w:spacing w:after="0" w:line="170" w:lineRule="exact"/>
        <w:rPr>
          <w:rFonts w:ascii="Arial" w:cs="Arial" w:eastAsia="Arial" w:hAnsi="Arial"/>
          <w:sz w:val="18"/>
          <w:szCs w:val="18"/>
          <w:color w:val="auto"/>
        </w:rPr>
      </w:pPr>
    </w:p>
    <w:p>
      <w:pPr>
        <w:ind w:left="660" w:right="20" w:firstLine="514"/>
        <w:spacing w:after="0" w:line="277" w:lineRule="auto"/>
        <w:tabs>
          <w:tab w:leader="none" w:pos="170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by delivering previously acquired Shares of the Company that are acceptable to the Board that have an aggregate Fair Market Value equal to the amount required to be withheld; or</w:t>
      </w:r>
    </w:p>
    <w:p>
      <w:pPr>
        <w:spacing w:after="0" w:line="170" w:lineRule="exact"/>
        <w:rPr>
          <w:rFonts w:ascii="Arial" w:cs="Arial" w:eastAsia="Arial" w:hAnsi="Arial"/>
          <w:sz w:val="18"/>
          <w:szCs w:val="18"/>
          <w:color w:val="auto"/>
        </w:rPr>
      </w:pPr>
    </w:p>
    <w:p>
      <w:pPr>
        <w:ind w:left="1680" w:hanging="506"/>
        <w:spacing w:after="0"/>
        <w:tabs>
          <w:tab w:leader="none" w:pos="16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by certifying to ownership by attestation of such previously acquired Shares.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Board shall have the sole discretion to establish the terms and conditions applicable to any alternative made available for payment of the required withholding taxes.</w:t>
      </w:r>
    </w:p>
    <w:p>
      <w:pPr>
        <w:spacing w:after="0" w:line="16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5"/>
          <w:szCs w:val="15"/>
          <w:b w:val="1"/>
          <w:bCs w:val="1"/>
          <w:color w:val="auto"/>
        </w:rPr>
        <w:t>Postponement.</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may postpone any grant or settlement of an Award or exercise of a Stock Option for such time as the Board in its sole discretion may deem necessary in order to permit the Company:</w:t>
      </w:r>
    </w:p>
    <w:p>
      <w:pPr>
        <w:spacing w:after="0" w:line="170" w:lineRule="exact"/>
        <w:rPr>
          <w:sz w:val="20"/>
          <w:szCs w:val="20"/>
          <w:color w:val="auto"/>
        </w:rPr>
      </w:pPr>
    </w:p>
    <w:p>
      <w:pPr>
        <w:ind w:left="660" w:right="120" w:firstLine="514"/>
        <w:spacing w:after="0" w:line="308" w:lineRule="auto"/>
        <w:tabs>
          <w:tab w:leader="none" w:pos="1693"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to effect, amend or maintain any necessary registration of the Plan or the Shares issuable pursuant to an Award, including upon the exercise of an Option, under the Securities Act of 1933, as amended, or the securities laws of any applicable jurisdiction;</w:t>
      </w:r>
    </w:p>
    <w:p>
      <w:pPr>
        <w:spacing w:after="0" w:line="146" w:lineRule="exact"/>
        <w:rPr>
          <w:rFonts w:ascii="Arial" w:cs="Arial" w:eastAsia="Arial" w:hAnsi="Arial"/>
          <w:sz w:val="17"/>
          <w:szCs w:val="17"/>
          <w:color w:val="auto"/>
        </w:rPr>
      </w:pPr>
    </w:p>
    <w:p>
      <w:pPr>
        <w:ind w:left="660" w:right="40" w:firstLine="514"/>
        <w:spacing w:after="0" w:line="263" w:lineRule="auto"/>
        <w:tabs>
          <w:tab w:leader="none" w:pos="1703"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to permit any action to be taken in order to (i) list such Shares on a stock exchange if Shares are then listed on such exchange or (ii) comply with restrictions or regulations incident to the maintenance of a public market for its Shares, including any rules or regulations of any stock exchange on which the Shares are listed; or</w:t>
      </w:r>
    </w:p>
    <w:p>
      <w:pPr>
        <w:spacing w:after="0" w:line="183" w:lineRule="exact"/>
        <w:rPr>
          <w:rFonts w:ascii="Arial" w:cs="Arial" w:eastAsia="Arial" w:hAnsi="Arial"/>
          <w:sz w:val="18"/>
          <w:szCs w:val="18"/>
          <w:color w:val="auto"/>
        </w:rPr>
      </w:pPr>
    </w:p>
    <w:p>
      <w:pPr>
        <w:jc w:val="both"/>
        <w:ind w:left="660" w:firstLine="514"/>
        <w:spacing w:after="0" w:line="286" w:lineRule="auto"/>
        <w:tabs>
          <w:tab w:leader="none" w:pos="1693"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to determine that such Shares and the Plan are exempt from such registration or that no action of the kind referred to in (b)(ii) above needs to be taken; and the Company shall not be obligated by virtue of any terms and conditions of any Award or any provision of the Plan to sell or issue Shares in violation of the Securities Act of 1933 or the law of any government having jurisdiction thereof.</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02" w:name="page203"/>
    <w:bookmarkEnd w:id="202"/>
    <w:p>
      <w:pPr>
        <w:ind w:right="180" w:firstLine="648"/>
        <w:spacing w:after="0" w:line="263" w:lineRule="auto"/>
        <w:rPr>
          <w:sz w:val="20"/>
          <w:szCs w:val="20"/>
          <w:color w:val="auto"/>
        </w:rPr>
      </w:pPr>
      <w:r>
        <w:rPr>
          <w:rFonts w:ascii="Arial" w:cs="Arial" w:eastAsia="Arial" w:hAnsi="Arial"/>
          <w:sz w:val="18"/>
          <w:szCs w:val="18"/>
          <w:color w:val="auto"/>
        </w:rPr>
        <w:t>Any such postponement shall not extend the term of an Award and neither the Company nor its Directors or officers shall have any obligation or liability to a Participant, the Participant’s successor or any other person with respect to any Shares as to which the Award shall lapse because of such postponement.</w:t>
      </w:r>
    </w:p>
    <w:p>
      <w:pPr>
        <w:spacing w:after="0" w:line="18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Non-transferability.</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Awards granted under the Plan, and any rights and privileges pertaining thereto, may not be transferred, assigned, pledged or hypothecated in any manner, or be subject to execution, attachment or similar process, by operation of law or otherwise, other than by will or by the laws of descent and distribution.</w:t>
      </w:r>
    </w:p>
    <w:p>
      <w:pPr>
        <w:spacing w:after="0" w:line="18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Termination or Amendment of Plan and Award Agreements.</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u w:val="single" w:color="auto"/>
          <w:color w:val="auto"/>
        </w:rPr>
        <w:t>Termination or Amendment of Plan</w:t>
      </w:r>
      <w:r>
        <w:rPr>
          <w:rFonts w:ascii="Arial" w:cs="Arial" w:eastAsia="Arial" w:hAnsi="Arial"/>
          <w:sz w:val="16"/>
          <w:szCs w:val="16"/>
          <w:color w:val="auto"/>
        </w:rPr>
        <w:t>.</w:t>
      </w:r>
    </w:p>
    <w:p>
      <w:pPr>
        <w:spacing w:after="0" w:line="225" w:lineRule="exact"/>
        <w:rPr>
          <w:sz w:val="20"/>
          <w:szCs w:val="20"/>
          <w:color w:val="auto"/>
        </w:rPr>
      </w:pPr>
    </w:p>
    <w:p>
      <w:pPr>
        <w:ind w:left="660" w:right="20" w:firstLine="514"/>
        <w:spacing w:after="0" w:line="254" w:lineRule="auto"/>
        <w:tabs>
          <w:tab w:leader="none" w:pos="169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Except as described below, the Board may terminate, suspend, or amend the Plan, in whole or in part, from time to time, without the approval of the shareholders of the Company, unless such approval is required by applicable law, regulation or rule of any stock exchange on which the Shares are listed. No amendment or termination of the Plan shall adversely affect the right of any Participant under any outstanding Award in any material way without the written consent of the Participant, unless such amendment or termination is required by applicable law, regulation or rule of any stock exchange on which the Shares are listed. Subject to the foregoing, the Board may correct any defect or supply an omission or reconcile any inconsistency in the Plan or in any Award granted hereunder in the manner and to the extent it shall deem desirable, in its sole discretion, to effectuate the Plan.</w:t>
      </w:r>
    </w:p>
    <w:p>
      <w:pPr>
        <w:spacing w:after="0" w:line="194" w:lineRule="exact"/>
        <w:rPr>
          <w:rFonts w:ascii="Arial" w:cs="Arial" w:eastAsia="Arial" w:hAnsi="Arial"/>
          <w:sz w:val="18"/>
          <w:szCs w:val="18"/>
          <w:color w:val="auto"/>
        </w:rPr>
      </w:pPr>
    </w:p>
    <w:p>
      <w:pPr>
        <w:ind w:left="660" w:right="700" w:firstLine="514"/>
        <w:spacing w:after="0" w:line="342" w:lineRule="auto"/>
        <w:tabs>
          <w:tab w:leader="none" w:pos="170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Board shall have the authority to amend the Plan to the extent necessary or appropriate to comply with applicable law, regulation or accounting rules in order to permit Participants who are located outside of the United States to participate in the Plan.</w:t>
      </w:r>
    </w:p>
    <w:p>
      <w:pPr>
        <w:spacing w:after="0" w:line="12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u w:val="single" w:color="auto"/>
          <w:color w:val="auto"/>
        </w:rPr>
        <w:t>Amendment of Award Agreements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Board shall have the authority to amend any Award Agreement at any time; provided however, that no such amendment shall adversely affect the right of any Participant under any outstanding Award Agreement in any material way without the written consent of the Participant, unless such amendment is required by applicable law, regulation or rule of any stock exchange on which the Shares are listed.</w:t>
      </w:r>
    </w:p>
    <w:p>
      <w:pPr>
        <w:spacing w:after="0" w:line="18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No Contract of Employment.</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Neither the adoption of the Plan nor the grant of any Award under the Plan shall be deemed to obligate the Company or any Subsidiary to continue the employment of any Participant for any particular period, nor shall the granting of an Award constitute a request or consent to postpone the retirement date of any Participant.</w:t>
      </w:r>
    </w:p>
    <w:p>
      <w:pPr>
        <w:spacing w:after="0" w:line="18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Applicable Law.</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[All questions pertaining to the validity, construction and administration of the Plan and all Awards granted under the Plan shall be determined in conformity with the laws of Hong Kong, without regard to the conflict of law provisions of any state, and, in the case of Incentive Stock Options, Section 422 of the Code and regulations issued thereunder.]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3" w:name="page204"/>
    <w:bookmarkEnd w:id="203"/>
    <w:p>
      <w:pPr>
        <w:spacing w:after="0"/>
        <w:tabs>
          <w:tab w:leader="none" w:pos="120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Effective Date and Term of Plan.</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225" w:lineRule="exact"/>
        <w:rPr>
          <w:sz w:val="20"/>
          <w:szCs w:val="20"/>
          <w:color w:val="auto"/>
        </w:rPr>
      </w:pPr>
    </w:p>
    <w:p>
      <w:pPr>
        <w:ind w:left="660" w:right="500" w:firstLine="514"/>
        <w:spacing w:after="0" w:line="277" w:lineRule="auto"/>
        <w:tabs>
          <w:tab w:leader="none" w:pos="169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Plan has been adopted by the Board, and is effective, as of November 18, 2017, subject to the approval of the Plan by the shareholders of the Company.</w:t>
      </w:r>
    </w:p>
    <w:p>
      <w:pPr>
        <w:spacing w:after="0" w:line="170" w:lineRule="exact"/>
        <w:rPr>
          <w:rFonts w:ascii="Arial" w:cs="Arial" w:eastAsia="Arial" w:hAnsi="Arial"/>
          <w:sz w:val="18"/>
          <w:szCs w:val="18"/>
          <w:color w:val="auto"/>
        </w:rPr>
      </w:pPr>
    </w:p>
    <w:p>
      <w:pPr>
        <w:ind w:left="660" w:firstLine="514"/>
        <w:spacing w:after="0" w:line="277" w:lineRule="auto"/>
        <w:tabs>
          <w:tab w:leader="none" w:pos="170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the event the Plan is not approved by shareholders of the Company within 12 months of the date hereof, (i) the Plan shall have no effect, and (ii) any Awards granted on or after November 18, 2018 shall be cancelled.</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u w:val="single" w:color="auto"/>
          <w:color w:val="auto"/>
        </w:rPr>
        <w:t>Term of Plan</w:t>
      </w:r>
      <w:r>
        <w:rPr>
          <w:rFonts w:ascii="Arial" w:cs="Arial" w:eastAsia="Arial" w:hAnsi="Arial"/>
          <w:sz w:val="16"/>
          <w:szCs w:val="16"/>
          <w:color w:val="auto"/>
        </w:rPr>
        <w:t>.</w:t>
      </w:r>
    </w:p>
    <w:p>
      <w:pPr>
        <w:spacing w:after="0" w:line="229"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Notwithstanding anything to the contrary contained herein, no Awards shall be granted on or after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anniversary of the Plan’s effective date set forth in Section 17.1(a) above.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4" w:name="page205"/>
    <w:bookmarkEnd w:id="204"/>
    <w:p>
      <w:pPr>
        <w:jc w:val="right"/>
        <w:spacing w:after="0"/>
        <w:rPr>
          <w:sz w:val="20"/>
          <w:szCs w:val="20"/>
          <w:color w:val="auto"/>
        </w:rPr>
      </w:pPr>
      <w:r>
        <w:rPr>
          <w:rFonts w:ascii="Arial" w:cs="Arial" w:eastAsia="Arial" w:hAnsi="Arial"/>
          <w:sz w:val="22"/>
          <w:szCs w:val="22"/>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INDEPENDENT DIRECTOR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AGREEMENT (the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is made as of [___], 201[__], and is by and between CLPS INCORPORATION, a Cayman Islands</w:t>
      </w:r>
    </w:p>
    <w:p>
      <w:pPr>
        <w:spacing w:after="0" w:line="3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corporation (hereinafter referred to as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(hereinafter referred to as the “</w:t>
      </w:r>
      <w:r>
        <w:rPr>
          <w:rFonts w:ascii="Arial" w:cs="Arial" w:eastAsia="Arial" w:hAnsi="Arial"/>
          <w:sz w:val="16"/>
          <w:szCs w:val="16"/>
          <w:b w:val="1"/>
          <w:bCs w:val="1"/>
          <w:u w:val="single" w:color="auto"/>
          <w:color w:val="auto"/>
        </w:rPr>
        <w:t>Director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-19050</wp:posOffset>
            </wp:positionV>
            <wp:extent cx="770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10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Board of Directors of the Company desires to appoint or to ensure the continued appointment of the Director and to have or to continue to have the Director perform the duties of an independent director and the Director desires to be so appointed for or to remain appointed for such position and to perform or to continue to perform the duties required of such position in accordance with the terms and conditions of this Agreement.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0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consideration for the above recited promises and the mutual promises contained herein, the adequacy and sufficiency of which are hereby acknowledged, the Company and the Director hereby agree as follows:</w:t>
      </w:r>
    </w:p>
    <w:p>
      <w:pPr>
        <w:spacing w:after="0" w:line="49" w:lineRule="exact"/>
        <w:rPr>
          <w:sz w:val="20"/>
          <w:szCs w:val="20"/>
          <w:color w:val="auto"/>
        </w:rPr>
      </w:pPr>
    </w:p>
    <w:p>
      <w:pPr>
        <w:ind w:right="20" w:firstLine="656"/>
        <w:spacing w:after="0" w:line="293" w:lineRule="auto"/>
        <w:tabs>
          <w:tab w:leader="none" w:pos="109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DUTIES. The Company requires that the Director be available to perform the duties of an independent director customarily related to this function as may be determined and assigned by the Board of Directors of the Company and as may be required by the Company’s constituent instruments, including its Articles of Incorporation/Association, Bylaws and its corporate governance and board committee charters, each as amended or modified from time to time, and any applicable governing law, rule, regulation or statute (the “</w:t>
      </w:r>
      <w:r>
        <w:rPr>
          <w:rFonts w:ascii="Arial" w:cs="Arial" w:eastAsia="Arial" w:hAnsi="Arial"/>
          <w:sz w:val="16"/>
          <w:szCs w:val="16"/>
          <w:b w:val="1"/>
          <w:bCs w:val="1"/>
          <w:u w:val="single" w:color="auto"/>
          <w:color w:val="auto"/>
        </w:rPr>
        <w:t>Law</w:t>
      </w:r>
      <w:r>
        <w:rPr>
          <w:rFonts w:ascii="Arial" w:cs="Arial" w:eastAsia="Arial" w:hAnsi="Arial"/>
          <w:sz w:val="16"/>
          <w:szCs w:val="16"/>
          <w:color w:val="auto"/>
        </w:rPr>
        <w:t>”). The Director agrees to devote as much time as is necessary to perform completely the duties as the Director of the Company, including duties as a member of such committees as the Director may hereafter be appointed to. The Director will perform such duties described herein in accordance with the general fiduciary duty of directors arising under the Law.</w:t>
      </w:r>
    </w:p>
    <w:p>
      <w:pPr>
        <w:spacing w:after="0" w:line="42" w:lineRule="exact"/>
        <w:rPr>
          <w:rFonts w:ascii="Arial" w:cs="Arial" w:eastAsia="Arial" w:hAnsi="Arial"/>
          <w:sz w:val="16"/>
          <w:szCs w:val="16"/>
          <w:color w:val="auto"/>
        </w:rPr>
      </w:pPr>
    </w:p>
    <w:p>
      <w:pPr>
        <w:ind w:right="80" w:firstLine="656"/>
        <w:spacing w:after="0" w:line="277" w:lineRule="auto"/>
        <w:tabs>
          <w:tab w:leader="none" w:pos="109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TERM. The term of this Agreement shall commence as of the date of the Director’s appointment by the Board of Directors of the Company and shall continue until the Director’s removal or resignation.</w:t>
      </w:r>
    </w:p>
    <w:p>
      <w:pPr>
        <w:spacing w:after="0" w:line="48" w:lineRule="exact"/>
        <w:rPr>
          <w:rFonts w:ascii="Arial" w:cs="Arial" w:eastAsia="Arial" w:hAnsi="Arial"/>
          <w:sz w:val="18"/>
          <w:szCs w:val="18"/>
          <w:color w:val="auto"/>
        </w:rPr>
      </w:pPr>
    </w:p>
    <w:p>
      <w:pPr>
        <w:ind w:right="100" w:firstLine="656"/>
        <w:spacing w:after="0" w:line="257" w:lineRule="auto"/>
        <w:tabs>
          <w:tab w:leader="none" w:pos="109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COMPENSATION. For all services to be rendered by the Director in any capacity hereunder, the Company agrees to pay the Director a fee of $[___]. Such fee may be adjusted, up or down, from time to time as determined by the Company’s Board of Directors. In addition, the Director shall receive upon execution of this Agreement, an option to purchase [___] shares of Company common stock at an exercise price of $[___] per share vesting [___], provided Director is serving as a director on such vesting dates. The stock option grant shall be made pursuant to the [___] Stock Plan, and shall in all respects be subject to the terms and conditions of such plan.</w:t>
      </w:r>
    </w:p>
    <w:p>
      <w:pPr>
        <w:spacing w:after="0" w:line="66" w:lineRule="exact"/>
        <w:rPr>
          <w:rFonts w:ascii="Arial" w:cs="Arial" w:eastAsia="Arial" w:hAnsi="Arial"/>
          <w:sz w:val="18"/>
          <w:szCs w:val="18"/>
          <w:color w:val="auto"/>
        </w:rPr>
      </w:pPr>
    </w:p>
    <w:p>
      <w:pPr>
        <w:ind w:right="140" w:firstLine="656"/>
        <w:spacing w:after="0" w:line="259" w:lineRule="auto"/>
        <w:tabs>
          <w:tab w:leader="none" w:pos="109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EXPENSES. In addition to the compensation provided in paragraph 3 hereof, the Company will reimburse the Director for pre-approved reasonable business-related expenses incurred in good faith in the performance of the Director’s duties for the Company. Such payments shall be made by the Company upon submission by the Director of a signed statement itemizing the expenses incurred. Such statement shall be accompanied by sufficient documentary matter to support the expenditures.</w:t>
      </w:r>
    </w:p>
    <w:p>
      <w:pPr>
        <w:spacing w:after="0" w:line="65" w:lineRule="exact"/>
        <w:rPr>
          <w:rFonts w:ascii="Arial" w:cs="Arial" w:eastAsia="Arial" w:hAnsi="Arial"/>
          <w:sz w:val="18"/>
          <w:szCs w:val="18"/>
          <w:color w:val="auto"/>
        </w:rPr>
      </w:pPr>
    </w:p>
    <w:p>
      <w:pPr>
        <w:ind w:right="20" w:firstLine="656"/>
        <w:spacing w:after="0" w:line="257" w:lineRule="auto"/>
        <w:tabs>
          <w:tab w:leader="none" w:pos="109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CONFIDENTIALITY. The Company and the Director each acknowledge that, in order for the intents and purposes of this Agreement to be accomplished, the Director shall necessarily be obtaining access to certain confidential information concerning the Company and its affairs, including, but not limited to business methods, information systems, financial data and strategic plans which are unique assets of the Company (“</w:t>
      </w:r>
      <w:r>
        <w:rPr>
          <w:rFonts w:ascii="Arial" w:cs="Arial" w:eastAsia="Arial" w:hAnsi="Arial"/>
          <w:sz w:val="18"/>
          <w:szCs w:val="18"/>
          <w:b w:val="1"/>
          <w:bCs w:val="1"/>
          <w:u w:val="single" w:color="auto"/>
          <w:color w:val="auto"/>
        </w:rPr>
        <w:t>Confidential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Information</w:t>
      </w:r>
      <w:r>
        <w:rPr>
          <w:rFonts w:ascii="Arial" w:cs="Arial" w:eastAsia="Arial" w:hAnsi="Arial"/>
          <w:sz w:val="18"/>
          <w:szCs w:val="18"/>
          <w:color w:val="auto"/>
        </w:rPr>
        <w:t>”). The Director covenants not to, either directly or indirectly, in any manner, utilize or disclose to any person, firm, corporation, association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entity any Confidential Information.</w:t>
      </w:r>
    </w:p>
    <w:p>
      <w:pPr>
        <w:spacing w:after="0" w:line="120" w:lineRule="exact"/>
        <w:rPr>
          <w:rFonts w:ascii="Arial" w:cs="Arial" w:eastAsia="Arial" w:hAnsi="Arial"/>
          <w:sz w:val="18"/>
          <w:szCs w:val="18"/>
          <w:color w:val="auto"/>
        </w:rPr>
      </w:pPr>
    </w:p>
    <w:p>
      <w:pPr>
        <w:ind w:right="180" w:firstLine="656"/>
        <w:spacing w:after="0" w:line="259" w:lineRule="auto"/>
        <w:tabs>
          <w:tab w:leader="none" w:pos="108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ASSIGNMENT. The rights and benefits of the Company under this Agreement shall be transferable, and all the covenants and agreements hereunder shall inure to the benefit of, and be enforceable by or against, its successors and assigns. The duties and obligations of the Director under this Agreement are personal and therefore the Director may not assign any right or duty under this Agreement without the prior written consent of the Company.</w:t>
      </w:r>
    </w:p>
    <w:p>
      <w:pPr>
        <w:spacing w:after="0" w:line="119" w:lineRule="exact"/>
        <w:rPr>
          <w:rFonts w:ascii="Arial" w:cs="Arial" w:eastAsia="Arial" w:hAnsi="Arial"/>
          <w:sz w:val="18"/>
          <w:szCs w:val="18"/>
          <w:color w:val="auto"/>
        </w:rPr>
      </w:pPr>
    </w:p>
    <w:p>
      <w:pPr>
        <w:ind w:left="1100" w:hanging="444"/>
        <w:spacing w:after="0"/>
        <w:tabs>
          <w:tab w:leader="none" w:pos="11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MISCELLANEOUS. If any provision of this Agreement shall be declared invalid or illegal, for any reason whatsoever, then,</w:t>
      </w:r>
    </w:p>
    <w:p>
      <w:pPr>
        <w:spacing w:after="0" w:line="23" w:lineRule="exact"/>
        <w:rPr>
          <w:rFonts w:ascii="Arial" w:cs="Arial" w:eastAsia="Arial" w:hAnsi="Arial"/>
          <w:sz w:val="18"/>
          <w:szCs w:val="18"/>
          <w:color w:val="auto"/>
        </w:rPr>
      </w:pPr>
    </w:p>
    <w:p>
      <w:pPr>
        <w:ind w:right="100"/>
        <w:spacing w:after="0" w:line="260" w:lineRule="auto"/>
        <w:rPr>
          <w:rFonts w:ascii="Arial" w:cs="Arial" w:eastAsia="Arial" w:hAnsi="Arial"/>
          <w:sz w:val="18"/>
          <w:szCs w:val="18"/>
          <w:color w:val="auto"/>
        </w:rPr>
      </w:pPr>
      <w:r>
        <w:rPr>
          <w:rFonts w:ascii="Arial" w:cs="Arial" w:eastAsia="Arial" w:hAnsi="Arial"/>
          <w:sz w:val="18"/>
          <w:szCs w:val="18"/>
          <w:color w:val="auto"/>
        </w:rPr>
        <w:t>notwithstanding such invalidity or illegality, the remaining terms and provisions of this Agreement shall remain in full force and effect in the same manner as if the invalid or illegal provision had not been contained herein.</w:t>
      </w:r>
    </w:p>
    <w:p>
      <w:pPr>
        <w:spacing w:after="0" w:line="117" w:lineRule="exact"/>
        <w:rPr>
          <w:rFonts w:ascii="Arial" w:cs="Arial" w:eastAsia="Arial" w:hAnsi="Arial"/>
          <w:sz w:val="18"/>
          <w:szCs w:val="18"/>
          <w:color w:val="auto"/>
        </w:rPr>
      </w:pPr>
    </w:p>
    <w:p>
      <w:pPr>
        <w:ind w:right="580" w:firstLine="656"/>
        <w:spacing w:after="0" w:line="342" w:lineRule="auto"/>
        <w:tabs>
          <w:tab w:leader="none" w:pos="109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COUNTERPARTS. This Agreement may be executed in any number of counterparts, all of which taken together shall constitute one instrument. Facsimile or electronic .PDF (or similar format) execution and delivery of this Agreement is legal, valid and binding for all purposes.</w:t>
      </w:r>
    </w:p>
    <w:p>
      <w:pPr>
        <w:spacing w:after="0" w:line="56" w:lineRule="exact"/>
        <w:rPr>
          <w:rFonts w:ascii="Arial" w:cs="Arial" w:eastAsia="Arial" w:hAnsi="Arial"/>
          <w:sz w:val="16"/>
          <w:szCs w:val="16"/>
          <w:color w:val="auto"/>
        </w:rPr>
      </w:pPr>
    </w:p>
    <w:p>
      <w:pPr>
        <w:jc w:val="both"/>
        <w:ind w:right="120" w:firstLine="656"/>
        <w:spacing w:after="0" w:line="286" w:lineRule="auto"/>
        <w:tabs>
          <w:tab w:leader="none" w:pos="109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ENTIRE AGREEMENT. Except as provided elsewhere herein, this Agreement sets forth the entire agreement of the parties with respect to its subject matter and supersedes all prior agreements, promises, covenants, arrangements, communications, representations or warranties, whether oral or written, by any officer, employee or representative of any party to this Agreement with respect to such subject matter.</w:t>
      </w:r>
    </w:p>
    <w:p>
      <w:pPr>
        <w:spacing w:after="0" w:line="9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WITNESS WHEREOF, the parties hereto have caused this Independent Director Agreement to be duly executed and signed as of the day and year first above written.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CLPS INCORPORATION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249428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249428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249428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5432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318008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180080" cy="17145"/>
                    </a:xfrm>
                    <a:prstGeom prst="rect">
                      <a:avLst/>
                    </a:prstGeom>
                    <a:noFill/>
                  </pic:spPr>
                </pic:pic>
              </a:graphicData>
            </a:graphic>
          </wp:anchor>
        </w:drawing>
      </w:r>
    </w:p>
    <w:p>
      <w:pPr>
        <w:sectPr>
          <w:pgSz w:w="11900" w:h="16838" w:orient="portrait"/>
          <w:cols w:equalWidth="0" w:num="1">
            <w:col w:w="11240"/>
          </w:cols>
          <w:pgMar w:left="320" w:top="112" w:right="339" w:bottom="1024"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25" w:lineRule="exact"/>
        <w:rPr>
          <w:sz w:val="20"/>
          <w:szCs w:val="20"/>
          <w:color w:val="auto"/>
        </w:rPr>
      </w:pPr>
    </w:p>
    <w:p>
      <w:pPr>
        <w:ind w:right="40" w:firstLine="647"/>
        <w:spacing w:after="0" w:line="256" w:lineRule="auto"/>
        <w:rPr>
          <w:sz w:val="20"/>
          <w:szCs w:val="20"/>
          <w:color w:val="auto"/>
        </w:rPr>
      </w:pPr>
      <w:r>
        <w:rPr>
          <w:rFonts w:ascii="Arial" w:cs="Arial" w:eastAsia="Arial" w:hAnsi="Arial"/>
          <w:sz w:val="18"/>
          <w:szCs w:val="18"/>
          <w:b w:val="1"/>
          <w:bCs w:val="1"/>
          <w:color w:val="auto"/>
        </w:rPr>
        <w:t xml:space="preserve">CLPS Incorporation </w:t>
      </w:r>
      <w:r>
        <w:rPr>
          <w:rFonts w:ascii="Arial" w:cs="Arial" w:eastAsia="Arial" w:hAnsi="Arial"/>
          <w:sz w:val="18"/>
          <w:szCs w:val="18"/>
          <w:color w:val="auto"/>
        </w:rPr>
        <w:t>and each of its subsidiaries (collectively, “CLPS”) are committed to the highest standards of ethics and business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CLPS conducts its business as a good corporate citizen and complies with all laws, rules and regulations applicable to it or the conduct of its business. This commitment and standard of conduct governs our relationships with customers, suppliers, shareholders, competitors, the communities in which we operate, and with each other as employees at every organizational level. Maintaining the highest ethical standards at all levels within our organization is critical for our success as a corporation. This Code of Ethics of CLPS (“Code”) applies to the corporation as a whole and to all employees, directors, officers, as well as consultants and vendors.</w:t>
      </w:r>
    </w:p>
    <w:p>
      <w:pPr>
        <w:spacing w:after="0" w:line="191" w:lineRule="exact"/>
        <w:rPr>
          <w:sz w:val="20"/>
          <w:szCs w:val="20"/>
          <w:color w:val="auto"/>
        </w:rPr>
      </w:pPr>
    </w:p>
    <w:p>
      <w:pPr>
        <w:ind w:right="40" w:firstLine="647"/>
        <w:spacing w:after="0" w:line="269" w:lineRule="auto"/>
        <w:rPr>
          <w:sz w:val="20"/>
          <w:szCs w:val="20"/>
          <w:color w:val="auto"/>
        </w:rPr>
      </w:pPr>
      <w:r>
        <w:rPr>
          <w:rFonts w:ascii="Arial" w:cs="Arial" w:eastAsia="Arial" w:hAnsi="Arial"/>
          <w:sz w:val="17"/>
          <w:szCs w:val="17"/>
          <w:color w:val="auto"/>
        </w:rPr>
        <w:t>The Code is an expression of our core values and represents a framework for decision making. To this end, all of us are responsible for understanding the Code and acting in accordance with it. The Code cannot and is not intended to cover every applicable law, rule or regulation or provide answers to all questions that may arise; for that, we must ultimately rely on each employee’s, officer’s and director’s good sense of what is right, including a sense of when it is proper to seek guidance from others with respect to the appropriate course of conduct. CLPS maintains an open door policy for resolving issues that arise in the workplace. Employees are encouraged to first discuss any questions regarding any law, rule, regulation, or principle discussed in this Code, which may govern business conduct, with the employee’s immediate supervisor. If open communication with the employees’ supervisor does not resolve the issue or makes the employee uncomfortable, the employee should subsequently consult his or her next level supervisor or his or her Human Resources representative. If this does not result in satisfactory resolution of the issue, the employee should consult CLPS’s Chief Financial Officer. Additionally, employees are encouraged to email address to [_] to report any ethics violation. Due to the sensitive nature of the reporting, calls to the hot line can be made anonymously.</w:t>
      </w:r>
    </w:p>
    <w:p>
      <w:pPr>
        <w:spacing w:after="0" w:line="185" w:lineRule="exact"/>
        <w:rPr>
          <w:sz w:val="20"/>
          <w:szCs w:val="20"/>
          <w:color w:val="auto"/>
        </w:rPr>
      </w:pPr>
    </w:p>
    <w:p>
      <w:pPr>
        <w:jc w:val="both"/>
        <w:ind w:right="20" w:firstLine="647"/>
        <w:spacing w:after="0" w:line="263" w:lineRule="auto"/>
        <w:rPr>
          <w:sz w:val="20"/>
          <w:szCs w:val="20"/>
          <w:color w:val="auto"/>
        </w:rPr>
      </w:pPr>
      <w:r>
        <w:rPr>
          <w:rFonts w:ascii="Arial" w:cs="Arial" w:eastAsia="Arial" w:hAnsi="Arial"/>
          <w:sz w:val="18"/>
          <w:szCs w:val="18"/>
          <w:color w:val="auto"/>
        </w:rPr>
        <w:t>The Code does not in any way constitute an employment contract or an assurance of continued employment. It is for the sole and exclusive benefit of CLPS and may not be used or relied upon by any other party. CLPS may modify or repeal the provisions of the Code or adopt a new Code at any time it deems appropriate, with or without notice.</w:t>
      </w:r>
    </w:p>
    <w:p>
      <w:pPr>
        <w:spacing w:after="0" w:line="184" w:lineRule="exact"/>
        <w:rPr>
          <w:sz w:val="20"/>
          <w:szCs w:val="20"/>
          <w:color w:val="auto"/>
        </w:rPr>
      </w:pPr>
    </w:p>
    <w:p>
      <w:pPr>
        <w:ind w:right="400" w:firstLine="647"/>
        <w:spacing w:after="0" w:line="263" w:lineRule="auto"/>
        <w:rPr>
          <w:sz w:val="20"/>
          <w:szCs w:val="20"/>
          <w:color w:val="auto"/>
        </w:rPr>
      </w:pPr>
      <w:r>
        <w:rPr>
          <w:rFonts w:ascii="Arial" w:cs="Arial" w:eastAsia="Arial" w:hAnsi="Arial"/>
          <w:sz w:val="18"/>
          <w:szCs w:val="18"/>
          <w:color w:val="auto"/>
        </w:rPr>
        <w:t>The Code must be strictly observed and failure to do so could result in disciplinary action, up to and including termination. This Code applies equally to all employees, officers, directors, consultants and vendors of CLPS. CLPS encourages employees to seek or to ask for advice from their supervisors or human resources representative when ethical issues arise in the workplace.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Compliance with Laws, Rules, Regulations and CLPS Policies</w:t>
      </w:r>
    </w:p>
    <w:p>
      <w:pPr>
        <w:spacing w:after="0" w:line="225" w:lineRule="exact"/>
        <w:rPr>
          <w:sz w:val="20"/>
          <w:szCs w:val="20"/>
          <w:color w:val="auto"/>
        </w:rPr>
      </w:pPr>
    </w:p>
    <w:p>
      <w:pPr>
        <w:ind w:right="100" w:firstLine="647"/>
        <w:spacing w:after="0" w:line="263" w:lineRule="auto"/>
        <w:rPr>
          <w:sz w:val="20"/>
          <w:szCs w:val="20"/>
          <w:color w:val="auto"/>
        </w:rPr>
      </w:pPr>
      <w:r>
        <w:rPr>
          <w:rFonts w:ascii="Arial" w:cs="Arial" w:eastAsia="Arial" w:hAnsi="Arial"/>
          <w:sz w:val="18"/>
          <w:szCs w:val="18"/>
          <w:color w:val="auto"/>
        </w:rPr>
        <w:t>We all are expected to act honestly and maintain the highest standards of ethics and business conduct, consistent with the professional image of CLPS. We are required to comply fully with all laws, rules and regulations affecting CLPS’s business and its conduct in business matters. We are expected to uphold both the letter and the spirit of the law and CLPS’s policies.</w:t>
      </w:r>
    </w:p>
    <w:p>
      <w:pPr>
        <w:spacing w:after="0" w:line="184" w:lineRule="exact"/>
        <w:rPr>
          <w:sz w:val="20"/>
          <w:szCs w:val="20"/>
          <w:color w:val="auto"/>
        </w:rPr>
      </w:pPr>
    </w:p>
    <w:p>
      <w:pPr>
        <w:ind w:right="380" w:firstLine="647"/>
        <w:spacing w:after="0" w:line="259" w:lineRule="auto"/>
        <w:rPr>
          <w:sz w:val="20"/>
          <w:szCs w:val="20"/>
          <w:color w:val="auto"/>
        </w:rPr>
      </w:pPr>
      <w:r>
        <w:rPr>
          <w:rFonts w:ascii="Arial" w:cs="Arial" w:eastAsia="Arial" w:hAnsi="Arial"/>
          <w:sz w:val="18"/>
          <w:szCs w:val="18"/>
          <w:color w:val="auto"/>
        </w:rPr>
        <w:t>CLPS conducts its business in the PRC and internationally. It is CLPS’s policy to abide by the national and local laws of our host nations and communities. In the case of any conflict between the laws of another country and the PRC, or in any situation where an employee has a doubt as to the proper course of conduct, it is incumbent upon an employee to immediately consult first his or her supervisor, and then his or her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ind w:left="660"/>
        <w:spacing w:after="0"/>
        <w:rPr>
          <w:sz w:val="20"/>
          <w:szCs w:val="20"/>
          <w:color w:val="auto"/>
        </w:rPr>
      </w:pPr>
      <w:r>
        <w:rPr>
          <w:rFonts w:ascii="Arial" w:cs="Arial" w:eastAsia="Arial" w:hAnsi="Arial"/>
          <w:sz w:val="18"/>
          <w:szCs w:val="18"/>
          <w:u w:val="single" w:color="auto"/>
          <w:color w:val="auto"/>
        </w:rPr>
        <w:t>Confidential, Proprietary Information</w:t>
      </w:r>
    </w:p>
    <w:p>
      <w:pPr>
        <w:spacing w:after="0" w:line="225" w:lineRule="exact"/>
        <w:rPr>
          <w:sz w:val="20"/>
          <w:szCs w:val="20"/>
          <w:color w:val="auto"/>
        </w:rPr>
      </w:pPr>
    </w:p>
    <w:p>
      <w:pPr>
        <w:ind w:firstLine="647"/>
        <w:spacing w:after="0" w:line="275" w:lineRule="auto"/>
        <w:rPr>
          <w:sz w:val="20"/>
          <w:szCs w:val="20"/>
          <w:color w:val="auto"/>
        </w:rPr>
      </w:pPr>
      <w:r>
        <w:rPr>
          <w:rFonts w:ascii="Arial" w:cs="Arial" w:eastAsia="Arial" w:hAnsi="Arial"/>
          <w:sz w:val="17"/>
          <w:szCs w:val="17"/>
          <w:color w:val="auto"/>
        </w:rPr>
        <w:t>One of CLPS’s most valuable assets is information. Employees, officers and directors should maintain the confidentiality of information (whether specifically regarded as proprietary or not) entrusted to them not only by CLPS, but also by suppliers, former employers, customers and others related to our business. Confidential information includes all non-public information that might be of use to our competitors or harmful to CLPS, or its customers or suppliers, if disclosed. Examples of confidential information include, but are not limited to, trade secrets, new product or marketing plans, customer lists, employee lists, research and development ideas, manufacturing processes, or acquisition or divestiture prospects.</w:t>
      </w:r>
    </w:p>
    <w:p>
      <w:pPr>
        <w:spacing w:after="0" w:line="176" w:lineRule="exact"/>
        <w:rPr>
          <w:sz w:val="20"/>
          <w:szCs w:val="20"/>
          <w:color w:val="auto"/>
        </w:rPr>
      </w:pPr>
    </w:p>
    <w:p>
      <w:pPr>
        <w:ind w:right="60" w:firstLine="647"/>
        <w:spacing w:after="0" w:line="293" w:lineRule="auto"/>
        <w:rPr>
          <w:sz w:val="20"/>
          <w:szCs w:val="20"/>
          <w:color w:val="auto"/>
        </w:rPr>
      </w:pPr>
      <w:r>
        <w:rPr>
          <w:rFonts w:ascii="Arial" w:cs="Arial" w:eastAsia="Arial" w:hAnsi="Arial"/>
          <w:sz w:val="16"/>
          <w:szCs w:val="16"/>
          <w:color w:val="auto"/>
        </w:rPr>
        <w:t>Employees, officers and directors should take steps to safeguard confidential information by keeping such information secure, limiting access to such information to those employees who have a “need to know” in order to do their job, and avoiding discussion of confidential information in public areas, for example, in elevators, on planes, and on mobile phones. Employees, officers and directors must safeguard documents with confidential information, and should take steps to ensure proper disposal of documents with confidential information through shredding or other appropriate means, so that such documents cannot be acquired by those without proper authorization. Confidential information may be disclosed to others when disclosure is authorized by CLPS or legally mandated. The obligation to preserve confidential information is ongoing, even after termination of employment.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Use of Inside Information/ Insider Trading</w:t>
      </w:r>
    </w:p>
    <w:p>
      <w:pPr>
        <w:spacing w:after="0" w:line="225" w:lineRule="exact"/>
        <w:rPr>
          <w:sz w:val="20"/>
          <w:szCs w:val="20"/>
          <w:color w:val="auto"/>
        </w:rPr>
      </w:pPr>
    </w:p>
    <w:p>
      <w:pPr>
        <w:ind w:right="200" w:firstLine="647"/>
        <w:spacing w:after="0" w:line="293" w:lineRule="auto"/>
        <w:rPr>
          <w:sz w:val="20"/>
          <w:szCs w:val="20"/>
          <w:color w:val="auto"/>
        </w:rPr>
      </w:pPr>
      <w:r>
        <w:rPr>
          <w:rFonts w:ascii="Arial" w:cs="Arial" w:eastAsia="Arial" w:hAnsi="Arial"/>
          <w:sz w:val="16"/>
          <w:szCs w:val="16"/>
          <w:color w:val="auto"/>
        </w:rPr>
        <w:t>Federal and state law prohibits the use of “material inside information” when trading in or recommending CLPS securities. In accordance with applicable federal and state law, no employee, officer or director may engage in transactions in CLPS shares (whether for their own account, for CLPS’s account or otherwise) while in possession of material inside information (“Insider Trading”) relating to CLPS. Further, no employee, officer or director who is in possession of material inside information may communicate such information to third parties who may use such information in the decision to purchase or sell CLPS shares (“Tipping”). These restrictions also apply to securities of other companies if an employee, officer or director learns of material inside information in the course of his or her duties for CLPS. In addition to violating CLPS policy, Insider Trading and Tipping are illegal.</w:t>
      </w:r>
    </w:p>
    <w:p>
      <w:pPr>
        <w:spacing w:after="0" w:line="164" w:lineRule="exact"/>
        <w:rPr>
          <w:sz w:val="20"/>
          <w:szCs w:val="20"/>
          <w:color w:val="auto"/>
        </w:rPr>
      </w:pPr>
    </w:p>
    <w:p>
      <w:pPr>
        <w:ind w:right="180" w:firstLine="647"/>
        <w:spacing w:after="0" w:line="275" w:lineRule="auto"/>
        <w:rPr>
          <w:sz w:val="20"/>
          <w:szCs w:val="20"/>
          <w:color w:val="auto"/>
        </w:rPr>
      </w:pPr>
      <w:r>
        <w:rPr>
          <w:rFonts w:ascii="Arial" w:cs="Arial" w:eastAsia="Arial" w:hAnsi="Arial"/>
          <w:sz w:val="17"/>
          <w:szCs w:val="17"/>
          <w:color w:val="auto"/>
        </w:rPr>
        <w:t>What constitutes “material inside information” is a complex legal question, but is generally considered to be information not available to the general public, which a reasonable investor contemplating a purchase of CLPS shares would be substantially likely to take into account in making his or her investment decision. Such information includes information relating to a stock or share split and other actions relating to capital structure, major management changes, contemplated acquisitions or divestitures, and information concerning earnings or other financial information. Such information continues to be “inside” information until two business days following the broad disclosure to the general public.</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62" w:right="419" w:bottom="1440" w:gutter="0" w:footer="0" w:header="0"/>
        </w:sectPr>
      </w:pPr>
    </w:p>
    <w:bookmarkStart w:id="207" w:name="page208"/>
    <w:bookmarkEnd w:id="207"/>
    <w:p>
      <w:pPr>
        <w:ind w:right="80" w:firstLine="647"/>
        <w:spacing w:after="0" w:line="293" w:lineRule="auto"/>
        <w:rPr>
          <w:sz w:val="20"/>
          <w:szCs w:val="20"/>
          <w:color w:val="auto"/>
        </w:rPr>
      </w:pPr>
      <w:r>
        <w:rPr>
          <w:rFonts w:ascii="Arial" w:cs="Arial" w:eastAsia="Arial" w:hAnsi="Arial"/>
          <w:sz w:val="16"/>
          <w:szCs w:val="16"/>
          <w:color w:val="auto"/>
        </w:rPr>
        <w:t>Any person who is in possession of material inside information is deemed to be an “insider.” This would include directors, officers, employees (management and non- management), as well as spouses, friends or brokers who may have acquired such information directly or indirectly from an insider “tip. Substantial penalties may be assessed against people who trade while in possession of material inside information and can also be imposed upon companies and so-called controlling persons such as officers and directors who fail to take appropriate steps to prevent or detect insider trading violations by their employees or subordinates. To avoid severe consequences, employees should review this policy and the Insider Trading Policy before trading in securities and consult with CLPS’s chief financial officer if any doubts exist as to what constitutes “material inside information.”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Conflicts of Interest</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Employees must base business decisions and actions on the best interests of CLPS. Accordingly, CLPS policy prohibits conflicts of interest. A conflict of interest occurs when an individual’s personal interest interferes in any way—or even appears to interfere—with the interests of CLPS as a whole. A conflict situation can arise when an employee or a member of an employee’s family takes actions or has interests that may make it difficult to perform his or her CLPS work objectively and effectively. Conflicts of interest also arise when an employee or a member of his or her family or close personal friend, receives improper personal benefits as a result of his or her position in CLPS. Family members include an employee’s spouse, child, stepchild, grandchild, parent, step-parent, grandparent, sibling, in-laws and anyone living in an employee’s household and/or economically dependent upon an employee, including all adoptive relationships.</w:t>
      </w:r>
    </w:p>
    <w:p>
      <w:pPr>
        <w:spacing w:after="0" w:line="195"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Such conflicts of interest can undermine our business judgment and our responsibility to CLPS and threaten CLPS’s business and reputation. Accordingly, all apparent, potential, and actual conflicts of interest should be scrupulously avoided. Though it is not possible to list every activity or situation that might raise a conflict of interest issue(s), the list below is included to help you recognize some of the more significant ones:</w:t>
      </w:r>
    </w:p>
    <w:p>
      <w:pPr>
        <w:spacing w:after="0" w:line="145" w:lineRule="exact"/>
        <w:rPr>
          <w:sz w:val="20"/>
          <w:szCs w:val="20"/>
          <w:color w:val="auto"/>
        </w:rPr>
      </w:pPr>
    </w:p>
    <w:p>
      <w:pPr>
        <w:ind w:left="660" w:right="100" w:firstLine="644"/>
        <w:spacing w:after="0" w:line="261" w:lineRule="auto"/>
        <w:tabs>
          <w:tab w:leader="none" w:pos="1597"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 xml:space="preserve">Corporate Opportunities. </w:t>
      </w:r>
      <w:r>
        <w:rPr>
          <w:rFonts w:ascii="Arial" w:cs="Arial" w:eastAsia="Arial" w:hAnsi="Arial"/>
          <w:sz w:val="18"/>
          <w:szCs w:val="18"/>
          <w:color w:val="auto"/>
        </w:rPr>
        <w:t>Taking personally opportunities that are discovered through the use of corporate property, information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 (unless CLPS has already been offered the opportunity and turned it down), or using corporate property, information or position for personal gain or competing with CLPS. Such action is prohibited. In addition, directors owe a duty to CLPS to advance its legitimate interests when the opportunity to do so arises.</w:t>
      </w:r>
    </w:p>
    <w:p>
      <w:pPr>
        <w:spacing w:after="0" w:line="179" w:lineRule="exact"/>
        <w:rPr>
          <w:rFonts w:ascii="Arial" w:cs="Arial" w:eastAsia="Arial" w:hAnsi="Arial"/>
          <w:sz w:val="18"/>
          <w:szCs w:val="18"/>
          <w:color w:val="auto"/>
        </w:rPr>
      </w:pPr>
    </w:p>
    <w:p>
      <w:pPr>
        <w:ind w:left="660" w:firstLine="644"/>
        <w:spacing w:after="0" w:line="272" w:lineRule="auto"/>
        <w:tabs>
          <w:tab w:leader="none" w:pos="1597" w:val="left"/>
        </w:tabs>
        <w:numPr>
          <w:ilvl w:val="0"/>
          <w:numId w:val="221"/>
        </w:numPr>
        <w:rPr>
          <w:rFonts w:ascii="Arial" w:cs="Arial" w:eastAsia="Arial" w:hAnsi="Arial"/>
          <w:sz w:val="17"/>
          <w:szCs w:val="17"/>
          <w:color w:val="auto"/>
        </w:rPr>
      </w:pPr>
      <w:r>
        <w:rPr>
          <w:rFonts w:ascii="Arial" w:cs="Arial" w:eastAsia="Arial" w:hAnsi="Arial"/>
          <w:sz w:val="17"/>
          <w:szCs w:val="17"/>
          <w:b w:val="1"/>
          <w:bCs w:val="1"/>
          <w:color w:val="auto"/>
        </w:rPr>
        <w:t xml:space="preserve">Gifts. </w:t>
      </w:r>
      <w:r>
        <w:rPr>
          <w:rFonts w:ascii="Arial" w:cs="Arial" w:eastAsia="Arial" w:hAnsi="Arial"/>
          <w:sz w:val="17"/>
          <w:szCs w:val="17"/>
          <w:color w:val="auto"/>
        </w:rPr>
        <w:t>Receiving from, or giving to, a supplier, customer or competitor, gifts, gratuities, special allowances, inappropriate discounts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benefits of significant value (as defined below) that may have the potential to influence a business decision. The purpose of business entertainment and gifts in a commercial setting is to create goodwill and sound working relationships, not to gain unfair advantage with suppliers or customers. Gifts and entertainment of more than a significant value, that is, other than as is customary (i.e. holiday gift baskets or vendor attended entertainment), must be pre- approved, by a vice president or an officer of a higher level, other than the recipient of the gift. In addition, any item that costs greater than the local equivalent of USD$500 will be deemed to be of significant value and require pre-approval. If an employee is unsure regarding any gifts received or given, he or she should seek approval from his or her vice president. Any vice president seeking approval shall seek such approval from the Chief Financial Officer.</w:t>
      </w:r>
    </w:p>
    <w:p>
      <w:pPr>
        <w:spacing w:after="0" w:line="171" w:lineRule="exact"/>
        <w:rPr>
          <w:rFonts w:ascii="Arial" w:cs="Arial" w:eastAsia="Arial" w:hAnsi="Arial"/>
          <w:sz w:val="17"/>
          <w:szCs w:val="17"/>
          <w:color w:val="auto"/>
        </w:rPr>
      </w:pPr>
    </w:p>
    <w:p>
      <w:pPr>
        <w:ind w:left="660" w:right="340" w:firstLine="644"/>
        <w:spacing w:after="0" w:line="261" w:lineRule="auto"/>
        <w:tabs>
          <w:tab w:leader="none" w:pos="1597"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Loans</w:t>
      </w:r>
      <w:r>
        <w:rPr>
          <w:rFonts w:ascii="Arial" w:cs="Arial" w:eastAsia="Arial" w:hAnsi="Arial"/>
          <w:sz w:val="18"/>
          <w:szCs w:val="18"/>
          <w:color w:val="auto"/>
        </w:rPr>
        <w:t>. Providing loans to, or guarantees of obligations of, employees or their family members. Such activity will not be allowed</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prior written approval of the Chief Financial Officer, and if appropriate, the Board of Directors or a committee of the Board of Directors. CLPS will not extend, maintain or arrange any personal loan (or the equivalent thereof) to or for any director or executive officer or members of their families, or make guarantees of any of their obligations.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08" w:name="page209"/>
    <w:bookmarkEnd w:id="208"/>
    <w:p>
      <w:pPr>
        <w:ind w:left="660" w:firstLine="644"/>
        <w:spacing w:after="0" w:line="282" w:lineRule="auto"/>
        <w:tabs>
          <w:tab w:leader="none" w:pos="1597"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 xml:space="preserve">Outside Activity. </w:t>
      </w:r>
      <w:r>
        <w:rPr>
          <w:rFonts w:ascii="Arial" w:cs="Arial" w:eastAsia="Arial" w:hAnsi="Arial"/>
          <w:sz w:val="18"/>
          <w:szCs w:val="18"/>
          <w:color w:val="auto"/>
        </w:rPr>
        <w:t>Engaging in any outside activity that materially detracts from or interferes with the performance by an employee of</w:t>
      </w:r>
      <w:r>
        <w:rPr>
          <w:rFonts w:ascii="Arial" w:cs="Arial" w:eastAsia="Arial" w:hAnsi="Arial"/>
          <w:sz w:val="18"/>
          <w:szCs w:val="18"/>
          <w:b w:val="1"/>
          <w:bCs w:val="1"/>
          <w:color w:val="auto"/>
        </w:rPr>
        <w:t xml:space="preserve"> </w:t>
      </w:r>
      <w:r>
        <w:rPr>
          <w:rFonts w:ascii="Arial" w:cs="Arial" w:eastAsia="Arial" w:hAnsi="Arial"/>
          <w:sz w:val="18"/>
          <w:szCs w:val="18"/>
          <w:color w:val="auto"/>
        </w:rPr>
        <w:t>his or her services to CLPS.</w:t>
      </w:r>
    </w:p>
    <w:p>
      <w:pPr>
        <w:spacing w:after="0" w:line="161" w:lineRule="exact"/>
        <w:rPr>
          <w:rFonts w:ascii="Arial" w:cs="Arial" w:eastAsia="Arial" w:hAnsi="Arial"/>
          <w:sz w:val="18"/>
          <w:szCs w:val="18"/>
          <w:color w:val="auto"/>
        </w:rPr>
      </w:pPr>
    </w:p>
    <w:p>
      <w:pPr>
        <w:ind w:left="660" w:right="240" w:firstLine="644"/>
        <w:spacing w:after="0" w:line="347" w:lineRule="auto"/>
        <w:tabs>
          <w:tab w:leader="none" w:pos="1597" w:val="left"/>
        </w:tabs>
        <w:numPr>
          <w:ilvl w:val="0"/>
          <w:numId w:val="222"/>
        </w:numPr>
        <w:rPr>
          <w:rFonts w:ascii="Arial" w:cs="Arial" w:eastAsia="Arial" w:hAnsi="Arial"/>
          <w:sz w:val="16"/>
          <w:szCs w:val="16"/>
          <w:color w:val="auto"/>
        </w:rPr>
      </w:pPr>
      <w:r>
        <w:rPr>
          <w:rFonts w:ascii="Arial" w:cs="Arial" w:eastAsia="Arial" w:hAnsi="Arial"/>
          <w:sz w:val="16"/>
          <w:szCs w:val="16"/>
          <w:b w:val="1"/>
          <w:bCs w:val="1"/>
          <w:color w:val="auto"/>
        </w:rPr>
        <w:t xml:space="preserve">Outside Employment. </w:t>
      </w:r>
      <w:r>
        <w:rPr>
          <w:rFonts w:ascii="Arial" w:cs="Arial" w:eastAsia="Arial" w:hAnsi="Arial"/>
          <w:sz w:val="16"/>
          <w:szCs w:val="16"/>
          <w:color w:val="auto"/>
        </w:rPr>
        <w:t>Serving as a director, representative, employee, partner, consultant or agent of, or providing services to, an</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 or individual that is a supplier, customer or otherwise seeking to do or doing business with CLPS or a competitor of CLPS.</w:t>
      </w:r>
    </w:p>
    <w:p>
      <w:pPr>
        <w:spacing w:after="0" w:line="115" w:lineRule="exact"/>
        <w:rPr>
          <w:rFonts w:ascii="Arial" w:cs="Arial" w:eastAsia="Arial" w:hAnsi="Arial"/>
          <w:sz w:val="16"/>
          <w:szCs w:val="16"/>
          <w:color w:val="auto"/>
        </w:rPr>
      </w:pPr>
    </w:p>
    <w:p>
      <w:pPr>
        <w:ind w:left="660" w:right="140" w:firstLine="644"/>
        <w:spacing w:after="0" w:line="266" w:lineRule="auto"/>
        <w:tabs>
          <w:tab w:leader="none" w:pos="1597"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 xml:space="preserve">Personal Investments. </w:t>
      </w:r>
      <w:r>
        <w:rPr>
          <w:rFonts w:ascii="Arial" w:cs="Arial" w:eastAsia="Arial" w:hAnsi="Arial"/>
          <w:sz w:val="18"/>
          <w:szCs w:val="18"/>
          <w:color w:val="auto"/>
        </w:rPr>
        <w:t>Directly or indirectly, owning stock in, being a partner or creditor of, or having another financial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or being engaged in the management of, a supplier, contractor, customer, distributor or competitor; provided that ownership of less than 1% in a publicly traded company shall not be included in the foregoing.</w:t>
      </w:r>
    </w:p>
    <w:p>
      <w:pPr>
        <w:spacing w:after="0" w:line="180" w:lineRule="exact"/>
        <w:rPr>
          <w:sz w:val="20"/>
          <w:szCs w:val="20"/>
          <w:color w:val="auto"/>
        </w:rPr>
      </w:pPr>
    </w:p>
    <w:p>
      <w:pPr>
        <w:ind w:right="40" w:firstLine="647"/>
        <w:spacing w:after="0" w:line="270" w:lineRule="auto"/>
        <w:rPr>
          <w:sz w:val="20"/>
          <w:szCs w:val="20"/>
          <w:color w:val="auto"/>
        </w:rPr>
      </w:pPr>
      <w:r>
        <w:rPr>
          <w:rFonts w:ascii="Arial" w:cs="Arial" w:eastAsia="Arial" w:hAnsi="Arial"/>
          <w:sz w:val="17"/>
          <w:szCs w:val="17"/>
          <w:color w:val="auto"/>
        </w:rPr>
        <w:t>All potential and actual conflicts of interest or material transactions or relationships that reasonably could be expected to give rise to such a conflict or the appearance of such a conflict must be promptly communicated to the employee’s supervisor or human resources representative. Employees should take care to report conflicts to a person who they believe is not involved in the matter giving rise to the conflict. If a director believes he or she has an actual or potential conflict of interest with CLPS, the director should notify the Chief Financial Officer and the Chairman of the Audit Committee (or any successor committee thereto) as promptly as practicable. The director should not participate in any decision by the Board of Directors, or any Committee of the Board of Directors, that in any way relates to the matter that gives rise to the conflict of interest or potential conflict of interest until the issue has been resolved to the satisfaction of the Chairman of the Audit Committee or the entire Board of Directors. Any employee who has a doubt about whether a conflict of interest exists after consulting this provision of the Code, should contact their human resources representative or, so that he or she can be assisted in making that determination.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Quality of Disclosures</w:t>
      </w:r>
    </w:p>
    <w:p>
      <w:pPr>
        <w:spacing w:after="0" w:line="225" w:lineRule="exact"/>
        <w:rPr>
          <w:sz w:val="20"/>
          <w:szCs w:val="20"/>
          <w:color w:val="auto"/>
        </w:rPr>
      </w:pPr>
    </w:p>
    <w:p>
      <w:pPr>
        <w:ind w:right="220" w:firstLine="647"/>
        <w:spacing w:after="0" w:line="259" w:lineRule="auto"/>
        <w:rPr>
          <w:sz w:val="20"/>
          <w:szCs w:val="20"/>
          <w:color w:val="auto"/>
        </w:rPr>
      </w:pPr>
      <w:r>
        <w:rPr>
          <w:rFonts w:ascii="Arial" w:cs="Arial" w:eastAsia="Arial" w:hAnsi="Arial"/>
          <w:sz w:val="18"/>
          <w:szCs w:val="18"/>
          <w:color w:val="auto"/>
        </w:rPr>
        <w:t>The US federal and state securities laws impose continuing disclosure requirements on CLPS, and require CLPS to regularly file certain reports with and make certain submissions (the “Reports”) to the Securities and Exchange Commission and the stock exchange on which CLPS’s securities are traded and disseminate them to its shareholders. Such Reports must comply with all applicable legal and exchange requirements and may not contain material misstatements or omit material facts.</w:t>
      </w:r>
    </w:p>
    <w:p>
      <w:pPr>
        <w:spacing w:after="0" w:line="187" w:lineRule="exact"/>
        <w:rPr>
          <w:sz w:val="20"/>
          <w:szCs w:val="20"/>
          <w:color w:val="auto"/>
        </w:rPr>
      </w:pPr>
    </w:p>
    <w:p>
      <w:pPr>
        <w:ind w:right="80" w:firstLine="647"/>
        <w:spacing w:after="0" w:line="257" w:lineRule="auto"/>
        <w:rPr>
          <w:sz w:val="20"/>
          <w:szCs w:val="20"/>
          <w:color w:val="auto"/>
        </w:rPr>
      </w:pPr>
      <w:r>
        <w:rPr>
          <w:rFonts w:ascii="Arial" w:cs="Arial" w:eastAsia="Arial" w:hAnsi="Arial"/>
          <w:sz w:val="18"/>
          <w:szCs w:val="18"/>
          <w:color w:val="auto"/>
        </w:rPr>
        <w:t>All employees, officers and directors directly or indirectly involved in preparing such Reports, any employees, officers or directors who regularly communicate with the press, investors and analysts concerning CLPS, and all representatives who assist CLPS in preparing such Reports and communications, will ensure that such Reports and communications are (i) full, fair, timely, accurate and understandable and (ii) meet all legal requirements. This policy applies to all public disclosure of material information about CLPS, including written disclosures, oral statements, visual presentations, press conferences and media calls.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Protection and Proper Use of CLPS Assets</w:t>
      </w:r>
    </w:p>
    <w:p>
      <w:pPr>
        <w:spacing w:after="0" w:line="225" w:lineRule="exact"/>
        <w:rPr>
          <w:sz w:val="20"/>
          <w:szCs w:val="20"/>
          <w:color w:val="auto"/>
        </w:rPr>
      </w:pPr>
    </w:p>
    <w:p>
      <w:pPr>
        <w:ind w:right="200" w:firstLine="647"/>
        <w:spacing w:after="0" w:line="273" w:lineRule="auto"/>
        <w:rPr>
          <w:sz w:val="20"/>
          <w:szCs w:val="20"/>
          <w:color w:val="auto"/>
        </w:rPr>
      </w:pPr>
      <w:r>
        <w:rPr>
          <w:rFonts w:ascii="Arial" w:cs="Arial" w:eastAsia="Arial" w:hAnsi="Arial"/>
          <w:sz w:val="17"/>
          <w:szCs w:val="17"/>
          <w:color w:val="auto"/>
        </w:rPr>
        <w:t>Proper and efficient use of assets of CLPS, suppliers, customers and others, such as electronic communication systems, vehicles, cell phones, information (proprietary or otherwise), facilities and equipment, as well as intangible assets, is the responsibility of each employee, officer and director. Employees, officers and directors must not inappropriately use such assets for non-CLPS business or personal profit for themselves or others unless such use is permitted under an approved written policy, compensation or expense reimbursement program. In addition, employees, officers and directors must act in a manner to protect CLPS assets from loss, damage, misuse, theft, removal and waste. Finally, employees, officers and directors must ensure that such assets are used only for legitimate business purposes.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209" w:name="page210"/>
    <w:bookmarkEnd w:id="209"/>
    <w:p>
      <w:pPr>
        <w:ind w:left="660"/>
        <w:spacing w:after="0"/>
        <w:rPr>
          <w:sz w:val="20"/>
          <w:szCs w:val="20"/>
          <w:color w:val="auto"/>
        </w:rPr>
      </w:pPr>
      <w:r>
        <w:rPr>
          <w:rFonts w:ascii="Arial" w:cs="Arial" w:eastAsia="Arial" w:hAnsi="Arial"/>
          <w:sz w:val="18"/>
          <w:szCs w:val="18"/>
          <w:u w:val="single" w:color="auto"/>
          <w:color w:val="auto"/>
        </w:rPr>
        <w:t>Reporting of any Illegal or Unethical Behavior</w:t>
      </w:r>
    </w:p>
    <w:p>
      <w:pPr>
        <w:spacing w:after="0" w:line="225" w:lineRule="exact"/>
        <w:rPr>
          <w:sz w:val="20"/>
          <w:szCs w:val="20"/>
          <w:color w:val="auto"/>
        </w:rPr>
      </w:pPr>
    </w:p>
    <w:p>
      <w:pPr>
        <w:ind w:firstLine="647"/>
        <w:spacing w:after="0" w:line="275" w:lineRule="auto"/>
        <w:rPr>
          <w:sz w:val="20"/>
          <w:szCs w:val="20"/>
          <w:color w:val="auto"/>
        </w:rPr>
      </w:pPr>
      <w:r>
        <w:rPr>
          <w:rFonts w:ascii="Arial" w:cs="Arial" w:eastAsia="Arial" w:hAnsi="Arial"/>
          <w:sz w:val="17"/>
          <w:szCs w:val="17"/>
          <w:color w:val="auto"/>
        </w:rPr>
        <w:t>Any employee who is aware of any illegal or unethical behavior or who believes that an applicable law, rule or regulation or the Code has been violated, must promptly report the matter to his or her supervisor. If this does not result in a satisfactory conclusion, or if the supervisor is the subject matter of the report, the employee should contact his or her Human Resources representative. Finally, if the matter is not resolved, the employee should contact the Chief Financial Officer or Chief Executive Officer. Additionally, employees are encouraged to email address to [_] to report any ethics violation. Due to the sensitive nature of the reporting, calls to the hot line can be made anonymously.</w:t>
      </w:r>
    </w:p>
    <w:p>
      <w:pPr>
        <w:spacing w:after="0" w:line="176" w:lineRule="exact"/>
        <w:rPr>
          <w:sz w:val="20"/>
          <w:szCs w:val="20"/>
          <w:color w:val="auto"/>
        </w:rPr>
      </w:pPr>
    </w:p>
    <w:p>
      <w:pPr>
        <w:ind w:right="60" w:firstLine="647"/>
        <w:spacing w:after="0" w:line="301" w:lineRule="auto"/>
        <w:rPr>
          <w:sz w:val="20"/>
          <w:szCs w:val="20"/>
          <w:color w:val="auto"/>
        </w:rPr>
      </w:pPr>
      <w:r>
        <w:rPr>
          <w:rFonts w:ascii="Arial" w:cs="Arial" w:eastAsia="Arial" w:hAnsi="Arial"/>
          <w:sz w:val="16"/>
          <w:szCs w:val="16"/>
          <w:color w:val="auto"/>
        </w:rPr>
        <w:t>In addition, an employee who has a concern about CLPS’s accounting practices, internal controls or auditing matters, should follow the same reporting procedures outlined above, provided that to the extent such concerns involve the Chief Financial Officer, the employee should not contact such officer. Employees should take care to report violations to a person who they believe is not involved in the matter giving rise to the violation. All reports of violations will be promptly investigated and, if appropriate, remedied, and if legally required, immediately reported to the proper governmental authority.</w:t>
      </w:r>
    </w:p>
    <w:p>
      <w:pPr>
        <w:spacing w:after="0" w:line="157" w:lineRule="exact"/>
        <w:rPr>
          <w:sz w:val="20"/>
          <w:szCs w:val="20"/>
          <w:color w:val="auto"/>
        </w:rPr>
      </w:pPr>
    </w:p>
    <w:p>
      <w:pPr>
        <w:ind w:right="20" w:firstLine="647"/>
        <w:spacing w:after="0" w:line="259" w:lineRule="auto"/>
        <w:rPr>
          <w:sz w:val="20"/>
          <w:szCs w:val="20"/>
          <w:color w:val="auto"/>
        </w:rPr>
      </w:pPr>
      <w:r>
        <w:rPr>
          <w:rFonts w:ascii="Arial" w:cs="Arial" w:eastAsia="Arial" w:hAnsi="Arial"/>
          <w:sz w:val="18"/>
          <w:szCs w:val="18"/>
          <w:color w:val="auto"/>
        </w:rPr>
        <w:t>Employees will be expected to cooperate in assuring that violations of the Code are promptly addressed. CLPS will protect confidentiality of those making reports of possible misconduct to the maximum extent possible, consistent with the requirements necessary to conduct an effective investigation and the law. Any form of retaliation against someone for reporting an activity that he or she in good faith believes to be a violation of any law, rule, regulation, or this Code will not be tolerated.</w:t>
      </w:r>
    </w:p>
    <w:p>
      <w:pPr>
        <w:spacing w:after="0" w:line="187" w:lineRule="exact"/>
        <w:rPr>
          <w:sz w:val="20"/>
          <w:szCs w:val="20"/>
          <w:color w:val="auto"/>
        </w:rPr>
      </w:pPr>
    </w:p>
    <w:p>
      <w:pPr>
        <w:ind w:right="720" w:firstLine="647"/>
        <w:spacing w:after="0" w:line="277" w:lineRule="auto"/>
        <w:rPr>
          <w:sz w:val="20"/>
          <w:szCs w:val="20"/>
          <w:color w:val="auto"/>
        </w:rPr>
      </w:pPr>
      <w:r>
        <w:rPr>
          <w:rFonts w:ascii="Arial" w:cs="Arial" w:eastAsia="Arial" w:hAnsi="Arial"/>
          <w:sz w:val="18"/>
          <w:szCs w:val="18"/>
          <w:color w:val="auto"/>
        </w:rPr>
        <w:t>Any supervisor or other employee intimidating or imposing sanctions on an employee for reporting a matter will be disciplined up to and including termination.</w:t>
      </w:r>
    </w:p>
    <w:p>
      <w:pPr>
        <w:spacing w:after="0" w:line="170" w:lineRule="exact"/>
        <w:rPr>
          <w:sz w:val="20"/>
          <w:szCs w:val="20"/>
          <w:color w:val="auto"/>
        </w:rPr>
      </w:pPr>
    </w:p>
    <w:p>
      <w:pPr>
        <w:jc w:val="both"/>
        <w:ind w:right="220" w:firstLine="647"/>
        <w:spacing w:after="0" w:line="286" w:lineRule="auto"/>
        <w:rPr>
          <w:sz w:val="20"/>
          <w:szCs w:val="20"/>
          <w:color w:val="auto"/>
        </w:rPr>
      </w:pPr>
      <w:r>
        <w:rPr>
          <w:rFonts w:ascii="Arial" w:cs="Arial" w:eastAsia="Arial" w:hAnsi="Arial"/>
          <w:sz w:val="17"/>
          <w:szCs w:val="17"/>
          <w:color w:val="auto"/>
        </w:rPr>
        <w:t>It is illegal to retaliate against a person, including any action regarding his employment, for providing truthful information to a law enforcement officer relating to the possible commission of any federal offense. CLPS encourages employees to report any retaliation for reporting violations of law to their human resources representative or the Chief Financial Officer in addition to the appropriate government authorities.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Responding to Improper Conduct</w:t>
      </w:r>
    </w:p>
    <w:p>
      <w:pPr>
        <w:spacing w:after="0" w:line="225" w:lineRule="exact"/>
        <w:rPr>
          <w:sz w:val="20"/>
          <w:szCs w:val="20"/>
          <w:color w:val="auto"/>
        </w:rPr>
      </w:pPr>
    </w:p>
    <w:p>
      <w:pPr>
        <w:jc w:val="both"/>
        <w:ind w:right="440" w:firstLine="647"/>
        <w:spacing w:after="0" w:line="311" w:lineRule="auto"/>
        <w:rPr>
          <w:sz w:val="20"/>
          <w:szCs w:val="20"/>
          <w:color w:val="auto"/>
        </w:rPr>
      </w:pPr>
      <w:r>
        <w:rPr>
          <w:rFonts w:ascii="Arial" w:cs="Arial" w:eastAsia="Arial" w:hAnsi="Arial"/>
          <w:sz w:val="16"/>
          <w:szCs w:val="16"/>
          <w:color w:val="auto"/>
        </w:rPr>
        <w:t>This Code will be enforced on a uniform basis for everyone, without regard to an employee’s position within CLPS. If an employee violates CLPS’s Code, he or she will be subject to disciplinary action. Supervisors and managers of a disciplined employee may also be subject to disciplinary action for their failure to properly oversee an employee’s conduct, or for retaliation against an employee who reports a violation(s).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10" w:name="page211"/>
    <w:bookmarkEnd w:id="210"/>
    <w:p>
      <w:pPr>
        <w:ind w:right="40" w:firstLine="647"/>
        <w:spacing w:after="0" w:line="259" w:lineRule="auto"/>
        <w:rPr>
          <w:sz w:val="20"/>
          <w:szCs w:val="20"/>
          <w:color w:val="auto"/>
        </w:rPr>
      </w:pPr>
      <w:r>
        <w:rPr>
          <w:rFonts w:ascii="Arial" w:cs="Arial" w:eastAsia="Arial" w:hAnsi="Arial"/>
          <w:sz w:val="18"/>
          <w:szCs w:val="18"/>
          <w:color w:val="auto"/>
        </w:rPr>
        <w:t>CLPS’s response to misconduct will depend upon a number of factors, including whether the improper behavior involved illegal conduct. Disciplinary action may include, but is not limited to, reprimands and warnings, probation, suspension, demotion, reassignment, reduction in salary or immediate termination. Employees should be aware that certain actions and omissions prohibited by the Code might be crimes that could lead to individual criminal prosecution and, upon conviction, to fines and imprisonment.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Employment Practices/ Equal Employment Opportunity</w:t>
      </w:r>
    </w:p>
    <w:p>
      <w:pPr>
        <w:spacing w:after="0" w:line="225" w:lineRule="exact"/>
        <w:rPr>
          <w:sz w:val="20"/>
          <w:szCs w:val="20"/>
          <w:color w:val="auto"/>
        </w:rPr>
      </w:pPr>
    </w:p>
    <w:p>
      <w:pPr>
        <w:ind w:firstLine="647"/>
        <w:spacing w:after="0" w:line="301" w:lineRule="auto"/>
        <w:rPr>
          <w:sz w:val="20"/>
          <w:szCs w:val="20"/>
          <w:color w:val="auto"/>
        </w:rPr>
      </w:pPr>
      <w:r>
        <w:rPr>
          <w:rFonts w:ascii="Arial" w:cs="Arial" w:eastAsia="Arial" w:hAnsi="Arial"/>
          <w:sz w:val="16"/>
          <w:szCs w:val="16"/>
          <w:color w:val="auto"/>
        </w:rPr>
        <w:t>CLPS strives to maintain a workplace free of discrimination or harassment. This includes, but is not limited to, discrimination or harassment based on race, color, sex, national origin, religion, age, sexual orientation, veteran status or disability. Retaliation against employees who report such conduct is illegal and will not be tolerated. CLPS also strives to provide a safe working environment for all of its employees. Employees are encouraged to provide any thoughts or ideas on how to improve workplace safety by contacting your supervisor or your respective safety representative.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Waivers</w:t>
      </w:r>
    </w:p>
    <w:p>
      <w:pPr>
        <w:spacing w:after="0" w:line="225" w:lineRule="exact"/>
        <w:rPr>
          <w:sz w:val="20"/>
          <w:szCs w:val="20"/>
          <w:color w:val="auto"/>
        </w:rPr>
      </w:pPr>
    </w:p>
    <w:p>
      <w:pPr>
        <w:ind w:right="180" w:firstLine="647"/>
        <w:spacing w:after="0" w:line="311" w:lineRule="auto"/>
        <w:rPr>
          <w:sz w:val="20"/>
          <w:szCs w:val="20"/>
          <w:color w:val="auto"/>
        </w:rPr>
      </w:pPr>
      <w:r>
        <w:rPr>
          <w:rFonts w:ascii="Arial" w:cs="Arial" w:eastAsia="Arial" w:hAnsi="Arial"/>
          <w:sz w:val="16"/>
          <w:szCs w:val="16"/>
          <w:color w:val="auto"/>
        </w:rPr>
        <w:t>Employees, officers and directors should understand that waivers or exceptions to our Code will be granted only in advance and only under exceptional circumstances. A waiver of this Code for any executive officer or director may be made only by the Board of Directors or a committee of the Board of Directors and must be promptly disclosed to shareholders in accordance with applicable law and exchange requirements.</w:t>
      </w: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62" w:right="35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81"/>
        </w:trPr>
        <w:tc>
          <w:tcPr>
            <w:tcW w:w="8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2"/>
          </w:tcPr>
          <w:p>
            <w:pPr>
              <w:ind w:left="1460"/>
              <w:spacing w:after="0"/>
              <w:rPr>
                <w:sz w:val="20"/>
                <w:szCs w:val="20"/>
                <w:color w:val="auto"/>
              </w:rPr>
            </w:pPr>
            <w:r>
              <w:rPr>
                <w:rFonts w:ascii="Arial" w:cs="Arial" w:eastAsia="Arial" w:hAnsi="Arial"/>
                <w:sz w:val="22"/>
                <w:szCs w:val="22"/>
                <w:b w:val="1"/>
                <w:bCs w:val="1"/>
                <w:color w:val="auto"/>
                <w:w w:val="91"/>
              </w:rPr>
              <w:t>Exhibit 21.1</w:t>
            </w:r>
          </w:p>
        </w:tc>
        <w:tc>
          <w:tcPr>
            <w:tcW w:w="0" w:type="dxa"/>
            <w:vAlign w:val="bottom"/>
          </w:tcPr>
          <w:p>
            <w:pPr>
              <w:spacing w:after="0"/>
              <w:rPr>
                <w:sz w:val="1"/>
                <w:szCs w:val="1"/>
                <w:color w:val="auto"/>
              </w:rPr>
            </w:pPr>
          </w:p>
        </w:tc>
      </w:tr>
      <w:tr>
        <w:trPr>
          <w:trHeight w:val="469"/>
        </w:trPr>
        <w:tc>
          <w:tcPr>
            <w:tcW w:w="8440" w:type="dxa"/>
            <w:vAlign w:val="bottom"/>
          </w:tcPr>
          <w:p>
            <w:pPr>
              <w:spacing w:after="0"/>
              <w:rPr>
                <w:sz w:val="20"/>
                <w:szCs w:val="20"/>
                <w:color w:val="auto"/>
              </w:rPr>
            </w:pPr>
            <w:r>
              <w:rPr>
                <w:rFonts w:ascii="Arial" w:cs="Arial" w:eastAsia="Arial" w:hAnsi="Arial"/>
                <w:sz w:val="18"/>
                <w:szCs w:val="18"/>
                <w:b w:val="1"/>
                <w:bCs w:val="1"/>
                <w:color w:val="auto"/>
              </w:rPr>
              <w:t>Name of the Entity</w:t>
            </w:r>
          </w:p>
        </w:tc>
        <w:tc>
          <w:tcPr>
            <w:tcW w:w="2820" w:type="dxa"/>
            <w:vAlign w:val="bottom"/>
            <w:gridSpan w:val="3"/>
          </w:tcPr>
          <w:p>
            <w:pPr>
              <w:ind w:left="220"/>
              <w:spacing w:after="0"/>
              <w:rPr>
                <w:sz w:val="20"/>
                <w:szCs w:val="20"/>
                <w:color w:val="auto"/>
              </w:rPr>
            </w:pPr>
            <w:r>
              <w:rPr>
                <w:rFonts w:ascii="Arial" w:cs="Arial" w:eastAsia="Arial" w:hAnsi="Arial"/>
                <w:sz w:val="18"/>
                <w:szCs w:val="18"/>
                <w:b w:val="1"/>
                <w:bCs w:val="1"/>
                <w:color w:val="auto"/>
              </w:rPr>
              <w:t>Jurisdiction</w:t>
            </w:r>
          </w:p>
        </w:tc>
        <w:tc>
          <w:tcPr>
            <w:tcW w:w="0" w:type="dxa"/>
            <w:vAlign w:val="bottom"/>
          </w:tcPr>
          <w:p>
            <w:pPr>
              <w:spacing w:after="0"/>
              <w:rPr>
                <w:sz w:val="1"/>
                <w:szCs w:val="1"/>
                <w:color w:val="auto"/>
              </w:rPr>
            </w:pPr>
          </w:p>
        </w:tc>
      </w:tr>
      <w:tr>
        <w:trPr>
          <w:trHeight w:val="216"/>
        </w:trPr>
        <w:tc>
          <w:tcPr>
            <w:tcW w:w="8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Qinheng Co., Limited</w:t>
            </w:r>
          </w:p>
        </w:tc>
        <w:tc>
          <w:tcPr>
            <w:tcW w:w="2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Hong Kong</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Qiner Co., Limited</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CLIVST Ltd.</w:t>
            </w:r>
          </w:p>
        </w:tc>
        <w:tc>
          <w:tcPr>
            <w:tcW w:w="2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British Virgin Islands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FDT-CL Financial Technology Services Limited</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JQ Technology Co., Limited</w:t>
            </w:r>
          </w:p>
        </w:tc>
        <w:tc>
          <w:tcPr>
            <w:tcW w:w="2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JIALIN Technology Limited</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Taiwan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Shanghai Qincheng Information Technology Co., Ltd.</w:t>
            </w:r>
          </w:p>
        </w:tc>
        <w:tc>
          <w:tcPr>
            <w:tcW w:w="2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ChinaLink Professional Services Co., Ltd.</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PRC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CLPS Dalian Co., Ltd.</w:t>
            </w:r>
          </w:p>
        </w:tc>
        <w:tc>
          <w:tcPr>
            <w:tcW w:w="2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CLPS Ruicheng Co., Ltd.</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PRC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CLPS Beijing Hengtong Co., Ltd.</w:t>
            </w:r>
          </w:p>
        </w:tc>
        <w:tc>
          <w:tcPr>
            <w:tcW w:w="2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Judge (Shanghai) Co., Ltd.</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PRC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Judge (Shanghai) Human Resource Co., Ltd.</w:t>
            </w:r>
          </w:p>
        </w:tc>
        <w:tc>
          <w:tcPr>
            <w:tcW w:w="2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CLPS Technology (Australia) Pty. Ltd.</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CLPS Technology (Singapore) Pte. Ltd.</w:t>
            </w:r>
          </w:p>
        </w:tc>
        <w:tc>
          <w:tcPr>
            <w:tcW w:w="2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CLPS Technology (HK) Co., Ltd.</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CLPS Shenzhen Co., Ltd.</w:t>
            </w:r>
          </w:p>
        </w:tc>
        <w:tc>
          <w:tcPr>
            <w:tcW w:w="2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Tianjin Huanyu Qinshang Network Technology Co., Ltd.</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PRC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CLPS Guangzhou Co., Ltd.</w:t>
            </w:r>
          </w:p>
        </w:tc>
        <w:tc>
          <w:tcPr>
            <w:tcW w:w="2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165735</wp:posOffset>
            </wp:positionV>
            <wp:extent cx="3214370" cy="5746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21437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consent to the inclusion in this Registration Statement of CLPS Incorporation on Form F-1 of our report dated December 8, 2017, with respect to our audits of CLPS Incorporation and Subsidiaries as of June 30, 2017 and 2016, and the related consolidated statements of income and comprehensive income, changes in shareholders’ equity and cash flows for the years then ended. We also consent to the reference to our Firm under the heading “Experts” in the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280035</wp:posOffset>
            </wp:positionV>
            <wp:extent cx="5366385" cy="5226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366385" cy="52260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OF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EMBERSHIP</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Audit Committee (the “</w:t>
      </w:r>
      <w:r>
        <w:rPr>
          <w:rFonts w:ascii="Arial" w:cs="Arial" w:eastAsia="Arial" w:hAnsi="Arial"/>
          <w:sz w:val="18"/>
          <w:szCs w:val="18"/>
          <w:b w:val="1"/>
          <w:bCs w:val="1"/>
          <w:color w:val="auto"/>
        </w:rPr>
        <w:t>Committee</w:t>
      </w:r>
      <w:r>
        <w:rPr>
          <w:rFonts w:ascii="Arial" w:cs="Arial" w:eastAsia="Arial" w:hAnsi="Arial"/>
          <w:sz w:val="18"/>
          <w:szCs w:val="18"/>
          <w:color w:val="auto"/>
        </w:rPr>
        <w:t>”)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CLPS Incorporation (the “</w:t>
      </w:r>
      <w:r>
        <w:rPr>
          <w:rFonts w:ascii="Arial" w:cs="Arial" w:eastAsia="Arial" w:hAnsi="Arial"/>
          <w:sz w:val="18"/>
          <w:szCs w:val="18"/>
          <w:b w:val="1"/>
          <w:bCs w:val="1"/>
          <w:color w:val="auto"/>
        </w:rPr>
        <w:t>Company</w:t>
      </w:r>
      <w:r>
        <w:rPr>
          <w:rFonts w:ascii="Arial" w:cs="Arial" w:eastAsia="Arial" w:hAnsi="Arial"/>
          <w:sz w:val="18"/>
          <w:szCs w:val="18"/>
          <w:color w:val="auto"/>
        </w:rPr>
        <w:t>”) shall consist of three or more directors. Each member of the Committee shall be independent in accordance with the requirements of Rule 10A-3 of the Securities Exchange Act of 1934, as amended, and the rules of the Nasdaq Stock Market. No member of the Committee can have participated in the preparation of the Company’s or any of its subsidiaries’ financial statements at any time during the past three years.</w:t>
      </w:r>
    </w:p>
    <w:p>
      <w:pPr>
        <w:spacing w:after="0" w:line="184"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Each member of the Committee must be able to read and understand fundamental financial statements, including the Company’s balance sheet, income statement and cash flow statement. At least one member of the Committee must have past employment experience in finance or accounting, requisite professional certification in accounting or other comparable experience or background that leads to financial sophistication. At least one member of the Committee must be an “audit committee financial expert” as defined in Item 407(d)(5)(ii) of Regulation S-K. A person who satisfies this definition of audit committee financial expert will also be presumed to have financial sophistication.</w:t>
      </w:r>
    </w:p>
    <w:p>
      <w:pPr>
        <w:spacing w:after="0" w:line="17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members of the Committee shall be appointed by the Board based on recommendations from the nominating and corporate governance committee of the Board. The members of the Committee shall serve for such term or terms as the Board may determine or until earlier resignation or death. The Board may remove any member from the Committee at any time with or without cause.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URPOSE</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primary purpose of the Committee is to oversee the quality and integrity of the Company’s accounting and financial reporting processes and the audit of the Company’s financial statements. To fulfill this obligation, the Committee relies on:</w:t>
      </w:r>
    </w:p>
    <w:p>
      <w:pPr>
        <w:spacing w:after="0" w:line="170" w:lineRule="exact"/>
        <w:rPr>
          <w:sz w:val="20"/>
          <w:szCs w:val="20"/>
          <w:color w:val="auto"/>
        </w:rPr>
      </w:pPr>
    </w:p>
    <w:p>
      <w:pPr>
        <w:ind w:left="1380" w:hanging="630"/>
        <w:spacing w:after="0"/>
        <w:tabs>
          <w:tab w:leader="none" w:pos="13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management for the preparation and accuracy of the Company’s financial statements;</w:t>
      </w:r>
    </w:p>
    <w:p>
      <w:pPr>
        <w:spacing w:after="0" w:line="252" w:lineRule="exact"/>
        <w:rPr>
          <w:rFonts w:ascii="Arial" w:cs="Arial" w:eastAsia="Arial" w:hAnsi="Arial"/>
          <w:sz w:val="18"/>
          <w:szCs w:val="18"/>
          <w:color w:val="auto"/>
        </w:rPr>
      </w:pPr>
    </w:p>
    <w:p>
      <w:pPr>
        <w:ind w:left="1380" w:right="80" w:hanging="630"/>
        <w:spacing w:after="0" w:line="277" w:lineRule="auto"/>
        <w:tabs>
          <w:tab w:leader="none" w:pos="13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management for establishing effective internal controls and procedures to ensure the Company’s compliance with accounting standards, financial reporting procedures and applicable laws and regulations;</w:t>
      </w:r>
    </w:p>
    <w:p>
      <w:pPr>
        <w:spacing w:after="0" w:line="197" w:lineRule="exact"/>
        <w:rPr>
          <w:rFonts w:ascii="Arial" w:cs="Arial" w:eastAsia="Arial" w:hAnsi="Arial"/>
          <w:sz w:val="18"/>
          <w:szCs w:val="18"/>
          <w:color w:val="auto"/>
        </w:rPr>
      </w:pPr>
    </w:p>
    <w:p>
      <w:pPr>
        <w:ind w:left="1380" w:hanging="630"/>
        <w:spacing w:after="0"/>
        <w:tabs>
          <w:tab w:leader="none" w:pos="13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management for establishing an effective anti-fraud program; and</w:t>
      </w:r>
    </w:p>
    <w:p>
      <w:pPr>
        <w:spacing w:after="0" w:line="225" w:lineRule="exact"/>
        <w:rPr>
          <w:rFonts w:ascii="Arial" w:cs="Arial" w:eastAsia="Arial" w:hAnsi="Arial"/>
          <w:sz w:val="18"/>
          <w:szCs w:val="18"/>
          <w:color w:val="auto"/>
        </w:rPr>
      </w:pPr>
    </w:p>
    <w:p>
      <w:pPr>
        <w:ind w:left="1380" w:hanging="630"/>
        <w:spacing w:after="0"/>
        <w:tabs>
          <w:tab w:leader="none" w:pos="13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Company’s independent auditors for an unbiased, diligent audit or review, as applicable, of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UTIES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ESPONSIBILITIES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Committee shall have the following authority and responsibilities:</w:t>
      </w:r>
    </w:p>
    <w:p>
      <w:pPr>
        <w:spacing w:after="0" w:line="225" w:lineRule="exact"/>
        <w:rPr>
          <w:sz w:val="20"/>
          <w:szCs w:val="20"/>
          <w:color w:val="auto"/>
        </w:rPr>
      </w:pPr>
    </w:p>
    <w:p>
      <w:pPr>
        <w:ind w:left="1380" w:right="180" w:hanging="630"/>
        <w:spacing w:after="0" w:line="257" w:lineRule="auto"/>
        <w:tabs>
          <w:tab w:leader="none" w:pos="13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(a) select and retain an independent registered public accounting firm to act as the Company’s independent auditors for the purpose of auditing the Company’s annual financial statements, books, records, and accounts, (b) set the compensation of the Company’s independent auditors, (c) oversee the work done by the Company’s independent auditors, (d) terminate the Company’s independent auditors, if necessary, and (e) perform an annual evaluation of the performance of the independent auditors. The independent auditors shall report directly to the Committee.</w:t>
      </w:r>
    </w:p>
    <w:p>
      <w:pPr>
        <w:spacing w:after="0" w:line="187" w:lineRule="exact"/>
        <w:rPr>
          <w:rFonts w:ascii="Arial" w:cs="Arial" w:eastAsia="Arial" w:hAnsi="Arial"/>
          <w:sz w:val="18"/>
          <w:szCs w:val="18"/>
          <w:color w:val="auto"/>
        </w:rPr>
      </w:pPr>
    </w:p>
    <w:p>
      <w:pPr>
        <w:jc w:val="both"/>
        <w:ind w:left="1380" w:right="200" w:hanging="630"/>
        <w:spacing w:after="0" w:line="342" w:lineRule="auto"/>
        <w:tabs>
          <w:tab w:leader="none" w:pos="13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To select, retain, compensate, oversee and terminate, if necessary, any other registered public accounting firm engaged for the purpose of preparing or issuing a report on the Company’s internal controls, or perform other audit, review or attest services for the Company.</w:t>
      </w:r>
    </w:p>
    <w:p>
      <w:pPr>
        <w:spacing w:after="0" w:line="123" w:lineRule="exact"/>
        <w:rPr>
          <w:rFonts w:ascii="Arial" w:cs="Arial" w:eastAsia="Arial" w:hAnsi="Arial"/>
          <w:sz w:val="16"/>
          <w:szCs w:val="16"/>
          <w:color w:val="auto"/>
        </w:rPr>
      </w:pPr>
    </w:p>
    <w:p>
      <w:pPr>
        <w:ind w:left="1380" w:right="20" w:hanging="630"/>
        <w:spacing w:after="0" w:line="263" w:lineRule="auto"/>
        <w:tabs>
          <w:tab w:leader="none" w:pos="13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pre-approve all audit and permitted non-audit and tax services that may be provided by the Company’s independent auditors, and to establish such policies and procedures as the Committee deems necessary for the Committee’s pre- approval of permitted services by the Company’s independent auditors.</w:t>
      </w:r>
    </w:p>
    <w:p>
      <w:pPr>
        <w:spacing w:after="0" w:line="183" w:lineRule="exact"/>
        <w:rPr>
          <w:rFonts w:ascii="Arial" w:cs="Arial" w:eastAsia="Arial" w:hAnsi="Arial"/>
          <w:sz w:val="18"/>
          <w:szCs w:val="18"/>
          <w:color w:val="auto"/>
        </w:rPr>
      </w:pPr>
    </w:p>
    <w:p>
      <w:pPr>
        <w:ind w:left="1380" w:hanging="630"/>
        <w:spacing w:after="0" w:line="259" w:lineRule="auto"/>
        <w:tabs>
          <w:tab w:leader="none" w:pos="13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At least annually, to obtain and review a formal written statement by the Company’s independent auditors that describes all relationships between the firm and the Company or any of its subsidiaries, consistent with Independence Standards Board Standard 1; and to actively engage in a dialogue with the independent auditors with respect to any disclosed relationships or services that may impact the objectivity and independence of the independent auditors.</w:t>
      </w:r>
    </w:p>
    <w:p>
      <w:pPr>
        <w:spacing w:after="0" w:line="186" w:lineRule="exact"/>
        <w:rPr>
          <w:rFonts w:ascii="Arial" w:cs="Arial" w:eastAsia="Arial" w:hAnsi="Arial"/>
          <w:sz w:val="18"/>
          <w:szCs w:val="18"/>
          <w:color w:val="auto"/>
        </w:rPr>
      </w:pPr>
    </w:p>
    <w:p>
      <w:pPr>
        <w:ind w:left="1380" w:hanging="630"/>
        <w:spacing w:after="0"/>
        <w:tabs>
          <w:tab w:leader="none" w:pos="13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assure the required rotation of the lead audit partner at the Company’s independent auditors.</w:t>
      </w:r>
    </w:p>
    <w:p>
      <w:pPr>
        <w:spacing w:after="0" w:line="225" w:lineRule="exact"/>
        <w:rPr>
          <w:rFonts w:ascii="Arial" w:cs="Arial" w:eastAsia="Arial" w:hAnsi="Arial"/>
          <w:sz w:val="18"/>
          <w:szCs w:val="18"/>
          <w:color w:val="auto"/>
        </w:rPr>
      </w:pPr>
    </w:p>
    <w:p>
      <w:pPr>
        <w:ind w:left="1380" w:hanging="630"/>
        <w:spacing w:after="0"/>
        <w:tabs>
          <w:tab w:leader="none" w:pos="13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To review and discuss with the Company’s independent auditors (a) all critical accounting policies and practices used by the Company;</w:t>
      </w:r>
    </w:p>
    <w:p>
      <w:pPr>
        <w:spacing w:after="0" w:line="46" w:lineRule="exact"/>
        <w:rPr>
          <w:rFonts w:ascii="Arial" w:cs="Arial" w:eastAsia="Arial" w:hAnsi="Arial"/>
          <w:sz w:val="16"/>
          <w:szCs w:val="16"/>
          <w:color w:val="auto"/>
        </w:rPr>
      </w:pPr>
    </w:p>
    <w:p>
      <w:pPr>
        <w:ind w:left="1380" w:right="200" w:firstLine="5"/>
        <w:spacing w:after="0" w:line="277" w:lineRule="auto"/>
        <w:tabs>
          <w:tab w:leader="none" w:pos="1635" w:val="left"/>
        </w:tabs>
        <w:numPr>
          <w:ilvl w:val="1"/>
          <w:numId w:val="224"/>
        </w:numPr>
        <w:rPr>
          <w:rFonts w:ascii="Arial" w:cs="Arial" w:eastAsia="Arial" w:hAnsi="Arial"/>
          <w:sz w:val="17"/>
          <w:szCs w:val="17"/>
          <w:color w:val="auto"/>
        </w:rPr>
      </w:pPr>
      <w:r>
        <w:rPr>
          <w:rFonts w:ascii="Arial" w:cs="Arial" w:eastAsia="Arial" w:hAnsi="Arial"/>
          <w:sz w:val="17"/>
          <w:szCs w:val="17"/>
          <w:color w:val="auto"/>
        </w:rPr>
        <w:t>all alternative treatments of financial information within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that have been discussed with management, the ramifications of the use of such alternative treatments and the treatment preferred by the independent auditors; and (c) other material written communications between the independent auditors and management.</w:t>
      </w:r>
    </w:p>
    <w:p>
      <w:pPr>
        <w:spacing w:after="0" w:line="172" w:lineRule="exact"/>
        <w:rPr>
          <w:rFonts w:ascii="Arial" w:cs="Arial" w:eastAsia="Arial" w:hAnsi="Arial"/>
          <w:sz w:val="17"/>
          <w:szCs w:val="17"/>
          <w:color w:val="auto"/>
        </w:rPr>
      </w:pPr>
    </w:p>
    <w:p>
      <w:pPr>
        <w:ind w:left="1380" w:right="640" w:hanging="630"/>
        <w:spacing w:after="0" w:line="277" w:lineRule="auto"/>
        <w:tabs>
          <w:tab w:leader="none" w:pos="13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To review and discuss with the Company’s independent auditors any other matters required to be discussed by </w:t>
      </w:r>
      <w:r>
        <w:rPr>
          <w:rFonts w:ascii="Arial" w:cs="Arial" w:eastAsia="Arial" w:hAnsi="Arial"/>
          <w:sz w:val="18"/>
          <w:szCs w:val="18"/>
          <w:i w:val="1"/>
          <w:iCs w:val="1"/>
          <w:color w:val="auto"/>
        </w:rPr>
        <w:t>PCAOB Auditing</w:t>
      </w:r>
      <w:r>
        <w:rPr>
          <w:rFonts w:ascii="Arial" w:cs="Arial" w:eastAsia="Arial" w:hAnsi="Arial"/>
          <w:sz w:val="18"/>
          <w:szCs w:val="18"/>
          <w:color w:val="auto"/>
        </w:rPr>
        <w:t xml:space="preserve"> </w:t>
      </w:r>
      <w:r>
        <w:rPr>
          <w:rFonts w:ascii="Arial" w:cs="Arial" w:eastAsia="Arial" w:hAnsi="Arial"/>
          <w:sz w:val="18"/>
          <w:szCs w:val="18"/>
          <w:i w:val="1"/>
          <w:iCs w:val="1"/>
          <w:color w:val="auto"/>
        </w:rPr>
        <w:t>Standards No. 16, Communications with Audit Committees</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ind w:left="1380" w:right="120" w:hanging="630"/>
        <w:spacing w:after="0" w:line="259" w:lineRule="auto"/>
        <w:tabs>
          <w:tab w:leader="none" w:pos="13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review and discuss with the Company’s independent auditors and management the Company’s annual audited financial statements (including the related notes), the form of audit opinion to be issued by the auditors on the financial statements and the disclosure under “Management’s Discussion and Analysis of Financial Condition and Results of Operations” to be included in the Company’s Annual Report before it is filed.</w:t>
      </w:r>
    </w:p>
    <w:p>
      <w:pPr>
        <w:spacing w:after="0" w:line="186" w:lineRule="exact"/>
        <w:rPr>
          <w:rFonts w:ascii="Arial" w:cs="Arial" w:eastAsia="Arial" w:hAnsi="Arial"/>
          <w:sz w:val="18"/>
          <w:szCs w:val="18"/>
          <w:color w:val="auto"/>
        </w:rPr>
      </w:pPr>
    </w:p>
    <w:p>
      <w:pPr>
        <w:ind w:left="1380" w:right="80" w:hanging="630"/>
        <w:spacing w:after="0" w:line="277" w:lineRule="auto"/>
        <w:tabs>
          <w:tab w:leader="none" w:pos="13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recommend to the Board that the audited financial statements be included in the Company’s Annual Report and to produce the audit committee report required to be included in the Company’s proxy statement.</w:t>
      </w:r>
    </w:p>
    <w:p>
      <w:pPr>
        <w:spacing w:after="0" w:line="170" w:lineRule="exact"/>
        <w:rPr>
          <w:rFonts w:ascii="Arial" w:cs="Arial" w:eastAsia="Arial" w:hAnsi="Arial"/>
          <w:sz w:val="18"/>
          <w:szCs w:val="18"/>
          <w:color w:val="auto"/>
        </w:rPr>
      </w:pPr>
    </w:p>
    <w:p>
      <w:pPr>
        <w:ind w:left="1380" w:right="40" w:hanging="630"/>
        <w:spacing w:after="0" w:line="263" w:lineRule="auto"/>
        <w:tabs>
          <w:tab w:leader="none" w:pos="13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review and discuss with the Company’s independent auditors and management the Company’s quarterly financial statements and the disclosure under “Management’s Discussion and Analysis of Financial Condition and Results of Operations” to be included in the Company’s interim filings before they are filed.</w:t>
      </w:r>
    </w:p>
    <w:p>
      <w:pPr>
        <w:spacing w:after="0" w:line="183" w:lineRule="exact"/>
        <w:rPr>
          <w:rFonts w:ascii="Arial" w:cs="Arial" w:eastAsia="Arial" w:hAnsi="Arial"/>
          <w:sz w:val="18"/>
          <w:szCs w:val="18"/>
          <w:color w:val="auto"/>
        </w:rPr>
      </w:pPr>
    </w:p>
    <w:p>
      <w:pPr>
        <w:ind w:left="1380" w:right="20" w:hanging="630"/>
        <w:spacing w:after="0" w:line="308" w:lineRule="auto"/>
        <w:tabs>
          <w:tab w:leader="none" w:pos="13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To review and discuss with management the Company’s earnings press releases, including the type of information to be included and its presentation and the use of any pro forma or adjusted non-GAAP information, before their release to the public.</w:t>
      </w:r>
    </w:p>
    <w:p>
      <w:pPr>
        <w:spacing w:after="0" w:line="146" w:lineRule="exact"/>
        <w:rPr>
          <w:rFonts w:ascii="Arial" w:cs="Arial" w:eastAsia="Arial" w:hAnsi="Arial"/>
          <w:sz w:val="17"/>
          <w:szCs w:val="17"/>
          <w:color w:val="auto"/>
        </w:rPr>
      </w:pPr>
    </w:p>
    <w:p>
      <w:pPr>
        <w:ind w:left="1380" w:hanging="630"/>
        <w:spacing w:after="0" w:line="263" w:lineRule="auto"/>
        <w:tabs>
          <w:tab w:leader="none" w:pos="13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establish and oversee procedures for: (a) the receipt, retention and treatment of complaints received by the Company regarding accounting, internal accounting controls or auditing matters, and (b) the confidential, anonymous submission by Company employees of concerns regarding questionable accounting or auditing matters.</w:t>
      </w:r>
    </w:p>
    <w:p>
      <w:pPr>
        <w:spacing w:after="0" w:line="183" w:lineRule="exact"/>
        <w:rPr>
          <w:rFonts w:ascii="Arial" w:cs="Arial" w:eastAsia="Arial" w:hAnsi="Arial"/>
          <w:sz w:val="18"/>
          <w:szCs w:val="18"/>
          <w:color w:val="auto"/>
        </w:rPr>
      </w:pPr>
    </w:p>
    <w:p>
      <w:pPr>
        <w:ind w:left="1380" w:hanging="630"/>
        <w:spacing w:after="0"/>
        <w:tabs>
          <w:tab w:leader="none" w:pos="13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review, approve and oversee any transaction between the Company and any related person.</w:t>
      </w:r>
    </w:p>
    <w:p>
      <w:pPr>
        <w:spacing w:after="0" w:line="225" w:lineRule="exact"/>
        <w:rPr>
          <w:rFonts w:ascii="Arial" w:cs="Arial" w:eastAsia="Arial" w:hAnsi="Arial"/>
          <w:sz w:val="18"/>
          <w:szCs w:val="18"/>
          <w:color w:val="auto"/>
        </w:rPr>
      </w:pPr>
    </w:p>
    <w:p>
      <w:pPr>
        <w:ind w:left="1380" w:right="380" w:hanging="630"/>
        <w:spacing w:after="0" w:line="277" w:lineRule="auto"/>
        <w:tabs>
          <w:tab w:leader="none" w:pos="13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review and assess the Company’s financial risk management process, including the adequacy of the company’s overall financial control environment and controls in selected areas representing significant financial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UTSIDE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DVISORS</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Committee shall have the authority, in its sole discretion, to retain and obtain the advice and assistance of independent outside legal counsel and such other advisors as it deems necessary to fulfill its duties and responsibilities under this Charter. The Committee shall set the compensation and oversee the work of any outside legal counsel and other advisors.</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Committee shall receive appropriate funding from the Company, as determined by the Committee in its capacity as a committee of the Board, for the payment of compensation to the Company’s independent auditors, any other accounting firm engaged to perform services for the Company, any outside legal counsel and any other advisors to the Committee.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TRUCTURE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PERATIONS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Board shall designate a member of the Committee as the chairperson. The Committee shall meet no less than four times annually and more frequently as circumstances require. At least quarterly, the meetings of the Committee shall include an executive session of the Committee, absent members of management, and an executive session with the independent auditors. The Committee shall report regularly to the Board regarding its actions and make recommendations to the Board as appropriate. The Committee is governed by the same rules regarding meetings (including meetings in person or by telephone or other similar communications equipment), action without meetings, notice, waiver of notice, and quorum and voting requirements as are applicable to the Board.</w:t>
      </w:r>
    </w:p>
    <w:p>
      <w:pPr>
        <w:spacing w:after="0" w:line="19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chairperson and others on the Committee shall, to the extent appropriate, have contact throughout the year with senior management, other committee chairpersons, and other key Committee advisors, external and internal auditors, etc., as applicable, to strengthen the Committee’s knowledge of relevant current and prospective business issues.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shall review this Charter at least annually and recommend any proposed changes to the Board for approval.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ELEGATION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UTHORITY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Committee shall have the authority to delegate any of its responsibilities, along with the authority to take action in relation to such responsibilities, to one or more subcommittees as the Committee may deem appropriate in its sole discretion. The Chair may represent the entire Committee, as a subcommittee, with respect to functions of the Committee undertaken between meetings. Any actions of a subcommittee shall be presented to the full Committee at its next scheduled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ERFORMANCE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VALUATION</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Committee shall conduct an annual evaluation of the performance of its duties under this Charter and shall present the results of the evaluation to the Board. The Committee shall conduct this evaluation in such manner as it deems appropriate.</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OF THE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EMBERSHIP</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7"/>
          <w:szCs w:val="17"/>
          <w:color w:val="auto"/>
        </w:rPr>
        <w:t>The Compensation Committee (the “</w:t>
      </w:r>
      <w:r>
        <w:rPr>
          <w:rFonts w:ascii="Arial" w:cs="Arial" w:eastAsia="Arial" w:hAnsi="Arial"/>
          <w:sz w:val="17"/>
          <w:szCs w:val="17"/>
          <w:b w:val="1"/>
          <w:bCs w:val="1"/>
          <w:color w:val="auto"/>
        </w:rPr>
        <w:t>Committee</w:t>
      </w:r>
      <w:r>
        <w:rPr>
          <w:rFonts w:ascii="Arial" w:cs="Arial" w:eastAsia="Arial" w:hAnsi="Arial"/>
          <w:sz w:val="17"/>
          <w:szCs w:val="17"/>
          <w:color w:val="auto"/>
        </w:rPr>
        <w:t>”) of the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of CLPS Incorporation (the “</w:t>
      </w:r>
      <w:r>
        <w:rPr>
          <w:rFonts w:ascii="Arial" w:cs="Arial" w:eastAsia="Arial" w:hAnsi="Arial"/>
          <w:sz w:val="17"/>
          <w:szCs w:val="17"/>
          <w:b w:val="1"/>
          <w:bCs w:val="1"/>
          <w:color w:val="auto"/>
        </w:rPr>
        <w:t>Company</w:t>
      </w:r>
      <w:r>
        <w:rPr>
          <w:rFonts w:ascii="Arial" w:cs="Arial" w:eastAsia="Arial" w:hAnsi="Arial"/>
          <w:sz w:val="17"/>
          <w:szCs w:val="17"/>
          <w:color w:val="auto"/>
        </w:rPr>
        <w:t>”) shall consist of three or more directors. Each member of the Committee shall be independent in accordance with the rules of the Nasdaq Stock Market.</w:t>
      </w:r>
    </w:p>
    <w:p>
      <w:pPr>
        <w:spacing w:after="0" w:line="144"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Each member of the Committee must qualify as “non-employee directors” for the purposes of Rule 16b-3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as “outside directors” for the purposes of Section 162(m) of the Internal Revenue Code, as amended.</w:t>
      </w:r>
    </w:p>
    <w:p>
      <w:pPr>
        <w:spacing w:after="0" w:line="12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members of the Committee shall be appointed by the Board based on recommendations from the nominating and corporate governance committee of the Board. The members of the Committee shall serve for such term or terms as the Board may determine or until earlier resignation or death. The Board may remove any member from the Committee at any time with or without cause.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URPOSE</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purpose of the Committee is to carry out the responsibilities delegated by the Board relating to the review and determination of executive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UTIES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ESPONSIBILITIES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shall have the following authority and responsibilities:</w:t>
      </w:r>
    </w:p>
    <w:p>
      <w:pPr>
        <w:spacing w:after="0" w:line="225" w:lineRule="exact"/>
        <w:rPr>
          <w:sz w:val="20"/>
          <w:szCs w:val="20"/>
          <w:color w:val="auto"/>
        </w:rPr>
      </w:pPr>
    </w:p>
    <w:p>
      <w:pPr>
        <w:ind w:left="1160" w:right="180" w:hanging="504"/>
        <w:spacing w:after="0" w:line="273" w:lineRule="auto"/>
        <w:tabs>
          <w:tab w:leader="none" w:pos="11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To annually review and recommend for approval by the Board the corporate goals and objectives applicable to the compensation of the chief executive officer (“</w:t>
      </w:r>
      <w:r>
        <w:rPr>
          <w:rFonts w:ascii="Arial" w:cs="Arial" w:eastAsia="Arial" w:hAnsi="Arial"/>
          <w:sz w:val="17"/>
          <w:szCs w:val="17"/>
          <w:b w:val="1"/>
          <w:bCs w:val="1"/>
          <w:color w:val="auto"/>
        </w:rPr>
        <w:t>CEO</w:t>
      </w:r>
      <w:r>
        <w:rPr>
          <w:rFonts w:ascii="Arial" w:cs="Arial" w:eastAsia="Arial" w:hAnsi="Arial"/>
          <w:sz w:val="17"/>
          <w:szCs w:val="17"/>
          <w:color w:val="auto"/>
        </w:rPr>
        <w:t>”), evaluate at least annually the CEO's performance in light of those goals and objectives, and recommend for approval by the Board, the CEO's compensation level based on this evaluation. In evaluating and determining CEO compensation, to the extent applicable to the Company, the Committee shall consider the results of the most recent shareholder advisory vote on executive compensation (“</w:t>
      </w:r>
      <w:r>
        <w:rPr>
          <w:rFonts w:ascii="Arial" w:cs="Arial" w:eastAsia="Arial" w:hAnsi="Arial"/>
          <w:sz w:val="17"/>
          <w:szCs w:val="17"/>
          <w:b w:val="1"/>
          <w:bCs w:val="1"/>
          <w:color w:val="auto"/>
        </w:rPr>
        <w:t>Say on Pay Vote</w:t>
      </w:r>
      <w:r>
        <w:rPr>
          <w:rFonts w:ascii="Arial" w:cs="Arial" w:eastAsia="Arial" w:hAnsi="Arial"/>
          <w:sz w:val="17"/>
          <w:szCs w:val="17"/>
          <w:color w:val="auto"/>
        </w:rPr>
        <w:t>”) when such vote is required by Section 14A of the Exchange Act. The CEO cannot be present during any voting or deliberations by the Committee on his or her compensation.</w:t>
      </w:r>
    </w:p>
    <w:p>
      <w:pPr>
        <w:spacing w:after="0" w:line="177" w:lineRule="exact"/>
        <w:rPr>
          <w:rFonts w:ascii="Arial" w:cs="Arial" w:eastAsia="Arial" w:hAnsi="Arial"/>
          <w:sz w:val="17"/>
          <w:szCs w:val="17"/>
          <w:color w:val="auto"/>
        </w:rPr>
      </w:pPr>
    </w:p>
    <w:p>
      <w:pPr>
        <w:ind w:left="1160" w:right="540" w:hanging="504"/>
        <w:spacing w:after="0" w:line="342" w:lineRule="auto"/>
        <w:tabs>
          <w:tab w:leader="none" w:pos="11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To review and recommend for approval by the Board the compensation of all other executive officers. In evaluating executive compensation, the Committee shall consider the results of the most recent Say on Pay Vote, to the extent applicable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8" w:name="page219"/>
    <w:bookmarkEnd w:id="218"/>
    <w:p>
      <w:pPr>
        <w:ind w:left="504" w:right="40" w:hanging="504"/>
        <w:spacing w:after="0" w:line="291" w:lineRule="auto"/>
        <w:tabs>
          <w:tab w:leader="none" w:pos="504"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To review, approve and, when appropriate, recommend to the Board for approval, incentive compensation plans and equity-based plans, and where appropriate or required, recommend for approval by the shareholders of the Company, which includes the ability to adopt, amend and terminate such plans. The Committee shall also have the authority to administer the Company's incentive compensation plans and equity-based plans, including designation of the employees to whom the awards are to be granted, the amount of the award or equity to be granted and the terms and conditions applicable to each award or grant, subject to the provisions of each plan. In reviewing and making recommendations regarding incentive compensation plans and equity-based plans, including whether to adopt, amend or terminate any such plans, the Committee shall consider the results of the most recent Say on Pay Vote, to the extent applicable to the Company.</w:t>
      </w:r>
    </w:p>
    <w:p>
      <w:pPr>
        <w:spacing w:after="0" w:line="166" w:lineRule="exact"/>
        <w:rPr>
          <w:rFonts w:ascii="Arial" w:cs="Arial" w:eastAsia="Arial" w:hAnsi="Arial"/>
          <w:sz w:val="16"/>
          <w:szCs w:val="16"/>
          <w:color w:val="auto"/>
        </w:rPr>
      </w:pPr>
    </w:p>
    <w:p>
      <w:pPr>
        <w:ind w:left="504" w:hanging="504"/>
        <w:spacing w:after="0" w:line="301" w:lineRule="auto"/>
        <w:tabs>
          <w:tab w:leader="none" w:pos="504"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To the extent such disclosure is required by the Exchange Act, to review and discuss with management the Company's Compensation Discussion and Analysis (“</w:t>
      </w:r>
      <w:r>
        <w:rPr>
          <w:rFonts w:ascii="Arial" w:cs="Arial" w:eastAsia="Arial" w:hAnsi="Arial"/>
          <w:sz w:val="16"/>
          <w:szCs w:val="16"/>
          <w:b w:val="1"/>
          <w:bCs w:val="1"/>
          <w:color w:val="auto"/>
        </w:rPr>
        <w:t>CD&amp;A</w:t>
      </w:r>
      <w:r>
        <w:rPr>
          <w:rFonts w:ascii="Arial" w:cs="Arial" w:eastAsia="Arial" w:hAnsi="Arial"/>
          <w:sz w:val="16"/>
          <w:szCs w:val="16"/>
          <w:color w:val="auto"/>
        </w:rPr>
        <w:t>”) and the related executive compensation information, recommend that the CD&amp;A and related executive compensation information be included in the Company's Annual Report and proxy statement and produce the compensation committee report on executive officer compensation required to be included in the Company's proxy statement or Annual Report.</w:t>
      </w:r>
    </w:p>
    <w:p>
      <w:pPr>
        <w:spacing w:after="0" w:line="157" w:lineRule="exact"/>
        <w:rPr>
          <w:rFonts w:ascii="Arial" w:cs="Arial" w:eastAsia="Arial" w:hAnsi="Arial"/>
          <w:sz w:val="16"/>
          <w:szCs w:val="16"/>
          <w:color w:val="auto"/>
        </w:rPr>
      </w:pPr>
    </w:p>
    <w:p>
      <w:pPr>
        <w:ind w:left="504" w:right="460" w:hanging="504"/>
        <w:spacing w:after="0" w:line="308" w:lineRule="auto"/>
        <w:tabs>
          <w:tab w:leader="none" w:pos="504"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To review and make recommendations to the Board regarding any employment agreements and any severance arrangements or plans, including any benefits to be provided in connection with a change in control, for the CEO and other executive officers.</w:t>
      </w:r>
    </w:p>
    <w:p>
      <w:pPr>
        <w:spacing w:after="0" w:line="146" w:lineRule="exact"/>
        <w:rPr>
          <w:rFonts w:ascii="Arial" w:cs="Arial" w:eastAsia="Arial" w:hAnsi="Arial"/>
          <w:sz w:val="17"/>
          <w:szCs w:val="17"/>
          <w:color w:val="auto"/>
        </w:rPr>
      </w:pPr>
    </w:p>
    <w:p>
      <w:pPr>
        <w:ind w:left="504" w:right="60" w:hanging="504"/>
        <w:spacing w:after="0" w:line="277" w:lineRule="auto"/>
        <w:tabs>
          <w:tab w:leader="none" w:pos="50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review and discuss annually the Company's compensation arrangements to determine whether they encourage excessive risk-taking and to evaluate compensation policies and practices that could mitigate any such risk.</w:t>
      </w:r>
    </w:p>
    <w:p>
      <w:pPr>
        <w:spacing w:after="0" w:line="170" w:lineRule="exact"/>
        <w:rPr>
          <w:rFonts w:ascii="Arial" w:cs="Arial" w:eastAsia="Arial" w:hAnsi="Arial"/>
          <w:sz w:val="18"/>
          <w:szCs w:val="18"/>
          <w:color w:val="auto"/>
        </w:rPr>
      </w:pPr>
    </w:p>
    <w:p>
      <w:pPr>
        <w:ind w:left="504" w:right="20" w:hanging="504"/>
        <w:spacing w:after="0" w:line="279" w:lineRule="auto"/>
        <w:tabs>
          <w:tab w:leader="none" w:pos="504"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To review and recommend to the Board for approval the frequency with which the Company will conduct Say on Pay Votes, to the extent applicable to the Company, taking into account the results of the most recent shareholder advisory vote on frequency of Say on Pay Votes to the extent applicable to the Company and required by Section 14A of the Exchange Act, and review and approve the proposals regarding the Say on Pay Vote and the frequency of the Say on Pay Vote to be included in the Company's proxy statement.</w:t>
      </w:r>
    </w:p>
    <w:p>
      <w:pPr>
        <w:spacing w:after="0" w:line="171" w:lineRule="exact"/>
        <w:rPr>
          <w:rFonts w:ascii="Arial" w:cs="Arial" w:eastAsia="Arial" w:hAnsi="Arial"/>
          <w:sz w:val="17"/>
          <w:szCs w:val="17"/>
          <w:color w:val="auto"/>
        </w:rPr>
      </w:pPr>
    </w:p>
    <w:p>
      <w:pPr>
        <w:ind w:left="504" w:right="160" w:hanging="504"/>
        <w:spacing w:after="0" w:line="263" w:lineRule="auto"/>
        <w:tabs>
          <w:tab w:leader="none" w:pos="50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Committee shall discuss with the Audit Committee of the Board, the Committee’s assessment of the Company’s performance of its annual objectives for the purpose of confirming the accuracy of the Company's financial statements, including compensation reserves and accruals.</w:t>
      </w:r>
    </w:p>
    <w:p>
      <w:pPr>
        <w:spacing w:after="0" w:line="183" w:lineRule="exact"/>
        <w:rPr>
          <w:rFonts w:ascii="Arial" w:cs="Arial" w:eastAsia="Arial" w:hAnsi="Arial"/>
          <w:sz w:val="18"/>
          <w:szCs w:val="18"/>
          <w:color w:val="auto"/>
        </w:rPr>
      </w:pPr>
    </w:p>
    <w:p>
      <w:pPr>
        <w:ind w:left="504" w:right="80" w:hanging="504"/>
        <w:spacing w:after="0" w:line="277" w:lineRule="auto"/>
        <w:tabs>
          <w:tab w:leader="none" w:pos="50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review director compensation for service on the Board and Board committees at least once a year and to recommend any changes to the Board.</w:t>
      </w: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35" w:right="3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UTSIDE ADVISORS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Committee shall have the authority, in its sole discretion, to select, retain and obtain the advice of a compensation consultant as necessary to assist with the execution of its duties and responsibilities as set forth in this Charter. The Committee shall set the compensation and oversee the work of the compensation consultant. The Committee shall have the authority, in its sole discretion, to retain and obtain the advice and assistance of outside legal counsel and such other advisors as it deems necessary to fulfill its duties and responsibilities under this Charter.</w:t>
      </w:r>
    </w:p>
    <w:p>
      <w:pPr>
        <w:spacing w:after="0" w:line="17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Committee shall set the compensation and oversee the work of its outside legal counsel and other advisors. The Committee shall receive appropriate funding from the Company, as determined by the Committee in its capacity as a committee of the Board, for the payment of compensation to its compensation consultants, outside legal counsel and any other advisors. However, the Committee shall not be required to implement or act consistently with the advice or recommendations of its compensation consultant, outside legal counsel or other advisor to the Committee, and the authority granted in this Charter shall not affect the ability or obligation of the Committee to exercise its own judgment in fulfillment of its duties under this Charter.</w:t>
      </w:r>
    </w:p>
    <w:p>
      <w:pPr>
        <w:spacing w:after="0" w:line="16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Committee may select a compensation consultant, outside legal counsel or other advisors only after taking into consideration all relevant factors, including the following: (i) the provision of other services to the Company by the person that employs the compensation consultant, outside legal counsel or other advisor; (ii) the amount of fees received from the Company by the person that employs the compensation consultant, outside legal counsel or other advisor, as a percentage of the total revenue of the person that employs the compensation consultant, outside legal counsel or other advisor; (iii) the policies and procedures of the person that employs the compensation consultant, outside legal counsel or other advisor that are designed to prevent conflicts of interest; (iv) any business or personal relationship of the compensation consultant, outside legal counsel or other advisor with a member of the compensation committee; (v) any stock of the Company owned by the compensation consultant, outside legal counsel or other advisor; and (vi) any business or personal relationship of the compensation consultant, outside legal counsel, other advisor or the person employing the advisor with an executive officer of the Company. The Committee may retain, or receive advice from, any compensation advisor they prefer, including ones that are not independent, after considering the above factors.</w:t>
      </w:r>
    </w:p>
    <w:p>
      <w:pPr>
        <w:spacing w:after="0" w:line="18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Committee is not required to assess the independence of any compensation consultant or other advisor that acts in a role limited to consulting on any broad-based plan that does not discriminate in scope, terms or operation in favor of executive officers or directors and that is generally available to all salaried employees or providing information that is not customized for a particular company or that is customized based on parameters that are not developed by the consultant or advisor, and about which the consultant or advisor does not provide advice.</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Committee shall evaluate whether any compensation consultant retained or to be retained by it has any conflict of interest in accordance with Item 407(e)(3)(iv) of Regulation S- K.</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TRUCTURE AND OPERATIONS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Board shall designate a member of the Committee as the chairperson. The Committee shall meet as often as it deems necessary to perform its responsibilities. The Committee shall report regularly to the Board regarding its actions and make recommendations to the Board as appropriate. The Committee is governed by the same rules regarding meetings (including meetings in person or by telephone or other similar communications equipment), action without meetings, notice, waiver of notice, and quorum and voting requirements as are applicable to the Board.</w:t>
      </w:r>
    </w:p>
    <w:p>
      <w:pPr>
        <w:spacing w:after="0" w:line="171"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Committee may invite such members of management to its meetings as it deems appropriate. However, the Committee shall meet regularly without such members present, and in all cases the CEO and any other such officers shall not be present at meetings at which their compensation or performance is discussed or determined.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shall review this Charter at least annually and recommend any proposed changes to the Board for approval.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ELEGATION OF AUTHORITY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Committee shall have the authority to delegate any of its responsibilities, along with the authority to take action in relation to such responsibilities, to one or more subcommittees as the Committee may deem appropriate in its sole discretion. The Chair may represent the entire Committee, as a subcommittee, with respect to functions of the Committee undertaken between meetings. Any actions of a subcommittee shall be presented to the full Committee at its next scheduled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ERFORMANCE EVALUATION</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Committee shall conduct an annual evaluation of the performance of its duties under this Charter and shall present the results of the evaluation to the Board. The Committee shall conduct this evaluation in such manner as it deems appropriate.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22"/>
          <w:szCs w:val="22"/>
          <w:b w:val="1"/>
          <w:bCs w:val="1"/>
          <w:color w:val="auto"/>
        </w:rPr>
        <w:t>Exhibit 99.3</w:t>
      </w:r>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CHARTER OF THE NOMINATION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EMBERSHIP</w:t>
      </w:r>
    </w:p>
    <w:p>
      <w:pPr>
        <w:spacing w:after="0" w:line="225"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color w:val="auto"/>
        </w:rPr>
        <w:t>The Nominating Committee (the “</w:t>
      </w:r>
      <w:r>
        <w:rPr>
          <w:rFonts w:ascii="Arial" w:cs="Arial" w:eastAsia="Arial" w:hAnsi="Arial"/>
          <w:sz w:val="17"/>
          <w:szCs w:val="17"/>
          <w:b w:val="1"/>
          <w:bCs w:val="1"/>
          <w:color w:val="auto"/>
        </w:rPr>
        <w:t>Committee</w:t>
      </w:r>
      <w:r>
        <w:rPr>
          <w:rFonts w:ascii="Arial" w:cs="Arial" w:eastAsia="Arial" w:hAnsi="Arial"/>
          <w:sz w:val="17"/>
          <w:szCs w:val="17"/>
          <w:color w:val="auto"/>
        </w:rPr>
        <w:t>”) of the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of CLPS Incorporation (the “</w:t>
      </w:r>
      <w:r>
        <w:rPr>
          <w:rFonts w:ascii="Arial" w:cs="Arial" w:eastAsia="Arial" w:hAnsi="Arial"/>
          <w:sz w:val="17"/>
          <w:szCs w:val="17"/>
          <w:b w:val="1"/>
          <w:bCs w:val="1"/>
          <w:color w:val="auto"/>
        </w:rPr>
        <w:t>Company</w:t>
      </w:r>
      <w:r>
        <w:rPr>
          <w:rFonts w:ascii="Arial" w:cs="Arial" w:eastAsia="Arial" w:hAnsi="Arial"/>
          <w:sz w:val="17"/>
          <w:szCs w:val="17"/>
          <w:color w:val="auto"/>
        </w:rPr>
        <w:t>”) shall consist of three or more directors. Each member of the Committee shall be independent in accordance with the rules of the Nasdaq Stock Market. The members of the Committee shall be appointed by the Board. The members of the Committee shall serve for such term or terms as the Board may determine or until earlier resignation or death. The Board may remove any member from the Committee at any time with or without cause.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URPOSE</w:t>
      </w:r>
    </w:p>
    <w:p>
      <w:pPr>
        <w:spacing w:after="0" w:line="229"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The purpose of the Committee is to carry out the responsibilities delegated by the Board relating to the Company's director nominations process and procedures, developing and maintaining the Company's corporate governance policies and any related matters required by the federal securities laws.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UTIES AND RESPONSIBILITIES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Committee shall have the following authority and responsibilities:</w:t>
      </w:r>
    </w:p>
    <w:p>
      <w:pPr>
        <w:spacing w:after="0" w:line="225" w:lineRule="exact"/>
        <w:rPr>
          <w:sz w:val="20"/>
          <w:szCs w:val="20"/>
          <w:color w:val="auto"/>
        </w:rPr>
      </w:pPr>
    </w:p>
    <w:p>
      <w:pPr>
        <w:ind w:left="1280" w:right="420" w:hanging="630"/>
        <w:spacing w:after="0" w:line="308" w:lineRule="auto"/>
        <w:tabs>
          <w:tab w:leader="none" w:pos="12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To determine the qualifications, qualities, skills, and other expertise required to be a director and to develop, and recommend to the Board for its approval, criteria to be considered in selecting nominees for director (the “</w:t>
      </w:r>
      <w:r>
        <w:rPr>
          <w:rFonts w:ascii="Arial" w:cs="Arial" w:eastAsia="Arial" w:hAnsi="Arial"/>
          <w:sz w:val="17"/>
          <w:szCs w:val="17"/>
          <w:b w:val="1"/>
          <w:bCs w:val="1"/>
          <w:color w:val="auto"/>
        </w:rPr>
        <w:t>Director Criteria</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280" w:right="360" w:hanging="630"/>
        <w:spacing w:after="0" w:line="257" w:lineRule="auto"/>
        <w:tabs>
          <w:tab w:leader="none" w:pos="1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identify and screen individuals qualified to become members of the Board, consistent with the Director Criteria. The Committee shall consider any director candidates recommended by the Company's shareholders pursuant to the procedures set forth in the Company's Memorandum and Articles of Association and proxy statement. The Committee shall also consider any nominations of director candidates validly made by shareholders in accordance with applicable laws, rules and regulations and the provisions of the Company's charter documents.</w:t>
      </w:r>
    </w:p>
    <w:p>
      <w:pPr>
        <w:spacing w:after="0" w:line="187" w:lineRule="exact"/>
        <w:rPr>
          <w:rFonts w:ascii="Arial" w:cs="Arial" w:eastAsia="Arial" w:hAnsi="Arial"/>
          <w:sz w:val="18"/>
          <w:szCs w:val="18"/>
          <w:color w:val="auto"/>
        </w:rPr>
      </w:pPr>
    </w:p>
    <w:p>
      <w:pPr>
        <w:ind w:left="1280" w:right="800" w:hanging="630"/>
        <w:spacing w:after="0" w:line="277" w:lineRule="auto"/>
        <w:tabs>
          <w:tab w:leader="none" w:pos="1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make recommendations to the Board regarding the selection and approval of the nominees for director to be submitted to a shareholder vote at the annual meeting of shareholder.</w:t>
      </w:r>
    </w:p>
    <w:p>
      <w:pPr>
        <w:spacing w:after="0" w:line="170" w:lineRule="exact"/>
        <w:rPr>
          <w:rFonts w:ascii="Arial" w:cs="Arial" w:eastAsia="Arial" w:hAnsi="Arial"/>
          <w:sz w:val="18"/>
          <w:szCs w:val="18"/>
          <w:color w:val="auto"/>
        </w:rPr>
      </w:pPr>
    </w:p>
    <w:p>
      <w:pPr>
        <w:jc w:val="both"/>
        <w:ind w:left="1280" w:hanging="630"/>
        <w:spacing w:after="0" w:line="259" w:lineRule="auto"/>
        <w:tabs>
          <w:tab w:leader="none" w:pos="12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annually review and assess the adequacy of the Company’s corporate governance policies and procedures and the Company’s Code of Ethics, and it shall recommend any proposed changes to the Board for approval. The Committee also shall consider corporate governance issues that arise from time to time and develop appropriate recommendations and policies for the Board regarding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419100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112" w:right="339" w:bottom="1440" w:gutter="0" w:footer="0" w:header="0"/>
        </w:sectPr>
      </w:pPr>
    </w:p>
    <w:bookmarkStart w:id="222" w:name="page223"/>
    <w:bookmarkEnd w:id="222"/>
    <w:p>
      <w:pPr>
        <w:ind w:left="1280" w:right="20" w:hanging="630"/>
        <w:spacing w:after="0" w:line="277" w:lineRule="auto"/>
        <w:tabs>
          <w:tab w:leader="none" w:pos="12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review the Board's committee structure and composition and to make recommendations to the Board regarding the appointment of directors to serve as members of each committee and committee chairperson annually.</w:t>
      </w:r>
    </w:p>
    <w:p>
      <w:pPr>
        <w:spacing w:after="0" w:line="170" w:lineRule="exact"/>
        <w:rPr>
          <w:rFonts w:ascii="Arial" w:cs="Arial" w:eastAsia="Arial" w:hAnsi="Arial"/>
          <w:sz w:val="18"/>
          <w:szCs w:val="18"/>
          <w:color w:val="auto"/>
        </w:rPr>
      </w:pPr>
    </w:p>
    <w:p>
      <w:pPr>
        <w:ind w:left="1280" w:hanging="630"/>
        <w:spacing w:after="0" w:line="308" w:lineRule="auto"/>
        <w:tabs>
          <w:tab w:leader="none" w:pos="128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If a vacancy on the Board and/or any Board committee occurs, to identify and make recommendations to the Board regarding the selection and approval of candidates to fill such vacancy either by election by shareholders or appointment by the Board.</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UTSIDE ADVISORS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Committee shall have the authority, in its sole discretion, to select, retain and obtain the advice of a director search firm as necessary to assist with the execution of its duties and responsibilities as set forth in this Charter. The Committee shall set the compensation and oversee the work of the director search firm. The Committee shall have the authority, in its sole discretion, to retain and obtain the advice and assistance of outside legal counsel and such other advisors as it deems necessary to fulfill its duties and responsibilities under this Charter. The Committee shall set the compensation and oversee the work of its outside legal counsel and other advisors. The Committee shall receive appropriate funding from the Company, as determined by the Committee in its capacity as a committee of the Board, for the payment of compensation to its compensation consultants, outside legal counsel and any other advisors.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TRUCTURE AND OPERATIONS</w:t>
      </w:r>
    </w:p>
    <w:p>
      <w:pPr>
        <w:spacing w:after="0" w:line="229"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Board shall designate a member of the Committee as the chairperson. The Committee shall meet as often as it deems necessary to perform its responsibilities. The Committee shall report regularly to the Board regarding its actions and make recommendations to the Board as appropriate. The Committee is governed by the same rules regarding meetings (including meetings in person or by telephone or other similar communications equipment), action without meetings, notice, waiver of notice, and quorum and voting requirements as are applicable to the Board. The Committee shall review this Charter at least annually and recommend any proposed changes to the Board for approval.</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ELEGATION OF AUTHORITY</w:t>
      </w:r>
    </w:p>
    <w:p>
      <w:pPr>
        <w:spacing w:after="0" w:line="229" w:lineRule="exact"/>
        <w:rPr>
          <w:sz w:val="20"/>
          <w:szCs w:val="20"/>
          <w:color w:val="auto"/>
        </w:rPr>
      </w:pPr>
    </w:p>
    <w:p>
      <w:pPr>
        <w:ind w:right="640" w:firstLine="648"/>
        <w:spacing w:after="0" w:line="259" w:lineRule="auto"/>
        <w:rPr>
          <w:sz w:val="20"/>
          <w:szCs w:val="20"/>
          <w:color w:val="auto"/>
        </w:rPr>
      </w:pPr>
      <w:r>
        <w:rPr>
          <w:rFonts w:ascii="Arial" w:cs="Arial" w:eastAsia="Arial" w:hAnsi="Arial"/>
          <w:sz w:val="18"/>
          <w:szCs w:val="18"/>
          <w:color w:val="auto"/>
        </w:rPr>
        <w:t>The Committee shall have the authority to delegate any of its responsibilities, along with the authority to take action in relation to such responsibilities, to one or more subcommittees as the Committee may deem appropriate in its sole discretion. The Chair may represent the entire Committee, as a subcommittee, with respect to functions of the Committee undertaken between meetings. Any actions of a subcommittee shall be presented to the full Committee at its next scheduled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401955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4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BD8591A"/>
    <w:multiLevelType w:val="hybridMultilevel"/>
    <w:lvl w:ilvl="0">
      <w:lvlJc w:val="left"/>
      <w:lvlText w:val="(%1)"/>
      <w:numFmt w:val="decimal"/>
      <w:start w:val="1"/>
    </w:lvl>
  </w:abstractNum>
  <w:abstractNum w:abstractNumId="1">
    <w:nsid w:val="78DF6A55"/>
    <w:multiLevelType w:val="hybridMultilevel"/>
    <w:lvl w:ilvl="0">
      <w:lvlJc w:val="left"/>
      <w:lvlText w:val="(%1)"/>
      <w:numFmt w:val="decimal"/>
      <w:start w:val="1"/>
    </w:lvl>
  </w:abstractNum>
  <w:abstractNum w:abstractNumId="2">
    <w:nsid w:val="39B7AAA2"/>
    <w:multiLevelType w:val="hybridMultilevel"/>
    <w:lvl w:ilvl="0">
      <w:lvlJc w:val="left"/>
      <w:lvlText w:val="●"/>
      <w:numFmt w:val="bullet"/>
      <w:start w:val="1"/>
    </w:lvl>
    <w:lvl w:ilvl="1">
      <w:lvlJc w:val="left"/>
      <w:lvlText w:val="●"/>
      <w:numFmt w:val="bullet"/>
      <w:start w:val="1"/>
    </w:lvl>
  </w:abstractNum>
  <w:abstractNum w:abstractNumId="3">
    <w:nsid w:val="2B0D8DBE"/>
    <w:multiLevelType w:val="hybridMultilevel"/>
    <w:lvl w:ilvl="0">
      <w:lvlJc w:val="left"/>
      <w:lvlText w:val="&amp;"/>
      <w:numFmt w:val="bullet"/>
      <w:start w:val="1"/>
    </w:lvl>
  </w:abstractNum>
  <w:abstractNum w:abstractNumId="4">
    <w:nsid w:val="6C80EC70"/>
    <w:multiLevelType w:val="hybridMultilevel"/>
    <w:lvl w:ilvl="0">
      <w:lvlJc w:val="left"/>
      <w:lvlText w:val="●"/>
      <w:numFmt w:val="bullet"/>
      <w:start w:val="1"/>
    </w:lvl>
  </w:abstractNum>
  <w:abstractNum w:abstractNumId="5">
    <w:nsid w:val="379E21B5"/>
    <w:multiLevelType w:val="hybridMultilevel"/>
    <w:lvl w:ilvl="0">
      <w:lvlJc w:val="left"/>
      <w:lvlText w:val="●"/>
      <w:numFmt w:val="bullet"/>
      <w:start w:val="1"/>
    </w:lvl>
  </w:abstractNum>
  <w:abstractNum w:abstractNumId="6">
    <w:nsid w:val="69E373"/>
    <w:multiLevelType w:val="hybridMultilevel"/>
    <w:lvl w:ilvl="0">
      <w:lvlJc w:val="left"/>
      <w:lvlText w:val="●"/>
      <w:numFmt w:val="bullet"/>
      <w:start w:val="1"/>
    </w:lvl>
  </w:abstractNum>
  <w:abstractNum w:abstractNumId="7">
    <w:nsid w:val="2C27173B"/>
    <w:multiLevelType w:val="hybridMultilevel"/>
    <w:lvl w:ilvl="0">
      <w:lvlJc w:val="left"/>
      <w:lvlText w:val="●"/>
      <w:numFmt w:val="bullet"/>
      <w:start w:val="1"/>
    </w:lvl>
  </w:abstractNum>
  <w:abstractNum w:abstractNumId="8">
    <w:nsid w:val="4C9B0904"/>
    <w:multiLevelType w:val="hybridMultilevel"/>
    <w:lvl w:ilvl="0">
      <w:lvlJc w:val="left"/>
      <w:lvlText w:val="●"/>
      <w:numFmt w:val="bullet"/>
      <w:start w:val="1"/>
    </w:lvl>
  </w:abstractNum>
  <w:abstractNum w:abstractNumId="9">
    <w:nsid w:val="6AA7B75C"/>
    <w:multiLevelType w:val="hybridMultilevel"/>
    <w:lvl w:ilvl="0">
      <w:lvlJc w:val="left"/>
      <w:lvlText w:val="●"/>
      <w:numFmt w:val="bullet"/>
      <w:start w:val="1"/>
    </w:lvl>
  </w:abstractNum>
  <w:abstractNum w:abstractNumId="10">
    <w:nsid w:val="1DF029D3"/>
    <w:multiLevelType w:val="hybridMultilevel"/>
    <w:lvl w:ilvl="0">
      <w:lvlJc w:val="left"/>
      <w:lvlText w:val="●"/>
      <w:numFmt w:val="bullet"/>
      <w:start w:val="1"/>
    </w:lvl>
  </w:abstractNum>
  <w:abstractNum w:abstractNumId="11">
    <w:nsid w:val="5675FF36"/>
    <w:multiLevelType w:val="hybridMultilevel"/>
    <w:lvl w:ilvl="0">
      <w:lvlJc w:val="left"/>
      <w:lvlText w:val="●"/>
      <w:numFmt w:val="bullet"/>
      <w:start w:val="1"/>
    </w:lvl>
  </w:abstractNum>
  <w:abstractNum w:abstractNumId="12">
    <w:nsid w:val="3DD15094"/>
    <w:multiLevelType w:val="hybridMultilevel"/>
    <w:lvl w:ilvl="0">
      <w:lvlJc w:val="left"/>
      <w:lvlText w:val="●"/>
      <w:numFmt w:val="bullet"/>
      <w:start w:val="1"/>
    </w:lvl>
  </w:abstractNum>
  <w:abstractNum w:abstractNumId="13">
    <w:nsid w:val="3DB012B3"/>
    <w:multiLevelType w:val="hybridMultilevel"/>
    <w:lvl w:ilvl="0">
      <w:lvlJc w:val="left"/>
      <w:lvlText w:val="●"/>
      <w:numFmt w:val="bullet"/>
      <w:start w:val="1"/>
    </w:lvl>
  </w:abstractNum>
  <w:abstractNum w:abstractNumId="14">
    <w:nsid w:val="2708C9AF"/>
    <w:multiLevelType w:val="hybridMultilevel"/>
    <w:lvl w:ilvl="0">
      <w:lvlJc w:val="left"/>
      <w:lvlText w:val="●"/>
      <w:numFmt w:val="bullet"/>
      <w:start w:val="1"/>
    </w:lvl>
  </w:abstractNum>
  <w:abstractNum w:abstractNumId="15">
    <w:nsid w:val="5B25ACE2"/>
    <w:multiLevelType w:val="hybridMultilevel"/>
    <w:lvl w:ilvl="0">
      <w:lvlJc w:val="left"/>
      <w:lvlText w:val="●"/>
      <w:numFmt w:val="bullet"/>
      <w:start w:val="1"/>
    </w:lvl>
  </w:abstractNum>
  <w:abstractNum w:abstractNumId="16">
    <w:nsid w:val="175DFCF0"/>
    <w:multiLevelType w:val="hybridMultilevel"/>
    <w:lvl w:ilvl="0">
      <w:lvlJc w:val="left"/>
      <w:lvlText w:val="●"/>
      <w:numFmt w:val="bullet"/>
      <w:start w:val="1"/>
    </w:lvl>
  </w:abstractNum>
  <w:abstractNum w:abstractNumId="17">
    <w:nsid w:val="4F97E3E4"/>
    <w:multiLevelType w:val="hybridMultilevel"/>
    <w:lvl w:ilvl="0">
      <w:lvlJc w:val="left"/>
      <w:lvlText w:val="(%1)"/>
      <w:numFmt w:val="decimal"/>
      <w:start w:val="1"/>
    </w:lvl>
  </w:abstractNum>
  <w:abstractNum w:abstractNumId="18">
    <w:nsid w:val="53B0A9E"/>
    <w:multiLevelType w:val="hybridMultilevel"/>
    <w:lvl w:ilvl="0">
      <w:lvlJc w:val="left"/>
      <w:lvlText w:val="●"/>
      <w:numFmt w:val="bullet"/>
      <w:start w:val="1"/>
    </w:lvl>
  </w:abstractNum>
  <w:abstractNum w:abstractNumId="19">
    <w:nsid w:val="34FD6B4F"/>
    <w:multiLevelType w:val="hybridMultilevel"/>
    <w:lvl w:ilvl="0">
      <w:lvlJc w:val="left"/>
      <w:lvlText w:val="●"/>
      <w:numFmt w:val="bullet"/>
      <w:start w:val="1"/>
    </w:lvl>
  </w:abstractNum>
  <w:abstractNum w:abstractNumId="20">
    <w:nsid w:val="5915FF32"/>
    <w:multiLevelType w:val="hybridMultilevel"/>
    <w:lvl w:ilvl="0">
      <w:lvlJc w:val="left"/>
      <w:lvlText w:val="●"/>
      <w:numFmt w:val="bullet"/>
      <w:start w:val="1"/>
    </w:lvl>
  </w:abstractNum>
  <w:abstractNum w:abstractNumId="21">
    <w:nsid w:val="56438D15"/>
    <w:multiLevelType w:val="hybridMultilevel"/>
    <w:lvl w:ilvl="0">
      <w:lvlJc w:val="left"/>
      <w:lvlText w:val="*"/>
      <w:numFmt w:val="bullet"/>
      <w:start w:val="1"/>
    </w:lvl>
  </w:abstractNum>
  <w:abstractNum w:abstractNumId="22">
    <w:nsid w:val="519E3149"/>
    <w:multiLevelType w:val="hybridMultilevel"/>
    <w:lvl w:ilvl="0">
      <w:lvlJc w:val="left"/>
      <w:lvlText w:val="●"/>
      <w:numFmt w:val="bullet"/>
      <w:start w:val="1"/>
    </w:lvl>
  </w:abstractNum>
  <w:abstractNum w:abstractNumId="23">
    <w:nsid w:val="2C6E4AFD"/>
    <w:multiLevelType w:val="hybridMultilevel"/>
    <w:lvl w:ilvl="0">
      <w:lvlJc w:val="left"/>
      <w:lvlText w:val="●"/>
      <w:numFmt w:val="bullet"/>
      <w:start w:val="1"/>
    </w:lvl>
  </w:abstractNum>
  <w:abstractNum w:abstractNumId="24">
    <w:nsid w:val="17A1B582"/>
    <w:multiLevelType w:val="hybridMultilevel"/>
    <w:lvl w:ilvl="0">
      <w:lvlJc w:val="left"/>
      <w:lvlText w:val="%1."/>
      <w:numFmt w:val="decimal"/>
      <w:start w:val="1"/>
    </w:lvl>
  </w:abstractNum>
  <w:abstractNum w:abstractNumId="25">
    <w:nsid w:val="4DF72E4E"/>
    <w:multiLevelType w:val="hybridMultilevel"/>
    <w:lvl w:ilvl="0">
      <w:lvlJc w:val="left"/>
      <w:lvlText w:val="●"/>
      <w:numFmt w:val="bullet"/>
      <w:start w:val="1"/>
    </w:lvl>
  </w:abstractNum>
  <w:abstractNum w:abstractNumId="26">
    <w:nsid w:val="5046B5A9"/>
    <w:multiLevelType w:val="hybridMultilevel"/>
    <w:lvl w:ilvl="0">
      <w:lvlJc w:val="left"/>
      <w:lvlText w:val="●"/>
      <w:numFmt w:val="bullet"/>
      <w:start w:val="1"/>
    </w:lvl>
  </w:abstractNum>
  <w:abstractNum w:abstractNumId="27">
    <w:nsid w:val="5D888A08"/>
    <w:multiLevelType w:val="hybridMultilevel"/>
    <w:lvl w:ilvl="0">
      <w:lvlJc w:val="left"/>
      <w:lvlText w:val="●"/>
      <w:numFmt w:val="bullet"/>
      <w:start w:val="1"/>
    </w:lvl>
  </w:abstractNum>
  <w:abstractNum w:abstractNumId="28">
    <w:nsid w:val="2A082C70"/>
    <w:multiLevelType w:val="hybridMultilevel"/>
    <w:lvl w:ilvl="0">
      <w:lvlJc w:val="left"/>
      <w:lvlText w:val="●"/>
      <w:numFmt w:val="bullet"/>
      <w:start w:val="1"/>
    </w:lvl>
  </w:abstractNum>
  <w:abstractNum w:abstractNumId="29">
    <w:nsid w:val="5EC6AFD4"/>
    <w:multiLevelType w:val="hybridMultilevel"/>
    <w:lvl w:ilvl="0">
      <w:lvlJc w:val="left"/>
      <w:lvlText w:val="●"/>
      <w:numFmt w:val="bullet"/>
      <w:start w:val="1"/>
    </w:lvl>
  </w:abstractNum>
  <w:abstractNum w:abstractNumId="30">
    <w:nsid w:val="19E21BB2"/>
    <w:multiLevelType w:val="hybridMultilevel"/>
    <w:lvl w:ilvl="0">
      <w:lvlJc w:val="left"/>
      <w:lvlText w:val="●"/>
      <w:numFmt w:val="bullet"/>
      <w:start w:val="1"/>
    </w:lvl>
  </w:abstractNum>
  <w:abstractNum w:abstractNumId="31">
    <w:nsid w:val="75E0858A"/>
    <w:multiLevelType w:val="hybridMultilevel"/>
    <w:lvl w:ilvl="0">
      <w:lvlJc w:val="left"/>
      <w:lvlText w:val="●"/>
      <w:numFmt w:val="bullet"/>
      <w:start w:val="1"/>
    </w:lvl>
  </w:abstractNum>
  <w:abstractNum w:abstractNumId="32">
    <w:nsid w:val="57A61A29"/>
    <w:multiLevelType w:val="hybridMultilevel"/>
    <w:lvl w:ilvl="0">
      <w:lvlJc w:val="left"/>
      <w:lvlText w:val="●"/>
      <w:numFmt w:val="bullet"/>
      <w:start w:val="1"/>
    </w:lvl>
  </w:abstractNum>
  <w:abstractNum w:abstractNumId="33">
    <w:nsid w:val="5399C654"/>
    <w:multiLevelType w:val="hybridMultilevel"/>
    <w:lvl w:ilvl="0">
      <w:lvlJc w:val="left"/>
      <w:lvlText w:val="●"/>
      <w:numFmt w:val="bullet"/>
      <w:start w:val="1"/>
    </w:lvl>
  </w:abstractNum>
  <w:abstractNum w:abstractNumId="34">
    <w:nsid w:val="20EE1348"/>
    <w:multiLevelType w:val="hybridMultilevel"/>
    <w:lvl w:ilvl="0">
      <w:lvlJc w:val="left"/>
      <w:lvlText w:val="●"/>
      <w:numFmt w:val="bullet"/>
      <w:start w:val="1"/>
    </w:lvl>
  </w:abstractNum>
  <w:abstractNum w:abstractNumId="35">
    <w:nsid w:val="4427069A"/>
    <w:multiLevelType w:val="hybridMultilevel"/>
    <w:lvl w:ilvl="0">
      <w:lvlJc w:val="left"/>
      <w:lvlText w:val="*"/>
      <w:numFmt w:val="bullet"/>
      <w:start w:val="1"/>
    </w:lvl>
  </w:abstractNum>
  <w:abstractNum w:abstractNumId="36">
    <w:nsid w:val="B37E80A"/>
    <w:multiLevelType w:val="hybridMultilevel"/>
    <w:lvl w:ilvl="0">
      <w:lvlJc w:val="left"/>
      <w:lvlText w:val="(%1)"/>
      <w:numFmt w:val="decimal"/>
      <w:start w:val="1"/>
    </w:lvl>
  </w:abstractNum>
  <w:abstractNum w:abstractNumId="37">
    <w:nsid w:val="2157F6BC"/>
    <w:multiLevelType w:val="hybridMultilevel"/>
    <w:lvl w:ilvl="0">
      <w:lvlJc w:val="left"/>
      <w:lvlText w:val="●"/>
      <w:numFmt w:val="bullet"/>
      <w:start w:val="1"/>
    </w:lvl>
  </w:abstractNum>
  <w:abstractNum w:abstractNumId="38">
    <w:nsid w:val="704E1DD5"/>
    <w:multiLevelType w:val="hybridMultilevel"/>
    <w:lvl w:ilvl="0">
      <w:lvlJc w:val="left"/>
      <w:lvlText w:val="●"/>
      <w:numFmt w:val="bullet"/>
      <w:start w:val="1"/>
    </w:lvl>
  </w:abstractNum>
  <w:abstractNum w:abstractNumId="39">
    <w:nsid w:val="57D2F10E"/>
    <w:multiLevelType w:val="hybridMultilevel"/>
    <w:lvl w:ilvl="0">
      <w:lvlJc w:val="left"/>
      <w:lvlText w:val="●"/>
      <w:numFmt w:val="bullet"/>
      <w:start w:val="1"/>
    </w:lvl>
  </w:abstractNum>
  <w:abstractNum w:abstractNumId="40">
    <w:nsid w:val="BFFAE18"/>
    <w:multiLevelType w:val="hybridMultilevel"/>
    <w:lvl w:ilvl="0">
      <w:lvlJc w:val="left"/>
      <w:lvlText w:val="●"/>
      <w:numFmt w:val="bullet"/>
      <w:start w:val="1"/>
    </w:lvl>
  </w:abstractNum>
  <w:abstractNum w:abstractNumId="41">
    <w:nsid w:val="E3E47A8"/>
    <w:multiLevelType w:val="hybridMultilevel"/>
    <w:lvl w:ilvl="0">
      <w:lvlJc w:val="left"/>
      <w:lvlText w:val="●"/>
      <w:numFmt w:val="bullet"/>
      <w:start w:val="1"/>
    </w:lvl>
  </w:abstractNum>
  <w:abstractNum w:abstractNumId="42">
    <w:nsid w:val="2E48F044"/>
    <w:multiLevelType w:val="hybridMultilevel"/>
    <w:lvl w:ilvl="0">
      <w:lvlJc w:val="left"/>
      <w:lvlText w:val="(%1)"/>
      <w:numFmt w:val="decimal"/>
      <w:start w:val="1"/>
    </w:lvl>
  </w:abstractNum>
  <w:abstractNum w:abstractNumId="43">
    <w:nsid w:val="49D0FEAC"/>
    <w:multiLevelType w:val="hybridMultilevel"/>
    <w:lvl w:ilvl="0">
      <w:lvlJc w:val="left"/>
      <w:lvlText w:val="(%1)"/>
      <w:numFmt w:val="lowerRoman"/>
      <w:start w:val="1"/>
    </w:lvl>
  </w:abstractNum>
  <w:abstractNum w:abstractNumId="44">
    <w:nsid w:val="4BEE5A5B"/>
    <w:multiLevelType w:val="hybridMultilevel"/>
    <w:lvl w:ilvl="0">
      <w:lvlJc w:val="left"/>
      <w:lvlText w:val="●"/>
      <w:numFmt w:val="bullet"/>
      <w:start w:val="1"/>
    </w:lvl>
  </w:abstractNum>
  <w:abstractNum w:abstractNumId="45">
    <w:nsid w:val="5551B9F3"/>
    <w:multiLevelType w:val="hybridMultilevel"/>
    <w:lvl w:ilvl="0">
      <w:lvlJc w:val="left"/>
      <w:lvlText w:val="*"/>
      <w:numFmt w:val="bullet"/>
      <w:start w:val="1"/>
    </w:lvl>
  </w:abstractNum>
  <w:abstractNum w:abstractNumId="46">
    <w:nsid w:val="24F6AB8E"/>
    <w:multiLevelType w:val="hybridMultilevel"/>
    <w:lvl w:ilvl="0">
      <w:lvlJc w:val="left"/>
      <w:lvlText w:val="(%1)"/>
      <w:numFmt w:val="decimal"/>
      <w:start w:val="1"/>
    </w:lvl>
  </w:abstractNum>
  <w:abstractNum w:abstractNumId="47">
    <w:nsid w:val="634C574C"/>
    <w:multiLevelType w:val="hybridMultilevel"/>
    <w:lvl w:ilvl="0">
      <w:lvlJc w:val="left"/>
      <w:lvlText w:val="●"/>
      <w:numFmt w:val="bullet"/>
      <w:start w:val="1"/>
    </w:lvl>
  </w:abstractNum>
  <w:abstractNum w:abstractNumId="48">
    <w:nsid w:val="24E99DD7"/>
    <w:multiLevelType w:val="hybridMultilevel"/>
    <w:lvl w:ilvl="0">
      <w:lvlJc w:val="left"/>
      <w:lvlText w:val="●"/>
      <w:numFmt w:val="bullet"/>
      <w:start w:val="1"/>
    </w:lvl>
  </w:abstractNum>
  <w:abstractNum w:abstractNumId="49">
    <w:nsid w:val="2A31B62D"/>
    <w:multiLevelType w:val="hybridMultilevel"/>
    <w:lvl w:ilvl="0">
      <w:lvlJc w:val="left"/>
      <w:lvlText w:val="●"/>
      <w:numFmt w:val="bullet"/>
      <w:start w:val="1"/>
    </w:lvl>
  </w:abstractNum>
  <w:abstractNum w:abstractNumId="50">
    <w:nsid w:val="1849C29B"/>
    <w:multiLevelType w:val="hybridMultilevel"/>
    <w:lvl w:ilvl="0">
      <w:lvlJc w:val="left"/>
      <w:lvlText w:val="●"/>
      <w:numFmt w:val="bullet"/>
      <w:start w:val="1"/>
    </w:lvl>
  </w:abstractNum>
  <w:abstractNum w:abstractNumId="51">
    <w:nsid w:val="7DFF9D09"/>
    <w:multiLevelType w:val="hybridMultilevel"/>
    <w:lvl w:ilvl="0">
      <w:lvlJc w:val="left"/>
      <w:lvlText w:val="●"/>
      <w:numFmt w:val="bullet"/>
      <w:start w:val="1"/>
    </w:lvl>
  </w:abstractNum>
  <w:abstractNum w:abstractNumId="52">
    <w:nsid w:val="754342"/>
    <w:multiLevelType w:val="hybridMultilevel"/>
    <w:lvl w:ilvl="0">
      <w:lvlJc w:val="left"/>
      <w:lvlText w:val="●"/>
      <w:numFmt w:val="bullet"/>
      <w:start w:val="1"/>
    </w:lvl>
  </w:abstractNum>
  <w:abstractNum w:abstractNumId="53">
    <w:nsid w:val="69E7F3E5"/>
    <w:multiLevelType w:val="hybridMultilevel"/>
    <w:lvl w:ilvl="0">
      <w:lvlJc w:val="left"/>
      <w:lvlText w:val="●"/>
      <w:numFmt w:val="bullet"/>
      <w:start w:val="1"/>
    </w:lvl>
  </w:abstractNum>
  <w:abstractNum w:abstractNumId="54">
    <w:nsid w:val="2A6DE806"/>
    <w:multiLevelType w:val="hybridMultilevel"/>
    <w:lvl w:ilvl="0">
      <w:lvlJc w:val="left"/>
      <w:lvlText w:val="●"/>
      <w:numFmt w:val="bullet"/>
      <w:start w:val="1"/>
    </w:lvl>
  </w:abstractNum>
  <w:abstractNum w:abstractNumId="55">
    <w:nsid w:val="1816F8C4"/>
    <w:multiLevelType w:val="hybridMultilevel"/>
    <w:lvl w:ilvl="0">
      <w:lvlJc w:val="left"/>
      <w:lvlText w:val="●"/>
      <w:numFmt w:val="bullet"/>
      <w:start w:val="1"/>
    </w:lvl>
  </w:abstractNum>
  <w:abstractNum w:abstractNumId="56">
    <w:nsid w:val="37DF2233"/>
    <w:multiLevelType w:val="hybridMultilevel"/>
    <w:lvl w:ilvl="0">
      <w:lvlJc w:val="left"/>
      <w:lvlText w:val="●"/>
      <w:numFmt w:val="bullet"/>
      <w:start w:val="1"/>
    </w:lvl>
  </w:abstractNum>
  <w:abstractNum w:abstractNumId="57">
    <w:nsid w:val="7AB49DAF"/>
    <w:multiLevelType w:val="hybridMultilevel"/>
    <w:lvl w:ilvl="0">
      <w:lvlJc w:val="left"/>
      <w:lvlText w:val="●"/>
      <w:numFmt w:val="bullet"/>
      <w:start w:val="1"/>
    </w:lvl>
  </w:abstractNum>
  <w:abstractNum w:abstractNumId="58">
    <w:nsid w:val="759F82CD"/>
    <w:multiLevelType w:val="hybridMultilevel"/>
    <w:lvl w:ilvl="0">
      <w:lvlJc w:val="left"/>
      <w:lvlText w:val="%1."/>
      <w:numFmt w:val="decimal"/>
      <w:start w:val="1"/>
    </w:lvl>
  </w:abstractNum>
  <w:abstractNum w:abstractNumId="59">
    <w:nsid w:val="61E74EA3"/>
    <w:multiLevelType w:val="hybridMultilevel"/>
    <w:lvl w:ilvl="0">
      <w:lvlJc w:val="left"/>
      <w:lvlText w:val="-"/>
      <w:numFmt w:val="bullet"/>
      <w:start w:val="1"/>
    </w:lvl>
  </w:abstractNum>
  <w:abstractNum w:abstractNumId="60">
    <w:nsid w:val="597B4D84"/>
    <w:multiLevelType w:val="hybridMultilevel"/>
    <w:lvl w:ilvl="0">
      <w:lvlJc w:val="left"/>
      <w:lvlText w:val="-"/>
      <w:numFmt w:val="bullet"/>
      <w:start w:val="1"/>
    </w:lvl>
  </w:abstractNum>
  <w:abstractNum w:abstractNumId="61">
    <w:nsid w:val="F819E7F"/>
    <w:multiLevelType w:val="hybridMultilevel"/>
    <w:lvl w:ilvl="0">
      <w:lvlJc w:val="left"/>
      <w:lvlText w:val="(%1)"/>
      <w:numFmt w:val="lowerRoman"/>
      <w:start w:val="1"/>
    </w:lvl>
  </w:abstractNum>
  <w:abstractNum w:abstractNumId="62">
    <w:nsid w:val="57C7D42D"/>
    <w:multiLevelType w:val="hybridMultilevel"/>
    <w:lvl w:ilvl="0">
      <w:lvlJc w:val="left"/>
      <w:lvlText w:val="(%1)"/>
      <w:numFmt w:val="lowerLetter"/>
      <w:start w:val="1"/>
    </w:lvl>
  </w:abstractNum>
  <w:abstractNum w:abstractNumId="63">
    <w:nsid w:val="312167AD"/>
    <w:multiLevelType w:val="hybridMultilevel"/>
    <w:lvl w:ilvl="0">
      <w:lvlJc w:val="left"/>
      <w:lvlText w:val="*"/>
      <w:numFmt w:val="bullet"/>
      <w:start w:val="1"/>
    </w:lvl>
  </w:abstractNum>
  <w:abstractNum w:abstractNumId="64">
    <w:nsid w:val="631B64D4"/>
    <w:multiLevelType w:val="hybridMultilevel"/>
    <w:lvl w:ilvl="0">
      <w:lvlJc w:val="left"/>
      <w:lvlText w:val="(%1)"/>
      <w:numFmt w:val="lowerLetter"/>
      <w:start w:val="1"/>
    </w:lvl>
  </w:abstractNum>
  <w:abstractNum w:abstractNumId="65">
    <w:nsid w:val="78B5E776"/>
    <w:multiLevelType w:val="hybridMultilevel"/>
    <w:lvl w:ilvl="0">
      <w:lvlJc w:val="left"/>
      <w:lvlText w:val="(%1)"/>
      <w:numFmt w:val="lowerRoman"/>
      <w:start w:val="1"/>
    </w:lvl>
  </w:abstractNum>
  <w:abstractNum w:abstractNumId="66">
    <w:nsid w:val="75486E47"/>
    <w:multiLevelType w:val="hybridMultilevel"/>
    <w:lvl w:ilvl="0">
      <w:lvlJc w:val="left"/>
      <w:lvlText w:val="(%1)"/>
      <w:numFmt w:val="lowerRoman"/>
      <w:start w:val="3"/>
    </w:lvl>
  </w:abstractNum>
  <w:abstractNum w:abstractNumId="67">
    <w:nsid w:val="6E534CDE"/>
    <w:multiLevelType w:val="hybridMultilevel"/>
    <w:lvl w:ilvl="0">
      <w:lvlJc w:val="left"/>
      <w:lvlText w:val="(%1)"/>
      <w:numFmt w:val="lowerLetter"/>
      <w:start w:val="2"/>
    </w:lvl>
  </w:abstractNum>
  <w:abstractNum w:abstractNumId="68">
    <w:nsid w:val="1A0DDE32"/>
    <w:multiLevelType w:val="hybridMultilevel"/>
    <w:lvl w:ilvl="0">
      <w:lvlJc w:val="left"/>
      <w:lvlText w:val="(%1)"/>
      <w:numFmt w:val="lowerRoman"/>
      <w:start w:val="1"/>
    </w:lvl>
  </w:abstractNum>
  <w:abstractNum w:abstractNumId="69">
    <w:nsid w:val="65968C1C"/>
    <w:multiLevelType w:val="hybridMultilevel"/>
    <w:lvl w:ilvl="0">
      <w:lvlJc w:val="left"/>
      <w:lvlText w:val="(%1)"/>
      <w:numFmt w:val="lowerRoman"/>
      <w:start w:val="1"/>
    </w:lvl>
  </w:abstractNum>
  <w:abstractNum w:abstractNumId="70">
    <w:nsid w:val="46263DEC"/>
    <w:multiLevelType w:val="hybridMultilevel"/>
    <w:lvl w:ilvl="0">
      <w:lvlJc w:val="left"/>
      <w:lvlText w:val="1"/>
      <w:numFmt w:val="bullet"/>
      <w:start w:val="1"/>
    </w:lvl>
  </w:abstractNum>
  <w:abstractNum w:abstractNumId="71">
    <w:nsid w:val="260D8C4A"/>
    <w:multiLevelType w:val="hybridMultilevel"/>
    <w:lvl w:ilvl="0">
      <w:lvlJc w:val="left"/>
      <w:lvlText w:val="2"/>
      <w:numFmt w:val="bullet"/>
      <w:start w:val="1"/>
    </w:lvl>
  </w:abstractNum>
  <w:abstractNum w:abstractNumId="72">
    <w:nsid w:val="73D4D3C4"/>
    <w:multiLevelType w:val="hybridMultilevel"/>
    <w:lvl w:ilvl="0">
      <w:lvlJc w:val="left"/>
      <w:lvlText w:val="3"/>
      <w:numFmt w:val="bullet"/>
      <w:start w:val="1"/>
    </w:lvl>
  </w:abstractNum>
  <w:abstractNum w:abstractNumId="73">
    <w:nsid w:val="746F2E30"/>
    <w:multiLevelType w:val="hybridMultilevel"/>
    <w:lvl w:ilvl="0">
      <w:lvlJc w:val="left"/>
      <w:lvlText w:val="4"/>
      <w:numFmt w:val="bullet"/>
      <w:start w:val="1"/>
    </w:lvl>
  </w:abstractNum>
  <w:abstractNum w:abstractNumId="74">
    <w:nsid w:val="6FDE8AF6"/>
    <w:multiLevelType w:val="hybridMultilevel"/>
    <w:lvl w:ilvl="0">
      <w:lvlJc w:val="left"/>
      <w:lvlText w:val="5"/>
      <w:numFmt w:val="bullet"/>
      <w:start w:val="1"/>
    </w:lvl>
    <w:lvl w:ilvl="1">
      <w:lvlJc w:val="left"/>
      <w:lvlText w:val="(%2)"/>
      <w:numFmt w:val="lowerLetter"/>
      <w:start w:val="1"/>
    </w:lvl>
  </w:abstractNum>
  <w:abstractNum w:abstractNumId="75">
    <w:nsid w:val="3FC32E20"/>
    <w:multiLevelType w:val="hybridMultilevel"/>
    <w:lvl w:ilvl="0">
      <w:lvlJc w:val="left"/>
      <w:lvlText w:val="6"/>
      <w:numFmt w:val="bullet"/>
      <w:start w:val="1"/>
    </w:lvl>
  </w:abstractNum>
  <w:abstractNum w:abstractNumId="76">
    <w:nsid w:val="49C0E823"/>
    <w:multiLevelType w:val="hybridMultilevel"/>
    <w:lvl w:ilvl="0">
      <w:lvlJc w:val="left"/>
      <w:lvlText w:val="7"/>
      <w:numFmt w:val="bullet"/>
      <w:start w:val="1"/>
    </w:lvl>
  </w:abstractNum>
  <w:abstractNum w:abstractNumId="77">
    <w:nsid w:val="14D53685"/>
    <w:multiLevelType w:val="hybridMultilevel"/>
    <w:lvl w:ilvl="0">
      <w:lvlJc w:val="left"/>
      <w:lvlText w:val="8"/>
      <w:numFmt w:val="bullet"/>
      <w:start w:val="1"/>
    </w:lvl>
    <w:lvl w:ilvl="1">
      <w:lvlJc w:val="left"/>
      <w:lvlText w:val="(%2)"/>
      <w:numFmt w:val="lowerLetter"/>
      <w:start w:val="1"/>
    </w:lvl>
  </w:abstractNum>
  <w:abstractNum w:abstractNumId="78">
    <w:nsid w:val="230F856C"/>
    <w:multiLevelType w:val="hybridMultilevel"/>
    <w:lvl w:ilvl="0">
      <w:lvlJc w:val="left"/>
      <w:lvlText w:val="9"/>
      <w:numFmt w:val="bullet"/>
      <w:start w:val="1"/>
    </w:lvl>
  </w:abstractNum>
  <w:abstractNum w:abstractNumId="79">
    <w:nsid w:val="6EAA85FB"/>
    <w:multiLevelType w:val="hybridMultilevel"/>
    <w:lvl w:ilvl="0">
      <w:lvlJc w:val="left"/>
      <w:lvlText w:val="1"/>
      <w:numFmt w:val="bullet"/>
      <w:start w:val="1"/>
    </w:lvl>
  </w:abstractNum>
  <w:abstractNum w:abstractNumId="80">
    <w:nsid w:val="3F06ECB2"/>
    <w:multiLevelType w:val="hybridMultilevel"/>
    <w:lvl w:ilvl="0">
      <w:lvlJc w:val="left"/>
      <w:lvlText w:val="(%1)"/>
      <w:numFmt w:val="lowerLetter"/>
      <w:start w:val="1"/>
    </w:lvl>
  </w:abstractNum>
  <w:abstractNum w:abstractNumId="81">
    <w:nsid w:val="3B594807"/>
    <w:multiLevelType w:val="hybridMultilevel"/>
    <w:lvl w:ilvl="0">
      <w:lvlJc w:val="left"/>
      <w:lvlText w:val="(%1)"/>
      <w:numFmt w:val="lowerLetter"/>
      <w:start w:val="1"/>
    </w:lvl>
    <w:lvl w:ilvl="1">
      <w:lvlJc w:val="left"/>
      <w:lvlText w:val="(%2)"/>
      <w:numFmt w:val="lowerLetter"/>
      <w:start w:val="2"/>
    </w:lvl>
  </w:abstractNum>
  <w:abstractNum w:abstractNumId="82">
    <w:nsid w:val="6CAA2304"/>
    <w:multiLevelType w:val="hybridMultilevel"/>
    <w:lvl w:ilvl="0">
      <w:lvlJc w:val="left"/>
      <w:lvlText w:val="(%1)"/>
      <w:numFmt w:val="lowerLetter"/>
      <w:start w:val="1"/>
    </w:lvl>
    <w:lvl w:ilvl="1">
      <w:lvlJc w:val="left"/>
      <w:lvlText w:val="(%2)"/>
      <w:numFmt w:val="lowerLetter"/>
      <w:start w:val="2"/>
    </w:lvl>
  </w:abstractNum>
  <w:abstractNum w:abstractNumId="83">
    <w:nsid w:val="3F7C2FF4"/>
    <w:multiLevelType w:val="hybridMultilevel"/>
    <w:lvl w:ilvl="0">
      <w:lvlJc w:val="left"/>
      <w:lvlText w:val="(%1)"/>
      <w:numFmt w:val="lowerLetter"/>
      <w:start w:val="1"/>
    </w:lvl>
    <w:lvl w:ilvl="1">
      <w:lvlJc w:val="left"/>
      <w:lvlText w:val="(%2)"/>
      <w:numFmt w:val="lowerLetter"/>
      <w:start w:val="2"/>
    </w:lvl>
  </w:abstractNum>
  <w:abstractNum w:abstractNumId="84">
    <w:nsid w:val="25413BEC"/>
    <w:multiLevelType w:val="hybridMultilevel"/>
    <w:lvl w:ilvl="0">
      <w:lvlJc w:val="left"/>
      <w:lvlText w:val="(%1)"/>
      <w:numFmt w:val="lowerLetter"/>
      <w:start w:val="1"/>
    </w:lvl>
    <w:lvl w:ilvl="1">
      <w:lvlJc w:val="left"/>
      <w:lvlText w:val="(%2)"/>
      <w:numFmt w:val="lowerRoman"/>
      <w:start w:val="1"/>
    </w:lvl>
  </w:abstractNum>
  <w:abstractNum w:abstractNumId="85">
    <w:nsid w:val="17180B0B"/>
    <w:multiLevelType w:val="hybridMultilevel"/>
    <w:lvl w:ilvl="0">
      <w:lvlJc w:val="left"/>
      <w:lvlText w:val="(%1)"/>
      <w:numFmt w:val="lowerLetter"/>
      <w:start w:val="2"/>
    </w:lvl>
  </w:abstractNum>
  <w:abstractNum w:abstractNumId="86">
    <w:nsid w:val="579328B9"/>
    <w:multiLevelType w:val="hybridMultilevel"/>
    <w:lvl w:ilvl="0">
      <w:lvlJc w:val="left"/>
      <w:lvlText w:val="2"/>
      <w:numFmt w:val="bullet"/>
      <w:start w:val="1"/>
    </w:lvl>
  </w:abstractNum>
  <w:abstractNum w:abstractNumId="87">
    <w:nsid w:val="5D205E20"/>
    <w:multiLevelType w:val="hybridMultilevel"/>
    <w:lvl w:ilvl="0">
      <w:lvlJc w:val="left"/>
      <w:lvlText w:val="(%1)"/>
      <w:numFmt w:val="lowerLetter"/>
      <w:start w:val="1"/>
    </w:lvl>
  </w:abstractNum>
  <w:abstractNum w:abstractNumId="88">
    <w:nsid w:val="11CCA8BA"/>
    <w:multiLevelType w:val="hybridMultilevel"/>
    <w:lvl w:ilvl="0">
      <w:lvlJc w:val="left"/>
      <w:lvlText w:val="(%1)"/>
      <w:numFmt w:val="lowerLetter"/>
      <w:start w:val="1"/>
    </w:lvl>
  </w:abstractNum>
  <w:abstractNum w:abstractNumId="89">
    <w:nsid w:val="4D32AB86"/>
    <w:multiLevelType w:val="hybridMultilevel"/>
    <w:lvl w:ilvl="0">
      <w:lvlJc w:val="left"/>
      <w:lvlText w:val="(%1)"/>
      <w:numFmt w:val="lowerLetter"/>
      <w:start w:val="1"/>
    </w:lvl>
  </w:abstractNum>
  <w:abstractNum w:abstractNumId="90">
    <w:nsid w:val="3F07ACC3"/>
    <w:multiLevelType w:val="hybridMultilevel"/>
    <w:lvl w:ilvl="0">
      <w:lvlJc w:val="left"/>
      <w:lvlText w:val="(%1)"/>
      <w:numFmt w:val="lowerLetter"/>
      <w:start w:val="1"/>
    </w:lvl>
  </w:abstractNum>
  <w:abstractNum w:abstractNumId="91">
    <w:nsid w:val="6B47F63E"/>
    <w:multiLevelType w:val="hybridMultilevel"/>
    <w:lvl w:ilvl="0">
      <w:lvlJc w:val="left"/>
      <w:lvlText w:val="(%1)"/>
      <w:numFmt w:val="lowerLetter"/>
      <w:start w:val="1"/>
    </w:lvl>
  </w:abstractNum>
  <w:abstractNum w:abstractNumId="92">
    <w:nsid w:val="5CB44A05"/>
    <w:multiLevelType w:val="hybridMultilevel"/>
    <w:lvl w:ilvl="0">
      <w:lvlJc w:val="left"/>
      <w:lvlText w:val="(%1)"/>
      <w:numFmt w:val="lowerLetter"/>
      <w:start w:val="1"/>
    </w:lvl>
    <w:lvl w:ilvl="1">
      <w:lvlJc w:val="left"/>
      <w:lvlText w:val="(%2)"/>
      <w:numFmt w:val="lowerRoman"/>
      <w:start w:val="1"/>
    </w:lvl>
  </w:abstractNum>
  <w:abstractNum w:abstractNumId="93">
    <w:nsid w:val="16CF80F1"/>
    <w:multiLevelType w:val="hybridMultilevel"/>
    <w:lvl w:ilvl="0">
      <w:lvlJc w:val="left"/>
      <w:lvlText w:val="(%1)"/>
      <w:numFmt w:val="lowerLetter"/>
      <w:start w:val="3"/>
    </w:lvl>
  </w:abstractNum>
  <w:abstractNum w:abstractNumId="94">
    <w:nsid w:val="1C695DEC"/>
    <w:multiLevelType w:val="hybridMultilevel"/>
    <w:lvl w:ilvl="0">
      <w:lvlJc w:val="left"/>
      <w:lvlText w:val="(%1)"/>
      <w:numFmt w:val="lowerLetter"/>
      <w:start w:val="1"/>
    </w:lvl>
  </w:abstractNum>
  <w:abstractNum w:abstractNumId="95">
    <w:nsid w:val="3FCFAED9"/>
    <w:multiLevelType w:val="hybridMultilevel"/>
    <w:lvl w:ilvl="0">
      <w:lvlJc w:val="left"/>
      <w:lvlText w:val="(%1)"/>
      <w:numFmt w:val="lowerLetter"/>
      <w:start w:val="1"/>
    </w:lvl>
  </w:abstractNum>
  <w:abstractNum w:abstractNumId="96">
    <w:nsid w:val="F856867"/>
    <w:multiLevelType w:val="hybridMultilevel"/>
    <w:lvl w:ilvl="0">
      <w:lvlJc w:val="left"/>
      <w:lvlText w:val="3"/>
      <w:numFmt w:val="bullet"/>
      <w:start w:val="1"/>
    </w:lvl>
  </w:abstractNum>
  <w:abstractNum w:abstractNumId="97">
    <w:nsid w:val="11B1CC33"/>
    <w:multiLevelType w:val="hybridMultilevel"/>
    <w:lvl w:ilvl="0">
      <w:lvlJc w:val="left"/>
      <w:lvlText w:val="(%1)"/>
      <w:numFmt w:val="lowerLetter"/>
      <w:start w:val="1"/>
    </w:lvl>
  </w:abstractNum>
  <w:abstractNum w:abstractNumId="98">
    <w:nsid w:val="2E22FBB7"/>
    <w:multiLevelType w:val="hybridMultilevel"/>
    <w:lvl w:ilvl="0">
      <w:lvlJc w:val="left"/>
      <w:lvlText w:val="(%1)"/>
      <w:numFmt w:val="lowerLetter"/>
      <w:start w:val="1"/>
    </w:lvl>
  </w:abstractNum>
  <w:abstractNum w:abstractNumId="99">
    <w:nsid w:val="29934699"/>
    <w:multiLevelType w:val="hybridMultilevel"/>
    <w:lvl w:ilvl="0">
      <w:lvlJc w:val="left"/>
      <w:lvlText w:val="4"/>
      <w:numFmt w:val="bullet"/>
      <w:start w:val="1"/>
    </w:lvl>
  </w:abstractNum>
  <w:abstractNum w:abstractNumId="100">
    <w:nsid w:val="77485850"/>
    <w:multiLevelType w:val="hybridMultilevel"/>
    <w:lvl w:ilvl="0">
      <w:lvlJc w:val="left"/>
      <w:lvlText w:val="(%1)"/>
      <w:numFmt w:val="lowerLetter"/>
      <w:start w:val="1"/>
    </w:lvl>
  </w:abstractNum>
  <w:abstractNum w:abstractNumId="101">
    <w:nsid w:val="744939A3"/>
    <w:multiLevelType w:val="hybridMultilevel"/>
    <w:lvl w:ilvl="0">
      <w:lvlJc w:val="left"/>
      <w:lvlText w:val="(%1)"/>
      <w:numFmt w:val="lowerLetter"/>
      <w:start w:val="1"/>
    </w:lvl>
  </w:abstractNum>
  <w:abstractNum w:abstractNumId="102">
    <w:nsid w:val="4FA0D2E3"/>
    <w:multiLevelType w:val="hybridMultilevel"/>
    <w:lvl w:ilvl="0">
      <w:lvlJc w:val="left"/>
      <w:lvlText w:val="(%1)"/>
      <w:numFmt w:val="lowerLetter"/>
      <w:start w:val="1"/>
    </w:lvl>
  </w:abstractNum>
  <w:abstractNum w:abstractNumId="103">
    <w:nsid w:val="6B1D2C14"/>
    <w:multiLevelType w:val="hybridMultilevel"/>
    <w:lvl w:ilvl="0">
      <w:lvlJc w:val="left"/>
      <w:lvlText w:val="(%1)"/>
      <w:numFmt w:val="lowerLetter"/>
      <w:start w:val="2"/>
    </w:lvl>
  </w:abstractNum>
  <w:abstractNum w:abstractNumId="104">
    <w:nsid w:val="68B867D3"/>
    <w:multiLevelType w:val="hybridMultilevel"/>
    <w:lvl w:ilvl="0">
      <w:lvlJc w:val="left"/>
      <w:lvlText w:val="(%1)"/>
      <w:numFmt w:val="lowerLetter"/>
      <w:start w:val="1"/>
    </w:lvl>
  </w:abstractNum>
  <w:abstractNum w:abstractNumId="105">
    <w:nsid w:val="3F7F5DD9"/>
    <w:multiLevelType w:val="hybridMultilevel"/>
    <w:lvl w:ilvl="0">
      <w:lvlJc w:val="left"/>
      <w:lvlText w:val="5"/>
      <w:numFmt w:val="bullet"/>
      <w:start w:val="1"/>
    </w:lvl>
  </w:abstractNum>
  <w:abstractNum w:abstractNumId="106">
    <w:nsid w:val="2AE05A34"/>
    <w:multiLevelType w:val="hybridMultilevel"/>
    <w:lvl w:ilvl="0">
      <w:lvlJc w:val="left"/>
      <w:lvlText w:val="(%1)"/>
      <w:numFmt w:val="lowerLetter"/>
      <w:start w:val="1"/>
    </w:lvl>
  </w:abstractNum>
  <w:abstractNum w:abstractNumId="107">
    <w:nsid w:val="32794FF7"/>
    <w:multiLevelType w:val="hybridMultilevel"/>
    <w:lvl w:ilvl="0">
      <w:lvlJc w:val="left"/>
      <w:lvlText w:val="(%1)"/>
      <w:numFmt w:val="lowerLetter"/>
      <w:start w:val="1"/>
    </w:lvl>
  </w:abstractNum>
  <w:abstractNum w:abstractNumId="108">
    <w:nsid w:val="5454945E"/>
    <w:multiLevelType w:val="hybridMultilevel"/>
    <w:lvl w:ilvl="0">
      <w:lvlJc w:val="left"/>
      <w:lvlText w:val="(%1)"/>
      <w:numFmt w:val="lowerLetter"/>
      <w:start w:val="1"/>
    </w:lvl>
  </w:abstractNum>
  <w:abstractNum w:abstractNumId="109">
    <w:nsid w:val="4DEFDFA0"/>
    <w:multiLevelType w:val="hybridMultilevel"/>
    <w:lvl w:ilvl="0">
      <w:lvlJc w:val="left"/>
      <w:lvlText w:val="(%1)"/>
      <w:numFmt w:val="lowerLetter"/>
      <w:start w:val="2"/>
    </w:lvl>
  </w:abstractNum>
  <w:abstractNum w:abstractNumId="110">
    <w:nsid w:val="2123D5F2"/>
    <w:multiLevelType w:val="hybridMultilevel"/>
    <w:lvl w:ilvl="0">
      <w:lvlJc w:val="left"/>
      <w:lvlText w:val="(%1)"/>
      <w:numFmt w:val="lowerLetter"/>
      <w:start w:val="1"/>
    </w:lvl>
  </w:abstractNum>
  <w:abstractNum w:abstractNumId="111">
    <w:nsid w:val="135B8110"/>
    <w:multiLevelType w:val="hybridMultilevel"/>
    <w:lvl w:ilvl="0">
      <w:lvlJc w:val="left"/>
      <w:lvlText w:val="(%1)"/>
      <w:numFmt w:val="lowerLetter"/>
      <w:start w:val="1"/>
    </w:lvl>
    <w:lvl w:ilvl="1">
      <w:lvlJc w:val="left"/>
      <w:lvlText w:val="(%2)"/>
      <w:numFmt w:val="lowerRoman"/>
      <w:start w:val="1"/>
    </w:lvl>
  </w:abstractNum>
  <w:abstractNum w:abstractNumId="112">
    <w:nsid w:val="94927A8"/>
    <w:multiLevelType w:val="hybridMultilevel"/>
    <w:lvl w:ilvl="0">
      <w:lvlJc w:val="left"/>
      <w:lvlText w:val="(%1)"/>
      <w:numFmt w:val="lowerLetter"/>
      <w:start w:val="1"/>
    </w:lvl>
  </w:abstractNum>
  <w:abstractNum w:abstractNumId="113">
    <w:nsid w:val="DCDF8F6"/>
    <w:multiLevelType w:val="hybridMultilevel"/>
    <w:lvl w:ilvl="0">
      <w:lvlJc w:val="left"/>
      <w:lvlText w:val="6"/>
      <w:numFmt w:val="bullet"/>
      <w:start w:val="1"/>
    </w:lvl>
  </w:abstractNum>
  <w:abstractNum w:abstractNumId="114">
    <w:nsid w:val="52D7B105"/>
    <w:multiLevelType w:val="hybridMultilevel"/>
    <w:lvl w:ilvl="0">
      <w:lvlJc w:val="left"/>
      <w:lvlText w:val="(%1)"/>
      <w:numFmt w:val="lowerLetter"/>
      <w:start w:val="1"/>
    </w:lvl>
  </w:abstractNum>
  <w:abstractNum w:abstractNumId="115">
    <w:nsid w:val="2E8A6394"/>
    <w:multiLevelType w:val="hybridMultilevel"/>
    <w:lvl w:ilvl="0">
      <w:lvlJc w:val="left"/>
      <w:lvlText w:val="7"/>
      <w:numFmt w:val="bullet"/>
      <w:start w:val="1"/>
    </w:lvl>
  </w:abstractNum>
  <w:abstractNum w:abstractNumId="116">
    <w:nsid w:val="24E60401"/>
    <w:multiLevelType w:val="hybridMultilevel"/>
    <w:lvl w:ilvl="0">
      <w:lvlJc w:val="left"/>
      <w:lvlText w:val="(%1)"/>
      <w:numFmt w:val="lowerLetter"/>
      <w:start w:val="1"/>
    </w:lvl>
  </w:abstractNum>
  <w:abstractNum w:abstractNumId="117">
    <w:nsid w:val="2A6AD9BE"/>
    <w:multiLevelType w:val="hybridMultilevel"/>
    <w:lvl w:ilvl="0">
      <w:lvlJc w:val="left"/>
      <w:lvlText w:val="(%1)"/>
      <w:numFmt w:val="lowerLetter"/>
      <w:start w:val="1"/>
    </w:lvl>
  </w:abstractNum>
  <w:abstractNum w:abstractNumId="118">
    <w:nsid w:val="BAAC1B4"/>
    <w:multiLevelType w:val="hybridMultilevel"/>
    <w:lvl w:ilvl="0">
      <w:lvlJc w:val="left"/>
      <w:lvlText w:val="(%1)"/>
      <w:numFmt w:val="lowerLetter"/>
      <w:start w:val="1"/>
    </w:lvl>
  </w:abstractNum>
  <w:abstractNum w:abstractNumId="119">
    <w:nsid w:val="36B2ACBC"/>
    <w:multiLevelType w:val="hybridMultilevel"/>
    <w:lvl w:ilvl="0">
      <w:lvlJc w:val="left"/>
      <w:lvlText w:val="8"/>
      <w:numFmt w:val="bullet"/>
      <w:start w:val="1"/>
    </w:lvl>
  </w:abstractNum>
  <w:abstractNum w:abstractNumId="120">
    <w:nsid w:val="779D8544"/>
    <w:multiLevelType w:val="hybridMultilevel"/>
    <w:lvl w:ilvl="0">
      <w:lvlJc w:val="left"/>
      <w:lvlText w:val="(%1)"/>
      <w:numFmt w:val="lowerLetter"/>
      <w:start w:val="1"/>
    </w:lvl>
  </w:abstractNum>
  <w:abstractNum w:abstractNumId="121">
    <w:nsid w:val="4AB26E78"/>
    <w:multiLevelType w:val="hybridMultilevel"/>
    <w:lvl w:ilvl="0">
      <w:lvlJc w:val="left"/>
      <w:lvlText w:val="(%1)"/>
      <w:numFmt w:val="lowerLetter"/>
      <w:start w:val="1"/>
    </w:lvl>
  </w:abstractNum>
  <w:abstractNum w:abstractNumId="122">
    <w:nsid w:val="21FAA2FA"/>
    <w:multiLevelType w:val="hybridMultilevel"/>
    <w:lvl w:ilvl="0">
      <w:lvlJc w:val="left"/>
      <w:lvlText w:val="9"/>
      <w:numFmt w:val="bullet"/>
      <w:start w:val="1"/>
    </w:lvl>
  </w:abstractNum>
  <w:abstractNum w:abstractNumId="123">
    <w:nsid w:val="5451CF49"/>
    <w:multiLevelType w:val="hybridMultilevel"/>
    <w:lvl w:ilvl="0">
      <w:lvlJc w:val="left"/>
      <w:lvlText w:val="(%1)"/>
      <w:numFmt w:val="lowerLetter"/>
      <w:start w:val="1"/>
    </w:lvl>
  </w:abstractNum>
  <w:abstractNum w:abstractNumId="124">
    <w:nsid w:val="6181EF69"/>
    <w:multiLevelType w:val="hybridMultilevel"/>
    <w:lvl w:ilvl="0">
      <w:lvlJc w:val="left"/>
      <w:lvlText w:val="(%1)"/>
      <w:numFmt w:val="lowerLetter"/>
      <w:start w:val="1"/>
    </w:lvl>
    <w:lvl w:ilvl="1">
      <w:lvlJc w:val="left"/>
      <w:lvlText w:val="(%2)"/>
      <w:numFmt w:val="lowerRoman"/>
      <w:start w:val="1"/>
    </w:lvl>
  </w:abstractNum>
  <w:abstractNum w:abstractNumId="125">
    <w:nsid w:val="3E6400E6"/>
    <w:multiLevelType w:val="hybridMultilevel"/>
    <w:lvl w:ilvl="0">
      <w:lvlJc w:val="left"/>
      <w:lvlText w:val="%1"/>
      <w:numFmt w:val="decimal"/>
      <w:start w:val="10"/>
    </w:lvl>
  </w:abstractNum>
  <w:abstractNum w:abstractNumId="126">
    <w:nsid w:val="14217E23"/>
    <w:multiLevelType w:val="hybridMultilevel"/>
    <w:lvl w:ilvl="0">
      <w:lvlJc w:val="left"/>
      <w:lvlText w:val="(%1)"/>
      <w:numFmt w:val="lowerLetter"/>
      <w:start w:val="1"/>
    </w:lvl>
  </w:abstractNum>
  <w:abstractNum w:abstractNumId="127">
    <w:nsid w:val="710757D0"/>
    <w:multiLevelType w:val="hybridMultilevel"/>
    <w:lvl w:ilvl="0">
      <w:lvlJc w:val="left"/>
      <w:lvlText w:val="(%1)"/>
      <w:numFmt w:val="lowerLetter"/>
      <w:start w:val="1"/>
    </w:lvl>
  </w:abstractNum>
  <w:abstractNum w:abstractNumId="128">
    <w:nsid w:val="5015CD1A"/>
    <w:multiLevelType w:val="hybridMultilevel"/>
    <w:lvl w:ilvl="0">
      <w:lvlJc w:val="left"/>
      <w:lvlText w:val="(%1)"/>
      <w:numFmt w:val="lowerLetter"/>
      <w:start w:val="1"/>
    </w:lvl>
  </w:abstractNum>
  <w:abstractNum w:abstractNumId="129">
    <w:nsid w:val="424479DA"/>
    <w:multiLevelType w:val="hybridMultilevel"/>
    <w:lvl w:ilvl="0">
      <w:lvlJc w:val="left"/>
      <w:lvlText w:val="(%1)"/>
      <w:numFmt w:val="lowerLetter"/>
      <w:start w:val="1"/>
    </w:lvl>
  </w:abstractNum>
  <w:abstractNum w:abstractNumId="130">
    <w:nsid w:val="1A9A9E69"/>
    <w:multiLevelType w:val="hybridMultilevel"/>
    <w:lvl w:ilvl="0">
      <w:lvlJc w:val="left"/>
      <w:lvlText w:val="(%1)"/>
      <w:numFmt w:val="lowerLetter"/>
      <w:start w:val="3"/>
    </w:lvl>
  </w:abstractNum>
  <w:abstractNum w:abstractNumId="131">
    <w:nsid w:val="475E256A"/>
    <w:multiLevelType w:val="hybridMultilevel"/>
    <w:lvl w:ilvl="0">
      <w:lvlJc w:val="left"/>
      <w:lvlText w:val="(%1)"/>
      <w:numFmt w:val="lowerLetter"/>
      <w:start w:val="1"/>
    </w:lvl>
  </w:abstractNum>
  <w:abstractNum w:abstractNumId="132">
    <w:nsid w:val="368DB37E"/>
    <w:multiLevelType w:val="hybridMultilevel"/>
    <w:lvl w:ilvl="0">
      <w:lvlJc w:val="left"/>
      <w:lvlText w:val="(%1)"/>
      <w:numFmt w:val="lowerLetter"/>
      <w:start w:val="1"/>
    </w:lvl>
  </w:abstractNum>
  <w:abstractNum w:abstractNumId="133">
    <w:nsid w:val="6A3B714C"/>
    <w:multiLevelType w:val="hybridMultilevel"/>
    <w:lvl w:ilvl="0">
      <w:lvlJc w:val="left"/>
      <w:lvlText w:val="(%1)"/>
      <w:numFmt w:val="lowerLetter"/>
      <w:start w:val="1"/>
    </w:lvl>
  </w:abstractNum>
  <w:abstractNum w:abstractNumId="134">
    <w:nsid w:val="327B517E"/>
    <w:multiLevelType w:val="hybridMultilevel"/>
    <w:lvl w:ilvl="0">
      <w:lvlJc w:val="left"/>
      <w:lvlText w:val="%1"/>
      <w:numFmt w:val="decimal"/>
      <w:start w:val="11"/>
    </w:lvl>
  </w:abstractNum>
  <w:abstractNum w:abstractNumId="135">
    <w:nsid w:val="1F461B51"/>
    <w:multiLevelType w:val="hybridMultilevel"/>
    <w:lvl w:ilvl="0">
      <w:lvlJc w:val="left"/>
      <w:lvlText w:val="(%1)"/>
      <w:numFmt w:val="lowerLetter"/>
      <w:start w:val="1"/>
    </w:lvl>
  </w:abstractNum>
  <w:abstractNum w:abstractNumId="136">
    <w:nsid w:val="29BACF25"/>
    <w:multiLevelType w:val="hybridMultilevel"/>
    <w:lvl w:ilvl="0">
      <w:lvlJc w:val="left"/>
      <w:lvlText w:val="(%1)"/>
      <w:numFmt w:val="lowerLetter"/>
      <w:start w:val="1"/>
    </w:lvl>
  </w:abstractNum>
  <w:abstractNum w:abstractNumId="137">
    <w:nsid w:val="5D5BABB3"/>
    <w:multiLevelType w:val="hybridMultilevel"/>
    <w:lvl w:ilvl="0">
      <w:lvlJc w:val="left"/>
      <w:lvlText w:val="(%1)"/>
      <w:numFmt w:val="lowerLetter"/>
      <w:start w:val="1"/>
    </w:lvl>
  </w:abstractNum>
  <w:abstractNum w:abstractNumId="138">
    <w:nsid w:val="51BF6B48"/>
    <w:multiLevelType w:val="hybridMultilevel"/>
    <w:lvl w:ilvl="0">
      <w:lvlJc w:val="left"/>
      <w:lvlText w:val="(%1)"/>
      <w:numFmt w:val="lowerLetter"/>
      <w:start w:val="1"/>
    </w:lvl>
  </w:abstractNum>
  <w:abstractNum w:abstractNumId="139">
    <w:nsid w:val="7E0F6384"/>
    <w:multiLevelType w:val="hybridMultilevel"/>
    <w:lvl w:ilvl="0">
      <w:lvlJc w:val="left"/>
      <w:lvlText w:val="(%1)"/>
      <w:numFmt w:val="lowerLetter"/>
      <w:start w:val="1"/>
    </w:lvl>
  </w:abstractNum>
  <w:abstractNum w:abstractNumId="140">
    <w:nsid w:val="2B4B8B53"/>
    <w:multiLevelType w:val="hybridMultilevel"/>
    <w:lvl w:ilvl="0">
      <w:lvlJc w:val="left"/>
      <w:lvlText w:val="(%1)"/>
      <w:numFmt w:val="lowerLetter"/>
      <w:start w:val="1"/>
    </w:lvl>
    <w:lvl w:ilvl="1">
      <w:lvlJc w:val="left"/>
      <w:lvlText w:val="(%2)"/>
      <w:numFmt w:val="lowerLetter"/>
      <w:start w:val="9"/>
    </w:lvl>
  </w:abstractNum>
  <w:abstractNum w:abstractNumId="141">
    <w:nsid w:val="72E3413A"/>
    <w:multiLevelType w:val="hybridMultilevel"/>
    <w:lvl w:ilvl="0">
      <w:lvlJc w:val="left"/>
      <w:lvlText w:val="%1"/>
      <w:numFmt w:val="lowerLetter"/>
      <w:start w:val="1"/>
    </w:lvl>
    <w:lvl w:ilvl="1">
      <w:lvlJc w:val="left"/>
      <w:lvlText w:val="(%2)"/>
      <w:numFmt w:val="lowerLetter"/>
      <w:start w:val="35"/>
    </w:lvl>
  </w:abstractNum>
  <w:abstractNum w:abstractNumId="142">
    <w:nsid w:val="116AE494"/>
    <w:multiLevelType w:val="hybridMultilevel"/>
    <w:lvl w:ilvl="0">
      <w:lvlJc w:val="left"/>
      <w:lvlText w:val="(%1)"/>
      <w:numFmt w:val="lowerLetter"/>
      <w:start w:val="3"/>
    </w:lvl>
    <w:lvl w:ilvl="1">
      <w:lvlJc w:val="left"/>
      <w:lvlText w:val="%2"/>
      <w:numFmt w:val="lowerLetter"/>
      <w:start w:val="1"/>
    </w:lvl>
  </w:abstractNum>
  <w:abstractNum w:abstractNumId="143">
    <w:nsid w:val="3494B2FB"/>
    <w:multiLevelType w:val="hybridMultilevel"/>
    <w:lvl w:ilvl="0">
      <w:lvlJc w:val="left"/>
      <w:lvlText w:val="%1"/>
      <w:numFmt w:val="decimal"/>
      <w:start w:val="12"/>
    </w:lvl>
  </w:abstractNum>
  <w:abstractNum w:abstractNumId="144">
    <w:nsid w:val="B13A31"/>
    <w:multiLevelType w:val="hybridMultilevel"/>
    <w:lvl w:ilvl="0">
      <w:lvlJc w:val="left"/>
      <w:lvlText w:val="(%1)"/>
      <w:numFmt w:val="lowerLetter"/>
      <w:start w:val="1"/>
    </w:lvl>
  </w:abstractNum>
  <w:abstractNum w:abstractNumId="145">
    <w:nsid w:val="64429599"/>
    <w:multiLevelType w:val="hybridMultilevel"/>
    <w:lvl w:ilvl="0">
      <w:lvlJc w:val="left"/>
      <w:lvlText w:val="(%1)"/>
      <w:numFmt w:val="lowerLetter"/>
      <w:start w:val="1"/>
    </w:lvl>
    <w:lvl w:ilvl="1">
      <w:lvlJc w:val="left"/>
      <w:lvlText w:val="(%2)"/>
      <w:numFmt w:val="lowerRoman"/>
      <w:start w:val="1"/>
    </w:lvl>
  </w:abstractNum>
  <w:abstractNum w:abstractNumId="146">
    <w:nsid w:val="631F1690"/>
    <w:multiLevelType w:val="hybridMultilevel"/>
    <w:lvl w:ilvl="0">
      <w:lvlJc w:val="left"/>
      <w:lvlText w:val="(%1)"/>
      <w:numFmt w:val="lowerRoman"/>
      <w:start w:val="2"/>
    </w:lvl>
  </w:abstractNum>
  <w:abstractNum w:abstractNumId="147">
    <w:nsid w:val="25973E32"/>
    <w:multiLevelType w:val="hybridMultilevel"/>
    <w:lvl w:ilvl="0">
      <w:lvlJc w:val="left"/>
      <w:lvlText w:val="(%1)"/>
      <w:numFmt w:val="lowerLetter"/>
      <w:start w:val="1"/>
    </w:lvl>
  </w:abstractNum>
  <w:abstractNum w:abstractNumId="148">
    <w:nsid w:val="EAD6F57"/>
    <w:multiLevelType w:val="hybridMultilevel"/>
    <w:lvl w:ilvl="0">
      <w:lvlJc w:val="left"/>
      <w:lvlText w:val="%1"/>
      <w:numFmt w:val="decimal"/>
      <w:start w:val="13"/>
    </w:lvl>
  </w:abstractNum>
  <w:abstractNum w:abstractNumId="149">
    <w:nsid w:val="6EC9D844"/>
    <w:multiLevelType w:val="hybridMultilevel"/>
    <w:lvl w:ilvl="0">
      <w:lvlJc w:val="left"/>
      <w:lvlText w:val="(%1)"/>
      <w:numFmt w:val="lowerLetter"/>
      <w:start w:val="1"/>
    </w:lvl>
  </w:abstractNum>
  <w:abstractNum w:abstractNumId="150">
    <w:nsid w:val="5C49EAEE"/>
    <w:multiLevelType w:val="hybridMultilevel"/>
    <w:lvl w:ilvl="0">
      <w:lvlJc w:val="left"/>
      <w:lvlText w:val="%1"/>
      <w:numFmt w:val="decimal"/>
      <w:start w:val="15"/>
    </w:lvl>
  </w:abstractNum>
  <w:abstractNum w:abstractNumId="151">
    <w:nsid w:val="64AF49B"/>
    <w:multiLevelType w:val="hybridMultilevel"/>
    <w:lvl w:ilvl="0">
      <w:lvlJc w:val="left"/>
      <w:lvlText w:val="(%1)"/>
      <w:numFmt w:val="lowerLetter"/>
      <w:start w:val="1"/>
    </w:lvl>
  </w:abstractNum>
  <w:abstractNum w:abstractNumId="152">
    <w:nsid w:val="397C46BC"/>
    <w:multiLevelType w:val="hybridMultilevel"/>
    <w:lvl w:ilvl="0">
      <w:lvlJc w:val="left"/>
      <w:lvlText w:val="(%1)"/>
      <w:numFmt w:val="lowerLetter"/>
      <w:start w:val="1"/>
    </w:lvl>
  </w:abstractNum>
  <w:abstractNum w:abstractNumId="153">
    <w:nsid w:val="7E448DE9"/>
    <w:multiLevelType w:val="hybridMultilevel"/>
    <w:lvl w:ilvl="0">
      <w:lvlJc w:val="left"/>
      <w:lvlText w:val="(%1)"/>
      <w:numFmt w:val="lowerLetter"/>
      <w:start w:val="1"/>
    </w:lvl>
  </w:abstractNum>
  <w:abstractNum w:abstractNumId="154">
    <w:nsid w:val="5A9CC3E5"/>
    <w:multiLevelType w:val="hybridMultilevel"/>
    <w:lvl w:ilvl="0">
      <w:lvlJc w:val="left"/>
      <w:lvlText w:val="(%1)"/>
      <w:numFmt w:val="lowerLetter"/>
      <w:start w:val="1"/>
    </w:lvl>
  </w:abstractNum>
  <w:abstractNum w:abstractNumId="155">
    <w:nsid w:val="1AFE3625"/>
    <w:multiLevelType w:val="hybridMultilevel"/>
    <w:lvl w:ilvl="0">
      <w:lvlJc w:val="left"/>
      <w:lvlText w:val="(%1)"/>
      <w:numFmt w:val="lowerLetter"/>
      <w:start w:val="1"/>
    </w:lvl>
  </w:abstractNum>
  <w:abstractNum w:abstractNumId="156">
    <w:nsid w:val="3CA88ECF"/>
    <w:multiLevelType w:val="hybridMultilevel"/>
    <w:lvl w:ilvl="0">
      <w:lvlJc w:val="left"/>
      <w:lvlText w:val="%1"/>
      <w:numFmt w:val="decimal"/>
      <w:start w:val="17"/>
    </w:lvl>
  </w:abstractNum>
  <w:abstractNum w:abstractNumId="157">
    <w:nsid w:val="6EBE4208"/>
    <w:multiLevelType w:val="hybridMultilevel"/>
    <w:lvl w:ilvl="0">
      <w:lvlJc w:val="left"/>
      <w:lvlText w:val="(%1)"/>
      <w:numFmt w:val="lowerLetter"/>
      <w:start w:val="1"/>
    </w:lvl>
  </w:abstractNum>
  <w:abstractNum w:abstractNumId="158">
    <w:nsid w:val="C058DF5"/>
    <w:multiLevelType w:val="hybridMultilevel"/>
    <w:lvl w:ilvl="0">
      <w:lvlJc w:val="left"/>
      <w:lvlText w:val="(%1)"/>
      <w:numFmt w:val="lowerLetter"/>
      <w:start w:val="1"/>
    </w:lvl>
    <w:lvl w:ilvl="1">
      <w:lvlJc w:val="left"/>
      <w:lvlText w:val="(%2)"/>
      <w:numFmt w:val="lowerRoman"/>
      <w:start w:val="1"/>
    </w:lvl>
  </w:abstractNum>
  <w:abstractNum w:abstractNumId="159">
    <w:nsid w:val="CBE5BE9"/>
    <w:multiLevelType w:val="hybridMultilevel"/>
    <w:lvl w:ilvl="0">
      <w:lvlJc w:val="left"/>
      <w:lvlText w:val="%1"/>
      <w:numFmt w:val="decimal"/>
      <w:start w:val="18"/>
    </w:lvl>
  </w:abstractNum>
  <w:abstractNum w:abstractNumId="160">
    <w:nsid w:val="3102BBE2"/>
    <w:multiLevelType w:val="hybridMultilevel"/>
    <w:lvl w:ilvl="0">
      <w:lvlJc w:val="left"/>
      <w:lvlText w:val="(%1)"/>
      <w:numFmt w:val="lowerLetter"/>
      <w:start w:val="1"/>
    </w:lvl>
  </w:abstractNum>
  <w:abstractNum w:abstractNumId="161">
    <w:nsid w:val="26A02C5E"/>
    <w:multiLevelType w:val="hybridMultilevel"/>
    <w:lvl w:ilvl="0">
      <w:lvlJc w:val="left"/>
      <w:lvlText w:val="(%1)"/>
      <w:numFmt w:val="lowerLetter"/>
      <w:start w:val="1"/>
    </w:lvl>
  </w:abstractNum>
  <w:abstractNum w:abstractNumId="162">
    <w:nsid w:val="541C8153"/>
    <w:multiLevelType w:val="hybridMultilevel"/>
    <w:lvl w:ilvl="0">
      <w:lvlJc w:val="left"/>
      <w:lvlText w:val="%1"/>
      <w:numFmt w:val="decimal"/>
      <w:start w:val="20"/>
    </w:lvl>
  </w:abstractNum>
  <w:abstractNum w:abstractNumId="163">
    <w:nsid w:val="67906F60"/>
    <w:multiLevelType w:val="hybridMultilevel"/>
    <w:lvl w:ilvl="0">
      <w:lvlJc w:val="left"/>
      <w:lvlText w:val="(%1)"/>
      <w:numFmt w:val="lowerLetter"/>
      <w:start w:val="1"/>
    </w:lvl>
    <w:lvl w:ilvl="1">
      <w:lvlJc w:val="left"/>
      <w:lvlText w:val="(%2)"/>
      <w:numFmt w:val="lowerRoman"/>
      <w:start w:val="1"/>
    </w:lvl>
  </w:abstractNum>
  <w:abstractNum w:abstractNumId="164">
    <w:nsid w:val="10DB9DAA"/>
    <w:multiLevelType w:val="hybridMultilevel"/>
    <w:lvl w:ilvl="0">
      <w:lvlJc w:val="left"/>
      <w:lvlText w:val="(%1)"/>
      <w:numFmt w:val="lowerLetter"/>
      <w:start w:val="1"/>
    </w:lvl>
  </w:abstractNum>
  <w:abstractNum w:abstractNumId="165">
    <w:nsid w:val="697D2D2"/>
    <w:multiLevelType w:val="hybridMultilevel"/>
    <w:lvl w:ilvl="0">
      <w:lvlJc w:val="left"/>
      <w:lvlText w:val="(%1)"/>
      <w:numFmt w:val="lowerLetter"/>
      <w:start w:val="1"/>
    </w:lvl>
  </w:abstractNum>
  <w:abstractNum w:abstractNumId="166">
    <w:nsid w:val="6D68AB2"/>
    <w:multiLevelType w:val="hybridMultilevel"/>
    <w:lvl w:ilvl="0">
      <w:lvlJc w:val="left"/>
      <w:lvlText w:val="%1"/>
      <w:numFmt w:val="decimal"/>
      <w:start w:val="21"/>
    </w:lvl>
    <w:lvl w:ilvl="1">
      <w:lvlJc w:val="left"/>
      <w:lvlText w:val="(%2)"/>
      <w:numFmt w:val="lowerLetter"/>
      <w:start w:val="1"/>
    </w:lvl>
  </w:abstractNum>
  <w:abstractNum w:abstractNumId="167">
    <w:nsid w:val="3A966CD0"/>
    <w:multiLevelType w:val="hybridMultilevel"/>
    <w:lvl w:ilvl="0">
      <w:lvlJc w:val="left"/>
      <w:lvlText w:val="(%1)"/>
      <w:numFmt w:val="lowerLetter"/>
      <w:start w:val="1"/>
    </w:lvl>
  </w:abstractNum>
  <w:abstractNum w:abstractNumId="168">
    <w:nsid w:val="63F37E85"/>
    <w:multiLevelType w:val="hybridMultilevel"/>
    <w:lvl w:ilvl="0">
      <w:lvlJc w:val="left"/>
      <w:lvlText w:val="(%1)"/>
      <w:numFmt w:val="lowerLetter"/>
      <w:start w:val="1"/>
    </w:lvl>
  </w:abstractNum>
  <w:abstractNum w:abstractNumId="169">
    <w:nsid w:val="5895F5FA"/>
    <w:multiLevelType w:val="hybridMultilevel"/>
    <w:lvl w:ilvl="0">
      <w:lvlJc w:val="left"/>
      <w:lvlText w:val="(%1)"/>
      <w:numFmt w:val="lowerLetter"/>
      <w:start w:val="1"/>
    </w:lvl>
  </w:abstractNum>
  <w:abstractNum w:abstractNumId="170">
    <w:nsid w:val="38A5D054"/>
    <w:multiLevelType w:val="hybridMultilevel"/>
    <w:lvl w:ilvl="0">
      <w:lvlJc w:val="left"/>
      <w:lvlText w:val="(%1)"/>
      <w:numFmt w:val="lowerLetter"/>
      <w:start w:val="1"/>
    </w:lvl>
  </w:abstractNum>
  <w:abstractNum w:abstractNumId="171">
    <w:nsid w:val="F3F09D8"/>
    <w:multiLevelType w:val="hybridMultilevel"/>
    <w:lvl w:ilvl="0">
      <w:lvlJc w:val="left"/>
      <w:lvlText w:val="(%1)"/>
      <w:numFmt w:val="lowerLetter"/>
      <w:start w:val="1"/>
    </w:lvl>
  </w:abstractNum>
  <w:abstractNum w:abstractNumId="172">
    <w:nsid w:val="4B793735"/>
    <w:multiLevelType w:val="hybridMultilevel"/>
    <w:lvl w:ilvl="0">
      <w:lvlJc w:val="left"/>
      <w:lvlText w:val="(%1)"/>
      <w:numFmt w:val="lowerLetter"/>
      <w:start w:val="1"/>
    </w:lvl>
  </w:abstractNum>
  <w:abstractNum w:abstractNumId="173">
    <w:nsid w:val="4A10B4E8"/>
    <w:multiLevelType w:val="hybridMultilevel"/>
    <w:lvl w:ilvl="0">
      <w:lvlJc w:val="left"/>
      <w:lvlText w:val="(%1)"/>
      <w:numFmt w:val="lowerLetter"/>
      <w:start w:val="3"/>
    </w:lvl>
  </w:abstractNum>
  <w:abstractNum w:abstractNumId="174">
    <w:nsid w:val="43D3BCD4"/>
    <w:multiLevelType w:val="hybridMultilevel"/>
    <w:lvl w:ilvl="0">
      <w:lvlJc w:val="left"/>
      <w:lvlText w:val="(%1)"/>
      <w:numFmt w:val="lowerLetter"/>
      <w:start w:val="1"/>
    </w:lvl>
  </w:abstractNum>
  <w:abstractNum w:abstractNumId="175">
    <w:nsid w:val="4C2A7166"/>
    <w:multiLevelType w:val="hybridMultilevel"/>
    <w:lvl w:ilvl="0">
      <w:lvlJc w:val="left"/>
      <w:lvlText w:val="(%1)"/>
      <w:numFmt w:val="lowerLetter"/>
      <w:start w:val="2"/>
    </w:lvl>
  </w:abstractNum>
  <w:abstractNum w:abstractNumId="176">
    <w:nsid w:val="2E534A82"/>
    <w:multiLevelType w:val="hybridMultilevel"/>
    <w:lvl w:ilvl="0">
      <w:lvlJc w:val="left"/>
      <w:lvlText w:val="%1"/>
      <w:numFmt w:val="decimal"/>
      <w:start w:val="26"/>
    </w:lvl>
  </w:abstractNum>
  <w:abstractNum w:abstractNumId="177">
    <w:nsid w:val="26F2D364"/>
    <w:multiLevelType w:val="hybridMultilevel"/>
    <w:lvl w:ilvl="0">
      <w:lvlJc w:val="left"/>
      <w:lvlText w:val="(%1)"/>
      <w:numFmt w:val="lowerLetter"/>
      <w:start w:val="1"/>
    </w:lvl>
  </w:abstractNum>
  <w:abstractNum w:abstractNumId="178">
    <w:nsid w:val="71C1AF98"/>
    <w:multiLevelType w:val="hybridMultilevel"/>
    <w:lvl w:ilvl="0">
      <w:lvlJc w:val="left"/>
      <w:lvlText w:val="(%1)"/>
      <w:numFmt w:val="lowerLetter"/>
      <w:start w:val="1"/>
    </w:lvl>
  </w:abstractNum>
  <w:abstractNum w:abstractNumId="179">
    <w:nsid w:val="3D00B9D9"/>
    <w:multiLevelType w:val="hybridMultilevel"/>
    <w:lvl w:ilvl="0">
      <w:lvlJc w:val="left"/>
      <w:lvlText w:val="(%1)"/>
      <w:numFmt w:val="lowerLetter"/>
      <w:start w:val="1"/>
    </w:lvl>
  </w:abstractNum>
  <w:abstractNum w:abstractNumId="180">
    <w:nsid w:val="15BCABA8"/>
    <w:multiLevelType w:val="hybridMultilevel"/>
    <w:lvl w:ilvl="0">
      <w:lvlJc w:val="left"/>
      <w:lvlText w:val="%1"/>
      <w:numFmt w:val="decimal"/>
      <w:start w:val="27"/>
    </w:lvl>
  </w:abstractNum>
  <w:abstractNum w:abstractNumId="181">
    <w:nsid w:val="4E0B9A87"/>
    <w:multiLevelType w:val="hybridMultilevel"/>
    <w:lvl w:ilvl="0">
      <w:lvlJc w:val="left"/>
      <w:lvlText w:val="(%1)"/>
      <w:numFmt w:val="lowerLetter"/>
      <w:start w:val="1"/>
    </w:lvl>
  </w:abstractNum>
  <w:abstractNum w:abstractNumId="182">
    <w:nsid w:val="434BAE75"/>
    <w:multiLevelType w:val="hybridMultilevel"/>
    <w:lvl w:ilvl="0">
      <w:lvlJc w:val="left"/>
      <w:lvlText w:val="(%1)"/>
      <w:numFmt w:val="lowerLetter"/>
      <w:start w:val="1"/>
    </w:lvl>
    <w:lvl w:ilvl="1">
      <w:lvlJc w:val="left"/>
      <w:lvlText w:val="(%2)"/>
      <w:numFmt w:val="lowerRoman"/>
      <w:start w:val="1"/>
    </w:lvl>
  </w:abstractNum>
  <w:abstractNum w:abstractNumId="183">
    <w:nsid w:val="4F38F265"/>
    <w:multiLevelType w:val="hybridMultilevel"/>
    <w:lvl w:ilvl="0">
      <w:lvlJc w:val="left"/>
      <w:lvlText w:val="%1"/>
      <w:numFmt w:val="decimal"/>
      <w:start w:val="28"/>
    </w:lvl>
  </w:abstractNum>
  <w:abstractNum w:abstractNumId="184">
    <w:nsid w:val="4C502870"/>
    <w:multiLevelType w:val="hybridMultilevel"/>
    <w:lvl w:ilvl="0">
      <w:lvlJc w:val="left"/>
      <w:lvlText w:val="(%1)"/>
      <w:numFmt w:val="lowerLetter"/>
      <w:start w:val="1"/>
    </w:lvl>
  </w:abstractNum>
  <w:abstractNum w:abstractNumId="185">
    <w:nsid w:val="1DE8725A"/>
    <w:multiLevelType w:val="hybridMultilevel"/>
    <w:lvl w:ilvl="0">
      <w:lvlJc w:val="left"/>
      <w:lvlText w:val="(%1)"/>
      <w:numFmt w:val="lowerLetter"/>
      <w:start w:val="1"/>
    </w:lvl>
  </w:abstractNum>
  <w:abstractNum w:abstractNumId="186">
    <w:nsid w:val="6A37288A"/>
    <w:multiLevelType w:val="hybridMultilevel"/>
    <w:lvl w:ilvl="0">
      <w:lvlJc w:val="left"/>
      <w:lvlText w:val="%1"/>
      <w:numFmt w:val="decimal"/>
      <w:start w:val="29"/>
    </w:lvl>
  </w:abstractNum>
  <w:abstractNum w:abstractNumId="187">
    <w:nsid w:val="8F8B73F"/>
    <w:multiLevelType w:val="hybridMultilevel"/>
    <w:lvl w:ilvl="0">
      <w:lvlJc w:val="left"/>
      <w:lvlText w:val="(%1)"/>
      <w:numFmt w:val="lowerLetter"/>
      <w:start w:val="1"/>
    </w:lvl>
  </w:abstractNum>
  <w:abstractNum w:abstractNumId="188">
    <w:nsid w:val="CA6B462"/>
    <w:multiLevelType w:val="hybridMultilevel"/>
    <w:lvl w:ilvl="0">
      <w:lvlJc w:val="left"/>
      <w:lvlText w:val="(%1)"/>
      <w:numFmt w:val="lowerLetter"/>
      <w:start w:val="1"/>
    </w:lvl>
  </w:abstractNum>
  <w:abstractNum w:abstractNumId="189">
    <w:nsid w:val="763CB680"/>
    <w:multiLevelType w:val="hybridMultilevel"/>
    <w:lvl w:ilvl="0">
      <w:lvlJc w:val="left"/>
      <w:lvlText w:val="(%1)"/>
      <w:numFmt w:val="lowerLetter"/>
      <w:start w:val="1"/>
    </w:lvl>
  </w:abstractNum>
  <w:abstractNum w:abstractNumId="190">
    <w:nsid w:val="15B71329"/>
    <w:multiLevelType w:val="hybridMultilevel"/>
    <w:lvl w:ilvl="0">
      <w:lvlJc w:val="left"/>
      <w:lvlText w:val="(%1)"/>
      <w:numFmt w:val="lowerLetter"/>
      <w:start w:val="1"/>
    </w:lvl>
  </w:abstractNum>
  <w:abstractNum w:abstractNumId="191">
    <w:nsid w:val="3DA97044"/>
    <w:multiLevelType w:val="hybridMultilevel"/>
    <w:lvl w:ilvl="0">
      <w:lvlJc w:val="left"/>
      <w:lvlText w:val="(%1)"/>
      <w:numFmt w:val="lowerLetter"/>
      <w:start w:val="1"/>
    </w:lvl>
  </w:abstractNum>
  <w:abstractNum w:abstractNumId="192">
    <w:nsid w:val="1CDCE2DE"/>
    <w:multiLevelType w:val="hybridMultilevel"/>
    <w:lvl w:ilvl="0">
      <w:lvlJc w:val="left"/>
      <w:lvlText w:val="%1"/>
      <w:numFmt w:val="decimal"/>
      <w:start w:val="31"/>
    </w:lvl>
  </w:abstractNum>
  <w:abstractNum w:abstractNumId="193">
    <w:nsid w:val="69D3947C"/>
    <w:multiLevelType w:val="hybridMultilevel"/>
    <w:lvl w:ilvl="0">
      <w:lvlJc w:val="left"/>
      <w:lvlText w:val="(%1)"/>
      <w:numFmt w:val="lowerLetter"/>
      <w:start w:val="1"/>
    </w:lvl>
  </w:abstractNum>
  <w:abstractNum w:abstractNumId="194">
    <w:nsid w:val="2539DFA5"/>
    <w:multiLevelType w:val="hybridMultilevel"/>
    <w:lvl w:ilvl="0">
      <w:lvlJc w:val="left"/>
      <w:lvlText w:val="(%1)"/>
      <w:numFmt w:val="lowerLetter"/>
      <w:start w:val="2"/>
    </w:lvl>
  </w:abstractNum>
  <w:abstractNum w:abstractNumId="195">
    <w:nsid w:val="2DB88089"/>
    <w:multiLevelType w:val="hybridMultilevel"/>
    <w:lvl w:ilvl="0">
      <w:lvlJc w:val="left"/>
      <w:lvlText w:val="%1"/>
      <w:numFmt w:val="decimal"/>
      <w:start w:val="32"/>
    </w:lvl>
  </w:abstractNum>
  <w:abstractNum w:abstractNumId="196">
    <w:nsid w:val="706B674E"/>
    <w:multiLevelType w:val="hybridMultilevel"/>
    <w:lvl w:ilvl="0">
      <w:lvlJc w:val="left"/>
      <w:lvlText w:val="(%1)"/>
      <w:numFmt w:val="lowerLetter"/>
      <w:start w:val="1"/>
    </w:lvl>
  </w:abstractNum>
  <w:abstractNum w:abstractNumId="197">
    <w:nsid w:val="2C106A57"/>
    <w:multiLevelType w:val="hybridMultilevel"/>
    <w:lvl w:ilvl="0">
      <w:lvlJc w:val="left"/>
      <w:lvlText w:val="%1"/>
      <w:numFmt w:val="decimal"/>
      <w:start w:val="33"/>
    </w:lvl>
  </w:abstractNum>
  <w:abstractNum w:abstractNumId="198">
    <w:nsid w:val="684EED59"/>
    <w:multiLevelType w:val="hybridMultilevel"/>
    <w:lvl w:ilvl="0">
      <w:lvlJc w:val="left"/>
      <w:lvlText w:val="(%1)"/>
      <w:numFmt w:val="lowerLetter"/>
      <w:start w:val="1"/>
    </w:lvl>
  </w:abstractNum>
  <w:abstractNum w:abstractNumId="199">
    <w:nsid w:val="545EE5D3"/>
    <w:multiLevelType w:val="hybridMultilevel"/>
    <w:lvl w:ilvl="0">
      <w:lvlJc w:val="left"/>
      <w:lvlText w:val="(%1)"/>
      <w:numFmt w:val="lowerLetter"/>
      <w:start w:val="1"/>
    </w:lvl>
  </w:abstractNum>
  <w:abstractNum w:abstractNumId="200">
    <w:nsid w:val="4A66051"/>
    <w:multiLevelType w:val="hybridMultilevel"/>
    <w:lvl w:ilvl="0">
      <w:lvlJc w:val="left"/>
      <w:lvlText w:val="(%1)"/>
      <w:numFmt w:val="lowerLetter"/>
      <w:start w:val="1"/>
    </w:lvl>
  </w:abstractNum>
  <w:abstractNum w:abstractNumId="201">
    <w:nsid w:val="20F4BDAD"/>
    <w:multiLevelType w:val="hybridMultilevel"/>
    <w:lvl w:ilvl="0">
      <w:lvlJc w:val="left"/>
      <w:lvlText w:val="(%1)"/>
      <w:numFmt w:val="lowerLetter"/>
      <w:start w:val="4"/>
    </w:lvl>
  </w:abstractNum>
  <w:abstractNum w:abstractNumId="202">
    <w:nsid w:val="639DEFAC"/>
    <w:multiLevelType w:val="hybridMultilevel"/>
    <w:lvl w:ilvl="0">
      <w:lvlJc w:val="left"/>
      <w:lvlText w:val="(%1)"/>
      <w:numFmt w:val="lowerLetter"/>
      <w:start w:val="1"/>
    </w:lvl>
  </w:abstractNum>
  <w:abstractNum w:abstractNumId="203">
    <w:nsid w:val="501F9786"/>
    <w:multiLevelType w:val="hybridMultilevel"/>
    <w:lvl w:ilvl="0">
      <w:lvlJc w:val="left"/>
      <w:lvlText w:val="%1"/>
      <w:numFmt w:val="decimal"/>
      <w:start w:val="1"/>
    </w:lvl>
    <w:lvl w:ilvl="1">
      <w:lvlJc w:val="left"/>
      <w:lvlText w:val="(%2)"/>
      <w:numFmt w:val="lowerLetter"/>
      <w:start w:val="1"/>
    </w:lvl>
  </w:abstractNum>
  <w:abstractNum w:abstractNumId="204">
    <w:nsid w:val="6B057295"/>
    <w:multiLevelType w:val="hybridMultilevel"/>
    <w:lvl w:ilvl="0">
      <w:lvlJc w:val="left"/>
      <w:lvlText w:val="(%1)"/>
      <w:numFmt w:val="decimal"/>
      <w:start w:val="6"/>
    </w:lvl>
    <w:lvl w:ilvl="1">
      <w:lvlJc w:val="left"/>
      <w:lvlText w:val="(%2)"/>
      <w:numFmt w:val="lowerLetter"/>
      <w:start w:val="3"/>
    </w:lvl>
  </w:abstractNum>
  <w:abstractNum w:abstractNumId="205">
    <w:nsid w:val="2771AC80"/>
    <w:multiLevelType w:val="hybridMultilevel"/>
    <w:lvl w:ilvl="0">
      <w:lvlJc w:val="left"/>
      <w:lvlText w:val="(%1)"/>
      <w:numFmt w:val="lowerLetter"/>
      <w:start w:val="1"/>
    </w:lvl>
    <w:lvl w:ilvl="1">
      <w:lvlJc w:val="left"/>
      <w:lvlText w:val="(%2)"/>
      <w:numFmt w:val="lowerRoman"/>
      <w:start w:val="1"/>
    </w:lvl>
  </w:abstractNum>
  <w:abstractNum w:abstractNumId="206">
    <w:nsid w:val="1C4A08EC"/>
    <w:multiLevelType w:val="hybridMultilevel"/>
    <w:lvl w:ilvl="0">
      <w:lvlJc w:val="left"/>
      <w:lvlText w:val="(%1)"/>
      <w:numFmt w:val="lowerRoman"/>
      <w:start w:val="5"/>
    </w:lvl>
  </w:abstractNum>
  <w:abstractNum w:abstractNumId="207">
    <w:nsid w:val="1958BD17"/>
    <w:multiLevelType w:val="hybridMultilevel"/>
    <w:lvl w:ilvl="0">
      <w:lvlJc w:val="left"/>
      <w:lvlText w:val="(%1)"/>
      <w:numFmt w:val="lowerLetter"/>
      <w:start w:val="3"/>
    </w:lvl>
  </w:abstractNum>
  <w:abstractNum w:abstractNumId="208">
    <w:nsid w:val="4E647FE4"/>
    <w:multiLevelType w:val="hybridMultilevel"/>
    <w:lvl w:ilvl="0">
      <w:lvlJc w:val="left"/>
      <w:lvlText w:val="(%1)"/>
      <w:numFmt w:val="lowerLetter"/>
      <w:start w:val="1"/>
    </w:lvl>
  </w:abstractNum>
  <w:abstractNum w:abstractNumId="209">
    <w:nsid w:val="E0BB885"/>
    <w:multiLevelType w:val="hybridMultilevel"/>
    <w:lvl w:ilvl="0">
      <w:lvlJc w:val="left"/>
      <w:lvlText w:val="(%1)"/>
      <w:numFmt w:val="lowerLetter"/>
      <w:start w:val="4"/>
    </w:lvl>
  </w:abstractNum>
  <w:abstractNum w:abstractNumId="210">
    <w:nsid w:val="565976F1"/>
    <w:multiLevelType w:val="hybridMultilevel"/>
    <w:lvl w:ilvl="0">
      <w:lvlJc w:val="left"/>
      <w:lvlText w:val="(%1)"/>
      <w:numFmt w:val="lowerLetter"/>
      <w:start w:val="1"/>
    </w:lvl>
  </w:abstractNum>
  <w:abstractNum w:abstractNumId="211">
    <w:nsid w:val="64212B8C"/>
    <w:multiLevelType w:val="hybridMultilevel"/>
    <w:lvl w:ilvl="0">
      <w:lvlJc w:val="left"/>
      <w:lvlText w:val="(%1)"/>
      <w:numFmt w:val="lowerLetter"/>
      <w:start w:val="1"/>
    </w:lvl>
  </w:abstractNum>
  <w:abstractNum w:abstractNumId="212">
    <w:nsid w:val="5C17530C"/>
    <w:multiLevelType w:val="hybridMultilevel"/>
    <w:lvl w:ilvl="0">
      <w:lvlJc w:val="left"/>
      <w:lvlText w:val="(%1)"/>
      <w:numFmt w:val="lowerLetter"/>
      <w:start w:val="2"/>
    </w:lvl>
  </w:abstractNum>
  <w:abstractNum w:abstractNumId="213">
    <w:nsid w:val="19A52566"/>
    <w:multiLevelType w:val="hybridMultilevel"/>
    <w:lvl w:ilvl="0">
      <w:lvlJc w:val="left"/>
      <w:lvlText w:val="(%1)"/>
      <w:numFmt w:val="lowerLetter"/>
      <w:start w:val="1"/>
    </w:lvl>
  </w:abstractNum>
  <w:abstractNum w:abstractNumId="214">
    <w:nsid w:val="335A1DF1"/>
    <w:multiLevelType w:val="hybridMultilevel"/>
    <w:lvl w:ilvl="0">
      <w:lvlJc w:val="left"/>
      <w:lvlText w:val="(%1)"/>
      <w:numFmt w:val="lowerLetter"/>
      <w:start w:val="1"/>
    </w:lvl>
  </w:abstractNum>
  <w:abstractNum w:abstractNumId="215">
    <w:nsid w:val="28677B7C"/>
    <w:multiLevelType w:val="hybridMultilevel"/>
    <w:lvl w:ilvl="0">
      <w:lvlJc w:val="left"/>
      <w:lvlText w:val="(%1)"/>
      <w:numFmt w:val="lowerLetter"/>
      <w:start w:val="1"/>
    </w:lvl>
  </w:abstractNum>
  <w:abstractNum w:abstractNumId="216">
    <w:nsid w:val="378D97C0"/>
    <w:multiLevelType w:val="hybridMultilevel"/>
    <w:lvl w:ilvl="0">
      <w:lvlJc w:val="left"/>
      <w:lvlText w:val="(%1)"/>
      <w:numFmt w:val="lowerLetter"/>
      <w:start w:val="1"/>
    </w:lvl>
  </w:abstractNum>
  <w:abstractNum w:abstractNumId="217">
    <w:nsid w:val="1D91467C"/>
    <w:multiLevelType w:val="hybridMultilevel"/>
    <w:lvl w:ilvl="0">
      <w:lvlJc w:val="left"/>
      <w:lvlText w:val="(%1)"/>
      <w:numFmt w:val="lowerLetter"/>
      <w:start w:val="1"/>
    </w:lvl>
  </w:abstractNum>
  <w:abstractNum w:abstractNumId="218">
    <w:nsid w:val="316032BB"/>
    <w:multiLevelType w:val="hybridMultilevel"/>
    <w:lvl w:ilvl="0">
      <w:lvlJc w:val="left"/>
      <w:lvlText w:val="(%1)"/>
      <w:numFmt w:val="lowerLetter"/>
      <w:start w:val="1"/>
    </w:lvl>
  </w:abstractNum>
  <w:abstractNum w:abstractNumId="219">
    <w:nsid w:val="44344C22"/>
    <w:multiLevelType w:val="hybridMultilevel"/>
    <w:lvl w:ilvl="0">
      <w:lvlJc w:val="left"/>
      <w:lvlText w:val="%1."/>
      <w:numFmt w:val="decimal"/>
      <w:start w:val="1"/>
    </w:lvl>
  </w:abstractNum>
  <w:abstractNum w:abstractNumId="220">
    <w:nsid w:val="13CDFCFC"/>
    <w:multiLevelType w:val="hybridMultilevel"/>
    <w:lvl w:ilvl="0">
      <w:lvlJc w:val="left"/>
      <w:lvlText w:val="●"/>
      <w:numFmt w:val="bullet"/>
      <w:start w:val="1"/>
    </w:lvl>
  </w:abstractNum>
  <w:abstractNum w:abstractNumId="221">
    <w:nsid w:val="471745E4"/>
    <w:multiLevelType w:val="hybridMultilevel"/>
    <w:lvl w:ilvl="0">
      <w:lvlJc w:val="left"/>
      <w:lvlText w:val="●"/>
      <w:numFmt w:val="bullet"/>
      <w:start w:val="1"/>
    </w:lvl>
  </w:abstractNum>
  <w:abstractNum w:abstractNumId="222">
    <w:nsid w:val="1DDBC66"/>
    <w:multiLevelType w:val="hybridMultilevel"/>
    <w:lvl w:ilvl="0">
      <w:lvlJc w:val="left"/>
      <w:lvlText w:val="●"/>
      <w:numFmt w:val="bullet"/>
      <w:start w:val="1"/>
    </w:lvl>
  </w:abstractNum>
  <w:abstractNum w:abstractNumId="223">
    <w:nsid w:val="30AADFDA"/>
    <w:multiLevelType w:val="hybridMultilevel"/>
    <w:lvl w:ilvl="0">
      <w:lvlJc w:val="left"/>
      <w:lvlText w:val="%1."/>
      <w:numFmt w:val="decimal"/>
      <w:start w:val="1"/>
    </w:lvl>
    <w:lvl w:ilvl="1">
      <w:lvlJc w:val="left"/>
      <w:lvlText w:val="(%2)"/>
      <w:numFmt w:val="lowerLetter"/>
      <w:start w:val="2"/>
    </w:lvl>
  </w:abstractNum>
  <w:abstractNum w:abstractNumId="224">
    <w:nsid w:val="30EADA61"/>
    <w:multiLevelType w:val="hybridMultilevel"/>
    <w:lvl w:ilvl="0">
      <w:lvlJc w:val="left"/>
      <w:lvlText w:val="%1."/>
      <w:numFmt w:val="decimal"/>
      <w:start w:val="8"/>
    </w:lvl>
  </w:abstractNum>
  <w:abstractNum w:abstractNumId="225">
    <w:nsid w:val="27179C0B"/>
    <w:multiLevelType w:val="hybridMultilevel"/>
    <w:lvl w:ilvl="0">
      <w:lvlJc w:val="left"/>
      <w:lvlText w:val="%1."/>
      <w:numFmt w:val="decimal"/>
      <w:start w:val="1"/>
    </w:lvl>
  </w:abstractNum>
  <w:abstractNum w:abstractNumId="226">
    <w:nsid w:val="5E636063"/>
    <w:multiLevelType w:val="hybridMultilevel"/>
    <w:lvl w:ilvl="0">
      <w:lvlJc w:val="left"/>
      <w:lvlText w:val="%1."/>
      <w:numFmt w:val="decimal"/>
      <w:start w:val="3"/>
    </w:lvl>
  </w:abstractNum>
  <w:abstractNum w:abstractNumId="227">
    <w:nsid w:val="215641AF"/>
    <w:multiLevelType w:val="hybridMultilevel"/>
    <w:lvl w:ilvl="0">
      <w:lvlJc w:val="left"/>
      <w:lvlText w:val="%1."/>
      <w:numFmt w:val="decimal"/>
      <w:start w:val="1"/>
    </w:lvl>
  </w:abstractNum>
  <w:abstractNum w:abstractNumId="228">
    <w:nsid w:val="5328066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2020-10-07T22:51:21Z</dcterms:created>
  <dcterms:modified xsi:type="dcterms:W3CDTF">2020-10-07T22:51:21Z</dcterms:modified>
</cp:coreProperties>
</file>